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56" w:type="dxa"/>
        <w:tblLook w:val="01E0" w:firstRow="1" w:lastRow="1" w:firstColumn="1" w:lastColumn="1" w:noHBand="0" w:noVBand="0"/>
      </w:tblPr>
      <w:tblGrid>
        <w:gridCol w:w="4928"/>
        <w:gridCol w:w="964"/>
        <w:gridCol w:w="4564"/>
      </w:tblGrid>
      <w:tr w:rsidR="00C74AE5" w:rsidRPr="005C3BF9" w14:paraId="487E81A4" w14:textId="77777777" w:rsidTr="005D00F9">
        <w:trPr>
          <w:trHeight w:val="1985"/>
        </w:trPr>
        <w:tc>
          <w:tcPr>
            <w:tcW w:w="4928" w:type="dxa"/>
          </w:tcPr>
          <w:p w14:paraId="4A87BC0B" w14:textId="77777777" w:rsidR="00C74AE5" w:rsidRPr="00B03496" w:rsidRDefault="00C74AE5" w:rsidP="005D00F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64" w:type="dxa"/>
          </w:tcPr>
          <w:p w14:paraId="5445D56D" w14:textId="77777777" w:rsidR="00C74AE5" w:rsidRPr="009731EF" w:rsidRDefault="00C74AE5" w:rsidP="005D00F9"/>
        </w:tc>
        <w:tc>
          <w:tcPr>
            <w:tcW w:w="4564" w:type="dxa"/>
          </w:tcPr>
          <w:p w14:paraId="161991DD" w14:textId="77777777" w:rsidR="00C74AE5" w:rsidRPr="00F53ADD" w:rsidRDefault="00C74AE5" w:rsidP="005D00F9">
            <w:pPr>
              <w:rPr>
                <w:sz w:val="28"/>
                <w:szCs w:val="28"/>
              </w:rPr>
            </w:pPr>
            <w:r w:rsidRPr="00F53ADD">
              <w:rPr>
                <w:sz w:val="28"/>
                <w:szCs w:val="28"/>
              </w:rPr>
              <w:t xml:space="preserve">Заместителю генерального директора  </w:t>
            </w:r>
            <w:r>
              <w:rPr>
                <w:sz w:val="28"/>
                <w:szCs w:val="28"/>
              </w:rPr>
              <w:t>ФГБУ «НЦЭСМП» Минздрава России</w:t>
            </w:r>
          </w:p>
          <w:p w14:paraId="6DFD87E6" w14:textId="77777777" w:rsidR="00C74AE5" w:rsidRDefault="00C74AE5" w:rsidP="005D00F9">
            <w:pPr>
              <w:rPr>
                <w:sz w:val="28"/>
                <w:szCs w:val="28"/>
              </w:rPr>
            </w:pPr>
          </w:p>
          <w:p w14:paraId="325380BC" w14:textId="7E8610C3" w:rsidR="00C74AE5" w:rsidRPr="00246528" w:rsidRDefault="00246528" w:rsidP="005D00F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________________</w:t>
            </w:r>
          </w:p>
        </w:tc>
      </w:tr>
      <w:tr w:rsidR="00C74AE5" w:rsidRPr="005C3BF9" w14:paraId="7BD22904" w14:textId="77777777" w:rsidTr="005D00F9">
        <w:trPr>
          <w:trHeight w:val="853"/>
        </w:trPr>
        <w:tc>
          <w:tcPr>
            <w:tcW w:w="4928" w:type="dxa"/>
          </w:tcPr>
          <w:p w14:paraId="38404626" w14:textId="77777777" w:rsidR="00C74AE5" w:rsidRPr="007716D1" w:rsidRDefault="00C74AE5" w:rsidP="005D00F9">
            <w:pPr>
              <w:outlineLvl w:val="0"/>
              <w:rPr>
                <w:b/>
                <w:sz w:val="22"/>
                <w:szCs w:val="22"/>
              </w:rPr>
            </w:pPr>
          </w:p>
          <w:p w14:paraId="14CFE3EB" w14:textId="67D88C00" w:rsidR="00C74AE5" w:rsidRPr="00F53ADD" w:rsidRDefault="00C74AE5" w:rsidP="005D00F9">
            <w:pPr>
              <w:outlineLvl w:val="0"/>
              <w:rPr>
                <w:b/>
                <w:sz w:val="22"/>
                <w:szCs w:val="22"/>
              </w:rPr>
            </w:pPr>
            <w:r w:rsidRPr="00E2620B">
              <w:rPr>
                <w:b/>
                <w:sz w:val="22"/>
                <w:szCs w:val="22"/>
              </w:rPr>
              <w:t xml:space="preserve">Задание </w:t>
            </w:r>
            <w:r w:rsidRPr="00F53ADD">
              <w:rPr>
                <w:b/>
                <w:sz w:val="22"/>
                <w:szCs w:val="22"/>
              </w:rPr>
              <w:t>от</w:t>
            </w:r>
            <w:r>
              <w:rPr>
                <w:b/>
                <w:sz w:val="22"/>
                <w:szCs w:val="22"/>
                <w:lang w:val="en-US"/>
              </w:rPr>
              <w:t> </w:t>
            </w:r>
            <w:r>
              <w:rPr>
                <w:b/>
                <w:sz w:val="22"/>
                <w:szCs w:val="22"/>
              </w:rPr>
              <w:t>____________</w:t>
            </w:r>
            <w:r w:rsidRPr="00F53ADD">
              <w:rPr>
                <w:b/>
                <w:sz w:val="22"/>
                <w:szCs w:val="22"/>
              </w:rPr>
              <w:t>. № 25-5-4280804/</w:t>
            </w:r>
            <w:proofErr w:type="spellStart"/>
            <w:r w:rsidRPr="00F53ADD">
              <w:rPr>
                <w:b/>
                <w:sz w:val="22"/>
                <w:szCs w:val="22"/>
              </w:rPr>
              <w:t>ПРеф</w:t>
            </w:r>
            <w:proofErr w:type="spellEnd"/>
            <w:r w:rsidRPr="00F53ADD">
              <w:rPr>
                <w:b/>
                <w:sz w:val="22"/>
                <w:szCs w:val="22"/>
              </w:rPr>
              <w:t>/ЗД/Э</w:t>
            </w:r>
          </w:p>
        </w:tc>
        <w:tc>
          <w:tcPr>
            <w:tcW w:w="964" w:type="dxa"/>
          </w:tcPr>
          <w:p w14:paraId="0667661F" w14:textId="77777777" w:rsidR="00C74AE5" w:rsidRPr="005C3BF9" w:rsidRDefault="00C74AE5" w:rsidP="005D00F9"/>
        </w:tc>
        <w:tc>
          <w:tcPr>
            <w:tcW w:w="4564" w:type="dxa"/>
          </w:tcPr>
          <w:p w14:paraId="47C56C22" w14:textId="77777777" w:rsidR="00C74AE5" w:rsidRPr="005C3BF9" w:rsidRDefault="00C74AE5" w:rsidP="005D00F9"/>
        </w:tc>
      </w:tr>
    </w:tbl>
    <w:p w14:paraId="487C8865" w14:textId="77777777" w:rsidR="00C74AE5" w:rsidRDefault="00C74AE5" w:rsidP="00C74AE5">
      <w:pPr>
        <w:ind w:left="142" w:firstLine="567"/>
        <w:jc w:val="both"/>
        <w:rPr>
          <w:sz w:val="28"/>
          <w:szCs w:val="28"/>
        </w:rPr>
      </w:pPr>
    </w:p>
    <w:p w14:paraId="6C8973F7" w14:textId="77777777" w:rsidR="00C74AE5" w:rsidRDefault="00C74AE5" w:rsidP="00C74AE5">
      <w:pPr>
        <w:ind w:left="142" w:firstLine="567"/>
        <w:jc w:val="center"/>
        <w:rPr>
          <w:sz w:val="28"/>
          <w:szCs w:val="28"/>
        </w:rPr>
      </w:pPr>
    </w:p>
    <w:p w14:paraId="7032AC6F" w14:textId="77961395" w:rsidR="00C74AE5" w:rsidRPr="00C852A8" w:rsidRDefault="00C74AE5" w:rsidP="00C74AE5">
      <w:pPr>
        <w:ind w:left="142" w:firstLine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Уважаемая </w:t>
      </w:r>
      <w:r w:rsidR="00205CF6" w:rsidRPr="00F84A5E">
        <w:rPr>
          <w:sz w:val="28"/>
          <w:szCs w:val="28"/>
        </w:rPr>
        <w:t>_____________________</w:t>
      </w:r>
      <w:r>
        <w:rPr>
          <w:sz w:val="28"/>
          <w:szCs w:val="28"/>
        </w:rPr>
        <w:t>!</w:t>
      </w:r>
    </w:p>
    <w:p w14:paraId="630E1921" w14:textId="77777777" w:rsidR="00C74AE5" w:rsidRPr="00C852A8" w:rsidRDefault="00C74AE5" w:rsidP="00C74AE5">
      <w:pPr>
        <w:ind w:left="142" w:firstLine="567"/>
        <w:jc w:val="both"/>
        <w:rPr>
          <w:sz w:val="28"/>
          <w:szCs w:val="28"/>
        </w:rPr>
      </w:pPr>
    </w:p>
    <w:p w14:paraId="2EE6FC1A" w14:textId="4E7E488B" w:rsidR="00C74AE5" w:rsidRPr="00684BE2" w:rsidRDefault="00C74AE5" w:rsidP="00C74AE5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684BE2">
        <w:rPr>
          <w:sz w:val="28"/>
          <w:szCs w:val="28"/>
        </w:rPr>
      </w:r>
      <w:r w:rsidR="00E52579" w:rsidRPr="00E52579">
        <w:rPr>
          <w:color w:val="FF0000"/>
          <w:sz w:val="28"/>
          <w:szCs w:val="28"/>
        </w:rPr>
      </w:r>
      <w:r w:rsidR="00BD06FB">
        <w:rPr>
          <w:color w:val="FF0000"/>
          <w:sz w:val="28"/>
          <w:szCs w:val="28"/>
        </w:rPr>
      </w:r>
      <w:r w:rsidR="00D4319B">
        <w:rPr>
          <w:rFonts w:eastAsiaTheme="minorEastAsia"/>
          <w:color w:val="FF0000"/>
          <w:sz w:val="28"/>
          <w:szCs w:val="28"/>
          <w:lang w:val="en-US" w:eastAsia="zh-CN"/>
        </w:rPr>
      </w:r>
      <w:r w:rsidR="00E52579" w:rsidRPr="00E52579">
        <w:rPr>
          <w:rFonts w:eastAsiaTheme="minorEastAsia"/>
          <w:color w:val="FF0000"/>
          <w:sz w:val="28"/>
          <w:szCs w:val="28"/>
          <w:lang w:eastAsia="zh-CN"/>
        </w:rPr>
      </w:r>
      <w:r w:rsidR="00E52579" w:rsidRPr="00E52579">
        <w:rPr>
          <w:rFonts w:eastAsiaTheme="minorEastAsia"/>
          <w:color w:val="FF0000"/>
          <w:sz w:val="28"/>
          <w:szCs w:val="28"/>
          <w:lang w:val="en-US" w:eastAsia="zh-CN"/>
        </w:rPr>
      </w:r>
      <w:r w:rsidR="00BD06FB">
        <w:rPr>
          <w:rFonts w:eastAsiaTheme="minorEastAsia"/>
          <w:color w:val="FF0000"/>
          <w:sz w:val="28"/>
          <w:szCs w:val="28"/>
          <w:lang w:eastAsia="zh-CN"/>
        </w:rPr>
      </w:r>
      <w:r w:rsidR="00E52579" w:rsidRPr="00E52579">
        <w:rPr>
          <w:color w:val="FF0000"/>
          <w:sz w:val="28"/>
          <w:szCs w:val="28"/>
        </w:rPr>
      </w:r>
      <w:r w:rsidRPr="0045721A">
        <w:rPr>
          <w:sz w:val="28"/>
          <w:szCs w:val="28"/>
        </w:rPr>
      </w:r>
      <w:r w:rsidRPr="00684BE2">
        <w:rPr>
          <w:sz w:val="28"/>
          <w:szCs w:val="28"/>
        </w:rPr>
      </w:r>
      <w:r w:rsidR="00E52579">
        <w:rPr>
          <w:sz w:val="28"/>
          <w:szCs w:val="28"/>
        </w:rPr>
      </w:r>
      <w:r w:rsidRPr="00684BE2">
        <w:rPr>
          <w:sz w:val="28"/>
          <w:szCs w:val="28"/>
        </w:rPr>
      </w:r>
      <w:r>
        <w:rPr>
          <w:sz w:val="28"/>
          <w:szCs w:val="28"/>
        </w:rPr>
      </w:r>
      <w:r w:rsidR="00F85B35">
        <w:rPr>
          <w:sz w:val="28"/>
          <w:szCs w:val="28"/>
        </w:rPr>
      </w:r>
      <w:r>
        <w:rPr>
          <w:sz w:val="28"/>
          <w:szCs w:val="28"/>
        </w:rPr>
      </w:r>
      <w:r w:rsidR="00F85B35">
        <w:rPr>
          <w:sz w:val="28"/>
          <w:szCs w:val="28"/>
        </w:rPr>
      </w:r>
      <w:r>
        <w:rPr>
          <w:sz w:val="28"/>
          <w:szCs w:val="28"/>
        </w:rPr>
      </w:r>
      <w:r w:rsidRPr="00A71848">
        <w:rPr>
          <w:sz w:val="28"/>
          <w:szCs w:val="28"/>
        </w:rPr>
      </w:r>
      <w:r w:rsidRPr="00684BE2">
        <w:rPr>
          <w:sz w:val="28"/>
          <w:szCs w:val="28"/>
        </w:rPr>
      </w:r>
      <w:r>
        <w:rPr>
          <w:sz w:val="28"/>
          <w:szCs w:val="28"/>
        </w:rPr>
      </w:r>
      <w:r w:rsidRPr="002A6E2B">
        <w:rPr>
          <w:sz w:val="28"/>
          <w:szCs w:val="28"/>
        </w:rPr>
      </w:r>
      <w:r>
        <w:rPr>
          <w:sz w:val="28"/>
          <w:szCs w:val="28"/>
        </w:rPr>
      </w:r>
      <w:r w:rsidRPr="002A6E2B">
        <w:rPr>
          <w:sz w:val="28"/>
          <w:szCs w:val="28"/>
        </w:rPr>
      </w:r>
      <w:r>
        <w:rPr>
          <w:sz w:val="28"/>
          <w:szCs w:val="28"/>
        </w:rPr>
      </w:r>
      <w:r w:rsidRPr="002A6E2B">
        <w:rPr>
          <w:sz w:val="28"/>
          <w:szCs w:val="28"/>
        </w:rPr>
      </w:r>
      <w:r>
        <w:rPr>
          <w:sz w:val="28"/>
          <w:szCs w:val="28"/>
        </w:rPr>
      </w:r>
      <w:r w:rsidRPr="00684BE2">
        <w:rPr>
          <w:sz w:val="28"/>
          <w:szCs w:val="28"/>
        </w:rPr>
      </w:r>
      <w:r>
        <w:rPr>
          <w:sz w:val="28"/>
          <w:szCs w:val="28"/>
        </w:rPr>
      </w:r>
      <w:r>
        <w:rPr>
          <w:rFonts w:eastAsia="Calibri"/>
          <w:sz w:val="28"/>
          <w:szCs w:val="28"/>
        </w:rPr>
      </w:r>
      <w:r w:rsidRPr="009B7DD8">
        <w:rPr>
          <w:rFonts w:eastAsia="Calibri"/>
          <w:sz w:val="28"/>
          <w:szCs w:val="28"/>
        </w:rPr>
      </w:r>
      <w:r>
        <w:rPr>
          <w:rFonts w:eastAsia="Calibri"/>
          <w:sz w:val="28"/>
          <w:szCs w:val="28"/>
        </w:rPr>
      </w:r>
      <w:r>
        <w:rPr>
          <w:sz w:val="28"/>
        </w:rPr>
        <w:t>При проведении экспертизы лекарственного средства ТРЭВЕЛИН, мною, экспертом, входящим в состав комиссии экспертов по заданию от _____. № _____________, выданному Минздравом России экспертному учреждению в соответствии с положениями Решения Совета ЕЭК от 03.11.2016 N 78 «О Правилах регистрации и экспертизы лекарственных средств для медицинского применения» (далее – Правила) выявлена необходимость направления заявителю запроса о представлении дополнительной информации, необходимых уточнений, касающихся представленных документов и данных регистрационного досье лекарственного препарата.</w:t>
      </w:r>
    </w:p>
    <w:p w14:paraId="3FCE1F39" w14:textId="132DA94F" w:rsidR="00F84A5E" w:rsidRDefault="00C74AE5" w:rsidP="00F84A5E">
      <w:pPr>
        <w:ind w:right="-143" w:firstLine="539"/>
        <w:jc w:val="both"/>
        <w:rPr>
          <w:iCs/>
          <w:sz w:val="28"/>
          <w:szCs w:val="28"/>
        </w:rPr>
      </w:pPr>
      <w:r>
        <w:rPr>
          <w:sz w:val="28"/>
          <w:szCs w:val="28"/>
        </w:rPr>
        <w:t>В целях подготовки всесторонне обоснованного и объективного экспертного отчета</w:t>
      </w:r>
      <w:r w:rsidRPr="00C852A8">
        <w:rPr>
          <w:sz w:val="28"/>
          <w:szCs w:val="28"/>
        </w:rPr>
        <w:t xml:space="preserve"> </w:t>
      </w:r>
      <w:r>
        <w:rPr>
          <w:iCs/>
          <w:sz w:val="28"/>
          <w:szCs w:val="28"/>
        </w:rPr>
        <w:t>необходимо предоставление следующей информации:</w:t>
      </w:r>
    </w:p>
    <w:p w14:paraId="06EEAA4B" w14:textId="77777777" w:rsidR="00FD2C3D" w:rsidRPr="00FD2C3D" w:rsidRDefault="00FD2C3D" w:rsidP="00FD2C3D">
      <w:pPr>
        <w:ind w:right="-143" w:firstLine="539"/>
        <w:jc w:val="both"/>
        <w:rPr>
          <w:sz w:val="28"/>
          <w:szCs w:val="28"/>
        </w:rPr>
      </w:pPr>
      <w:r w:rsidRPr="00FD2C3D">
        <w:rPr>
          <w:sz w:val="28"/>
          <w:szCs w:val="28"/>
        </w:rPr>
        <w:t>Необходимо в разделе 1.3.1. регистрационного досье в форме общего технического документа (в электронном досье с учетом соответствующего кода видов документов) представить проект общей характеристики лекарственного препарата (ОХЛП), который требуется привести в соответствие с учетом Требований, утвержденных Решением Совета ЕЭК от 03.11.2016 № 88:</w:t>
      </w:r>
    </w:p>
    <w:p w14:paraId="0D07B4AC" w14:textId="4A3C9D59" w:rsidR="00FD2C3D" w:rsidRPr="000C78F6" w:rsidRDefault="00FD2C3D" w:rsidP="00FD2C3D">
      <w:pPr>
        <w:ind w:right="-143" w:firstLine="539"/>
        <w:jc w:val="both"/>
        <w:rPr>
          <w:sz w:val="28"/>
          <w:szCs w:val="28"/>
        </w:rPr>
      </w:pPr>
      <w:r w:rsidRPr="00FD2C3D">
        <w:rPr>
          <w:sz w:val="28"/>
          <w:szCs w:val="28"/>
        </w:rPr>
        <w:t>При подготовке ответа на запрос рекомендуется учитывать «Рекомендации по составлению проекта общей характеристики лекарственного препарата (ОХЛП)», размещенные на сайте ФГБУ «НЦЭСМП» Минздрава России в разделе «Экспертиза», в подразделе «Заявителям», в рубрике «Библиотека документов» (далее – Рекомендации к ОХЛП)</w:t>
      </w:r>
      <w:r w:rsidR="000C78F6" w:rsidRPr="000C78F6">
        <w:rPr>
          <w:sz w:val="28"/>
          <w:szCs w:val="28"/>
        </w:rPr>
        <w:t>.</w:t>
      </w:r>
    </w:p>
    <w:p w14:paraId="23CCA299" w14:textId="7EAC27F7" w:rsidR="00F84A5E" w:rsidRPr="00F84A5E" w:rsidRDefault="00F84A5E" w:rsidP="00F84A5E">
      <w:pPr>
        <w:ind w:right="-143" w:firstLine="539"/>
        <w:jc w:val="both"/>
        <w:rPr>
          <w:iCs/>
          <w:sz w:val="28"/>
          <w:szCs w:val="28"/>
        </w:rPr>
      </w:pPr>
      <w:r/>
    </w:p>
    <w:p>
      <w:pPr>
        <w:ind w:firstLine="567"/>
        <w:jc w:val="both"/>
      </w:pPr>
      <w:r>
        <w:rPr>
          <w:b/>
          <w:sz w:val="28"/>
        </w:rPr>
        <w:t xml:space="preserve">4.6. Фертильность, беременность и лактация: </w:t>
      </w:r>
      <w:r>
        <w:rPr>
          <w:sz w:val="28"/>
        </w:rPr>
        <w:t>в разделе «Беременность» не представлены полные сведения о значимых нежелательных явлениях, возникших у эмбриона, плода, новорожденного, беременной. Также отсутствуют рекомендации по ведению беременности, включая необходимый специальный мониторинг. В разделе «Фертильность» не представлены соответствующие заключения доклинических токсикологических исследований.</w:t>
      </w:r>
    </w:p>
    <w:p>
      <w:pPr>
        <w:ind w:firstLine="567"/>
        <w:jc w:val="both"/>
      </w:pPr>
      <w:r>
        <w:rPr>
          <w:b/>
          <w:sz w:val="28"/>
        </w:rPr>
        <w:t xml:space="preserve">4.7. Влияние на способность управлять транспортными средствами и работать с механизмами: </w:t>
      </w:r>
      <w:r>
        <w:rPr>
          <w:sz w:val="28"/>
        </w:rPr>
        <w:t>инструкция частично соответствует рекомендациям. В тексте указано, что следует соблюдать осторожность при занятиях потенциально опасными видами деятельности, но не указано, какое именно влияние оказывает лекарственный препарат на способность управлять транспортными средствами и работать с механизмами. Согласно рекомендациям, необходимо указать степень влияния препарата (не оказывает, оказывает несущественное влияние, оказывает слабое влияние, оказывает умеренное влияние, оказывает выраженное влияние).</w:t>
      </w:r>
    </w:p>
    <w:p>
      <w:pPr>
        <w:ind w:firstLine="567"/>
        <w:jc w:val="both"/>
      </w:pPr>
      <w:r>
        <w:rPr>
          <w:b/>
          <w:sz w:val="28"/>
        </w:rPr>
        <w:t xml:space="preserve">6.2. Несовместимость: </w:t>
      </w:r>
      <w:r>
        <w:rPr>
          <w:sz w:val="28"/>
        </w:rPr>
        <w:t>в разделе указано только «Не применимо», что не соответствует рекомендациям. Согласно инструкции, необходимо либо предоставить сведения о несовместимости, либо использовать стандартные фразы, например, «Стандартная фраза &lt;Не применимо&gt;.»</w:t>
      </w:r>
    </w:p>
    <w:p>
      <w:pPr>
        <w:ind w:firstLine="567"/>
        <w:jc w:val="both"/>
      </w:pPr>
      <w:r>
        <w:rPr>
          <w:b/>
          <w:sz w:val="28"/>
        </w:rPr>
        <w:t xml:space="preserve">8. НОМЕР (НОМЕРА) РЕГИСТРАЦИОННОГО УДОСТОВЕРЕНИЯ: </w:t>
      </w:r>
      <w:r>
        <w:rPr>
          <w:sz w:val="28"/>
        </w:rPr>
        <w:t>раздел не заполнен (есть только заголовок раздела), не соответствует рекомендациям, согласно которым он должен быть заполнен уполномоченным органом после регистрации лекарственного препарата.</w:t>
      </w:r>
    </w:p>
    <w:p>
      <w:pPr>
        <w:ind w:firstLine="567"/>
        <w:jc w:val="both"/>
      </w:pPr>
      <w:r>
        <w:rPr>
          <w:b/>
          <w:sz w:val="28"/>
        </w:rPr>
        <w:t xml:space="preserve">&lt;10. ДОЗИМЕТРИЯ&gt; (если применимо): </w:t>
      </w:r>
      <w:r>
        <w:rPr>
          <w:sz w:val="28"/>
        </w:rPr>
        <w:t>в тексте проверяемого раздела инструкции нет данных о заполнении раздела для всех лекарственных препаратов, как указано в рекомендациях. Необходимо исключить данный раздел для всех препаратов, кроме радиофармацевтических, однако он присутствует.</w:t>
      </w:r>
    </w:p>
    <w:p>
      <w:pPr>
        <w:ind w:firstLine="567"/>
        <w:jc w:val="both"/>
      </w:pPr>
      <w:r>
        <w:rPr>
          <w:b/>
          <w:sz w:val="28"/>
        </w:rPr>
        <w:t xml:space="preserve">&lt;11. ИНСТРУКЦИИ ПО ПРИГОТОВЛЕНИЮ РАДИОФАРМАЦЕВТИЧЕСКИХ ПРЕПАРАТОВ&gt; (заполняется при необходимости): </w:t>
      </w:r>
      <w:r>
        <w:rPr>
          <w:sz w:val="28"/>
        </w:rPr>
        <w:t>раздел не содержит дополнительных инструкций по приготовлению extempore и контролю качества приготовленного препарата, а также инструкций по уничтожению первичных упаковок и оставшегося препарата. Присутствует только стандартная фраза без конкретики.</w:t>
      </w:r>
    </w:p>
    <w:p>
      <w:pPr>
        <w:ind w:firstLine="567"/>
        <w:jc w:val="both"/>
      </w:pPr>
      <w:r>
        <w:rPr>
          <w:b/>
          <w:sz w:val="28"/>
        </w:rPr>
        <w:t xml:space="preserve">&lt;12. УСТАНОВЛЕНИЕ ПОСТРЕГИСТРАЦИОННЫХ МЕР&gt; (заполняется при необходимости): </w:t>
      </w:r>
      <w:r>
        <w:rPr>
          <w:sz w:val="28"/>
        </w:rPr>
        <w:t>в тексте проверяемого раздела инструкции отсутствуют формулировки, соответствующие рекомендациям для лекарственных препаратов, зарегистрированных с установлением дополнительных требований, в исключительных случаях или по процедуре условной регистрации.</w:t>
      </w:r>
    </w:p>
    <w:p w14:paraId="799EE8C6" w14:textId="77777777" w:rsidR="00C74AE5" w:rsidRPr="00C852A8" w:rsidRDefault="00C74AE5" w:rsidP="00C74AE5">
      <w:pPr>
        <w:jc w:val="both"/>
        <w:rPr>
          <w:sz w:val="28"/>
          <w:szCs w:val="28"/>
        </w:rPr>
      </w:pPr>
    </w:p>
    <w:tbl>
      <w:tblPr>
        <w:tblpPr w:leftFromText="180" w:rightFromText="180" w:vertAnchor="text" w:horzAnchor="page" w:tblpX="1198" w:tblpY="217"/>
        <w:tblW w:w="10065" w:type="dxa"/>
        <w:tblLook w:val="01E0" w:firstRow="1" w:lastRow="1" w:firstColumn="1" w:lastColumn="1" w:noHBand="0" w:noVBand="0"/>
      </w:tblPr>
      <w:tblGrid>
        <w:gridCol w:w="5920"/>
        <w:gridCol w:w="4145"/>
      </w:tblGrid>
      <w:tr w:rsidR="00C74AE5" w:rsidRPr="004575A1" w14:paraId="6C2863F2" w14:textId="77777777" w:rsidTr="005D00F9">
        <w:tc>
          <w:tcPr>
            <w:tcW w:w="5920" w:type="dxa"/>
          </w:tcPr>
          <w:p w14:paraId="6055001E" w14:textId="77777777" w:rsidR="00C74AE5" w:rsidRPr="004575A1" w:rsidRDefault="00C74AE5" w:rsidP="00D01840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145" w:type="dxa"/>
          </w:tcPr>
          <w:p w14:paraId="37F27968" w14:textId="77777777" w:rsidR="00C74AE5" w:rsidRPr="004575A1" w:rsidRDefault="00C74AE5" w:rsidP="005D00F9">
            <w:pPr>
              <w:ind w:left="540" w:hanging="180"/>
              <w:jc w:val="right"/>
              <w:rPr>
                <w:sz w:val="28"/>
                <w:szCs w:val="28"/>
              </w:rPr>
            </w:pPr>
          </w:p>
        </w:tc>
      </w:tr>
      <w:tr w:rsidR="00C74AE5" w:rsidRPr="00AD3A1A" w14:paraId="46F478C0" w14:textId="77777777" w:rsidTr="005D00F9">
        <w:tc>
          <w:tcPr>
            <w:tcW w:w="5920" w:type="dxa"/>
          </w:tcPr>
          <w:p w14:paraId="648F1A98" w14:textId="77777777" w:rsidR="00C74AE5" w:rsidRPr="00237EC2" w:rsidRDefault="00C74AE5" w:rsidP="00D01840">
            <w:pPr>
              <w:rPr>
                <w:sz w:val="28"/>
                <w:szCs w:val="28"/>
              </w:rPr>
            </w:pPr>
          </w:p>
        </w:tc>
        <w:tc>
          <w:tcPr>
            <w:tcW w:w="4145" w:type="dxa"/>
            <w:vAlign w:val="bottom"/>
          </w:tcPr>
          <w:p w14:paraId="60FC37C5" w14:textId="77777777" w:rsidR="00C74AE5" w:rsidRPr="00237EC2" w:rsidRDefault="00C74AE5" w:rsidP="005D00F9">
            <w:pPr>
              <w:rPr>
                <w:sz w:val="28"/>
                <w:szCs w:val="28"/>
              </w:rPr>
            </w:pPr>
          </w:p>
        </w:tc>
      </w:tr>
      <w:tr w:rsidR="00C74AE5" w:rsidRPr="00AD3A1A" w14:paraId="3B0721C1" w14:textId="77777777" w:rsidTr="005D00F9">
        <w:tc>
          <w:tcPr>
            <w:tcW w:w="5920" w:type="dxa"/>
          </w:tcPr>
          <w:p w14:paraId="2BC94514" w14:textId="77777777" w:rsidR="00C74AE5" w:rsidRPr="002A6E2B" w:rsidRDefault="00C74AE5" w:rsidP="00D01840">
            <w:pPr>
              <w:rPr>
                <w:sz w:val="28"/>
                <w:szCs w:val="28"/>
              </w:rPr>
            </w:pPr>
          </w:p>
        </w:tc>
        <w:tc>
          <w:tcPr>
            <w:tcW w:w="4145" w:type="dxa"/>
          </w:tcPr>
          <w:p w14:paraId="636BD63F" w14:textId="77777777" w:rsidR="00C74AE5" w:rsidRPr="002A6E2B" w:rsidRDefault="00C74AE5" w:rsidP="005D00F9">
            <w:pPr>
              <w:rPr>
                <w:sz w:val="28"/>
                <w:szCs w:val="28"/>
              </w:rPr>
            </w:pPr>
          </w:p>
        </w:tc>
      </w:tr>
      <w:tr w:rsidR="00C74AE5" w:rsidRPr="00AD3A1A" w14:paraId="33005AF5" w14:textId="77777777" w:rsidTr="005D00F9">
        <w:tc>
          <w:tcPr>
            <w:tcW w:w="5920" w:type="dxa"/>
          </w:tcPr>
          <w:p w14:paraId="1BA6AE0D" w14:textId="6EC8306F" w:rsidR="00C74AE5" w:rsidRPr="00C74AE5" w:rsidRDefault="00C74AE5" w:rsidP="00D018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Эксперт</w:t>
            </w:r>
            <w:r>
              <w:rPr>
                <w:sz w:val="28"/>
                <w:szCs w:val="28"/>
                <w:lang w:val="en-US"/>
              </w:rPr>
              <w:t xml:space="preserve"> …</w:t>
            </w:r>
          </w:p>
        </w:tc>
        <w:tc>
          <w:tcPr>
            <w:tcW w:w="4145" w:type="dxa"/>
            <w:vAlign w:val="bottom"/>
          </w:tcPr>
          <w:p w14:paraId="646FE064" w14:textId="7379FD6E" w:rsidR="00C74AE5" w:rsidRPr="00C74AE5" w:rsidRDefault="00C74AE5" w:rsidP="005D00F9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Иванов И.И.</w:t>
            </w:r>
          </w:p>
        </w:tc>
      </w:tr>
    </w:tbl>
    <w:p w14:paraId="2FAE41CC" w14:textId="78859152" w:rsidR="00C74AE5" w:rsidRDefault="00E52DCB" w:rsidP="00C74AE5">
      <w:pPr>
        <w:rPr>
          <w:sz w:val="20"/>
        </w:rPr>
      </w:pPr>
      <w:r w:rsidRPr="00B22FDF">
        <w:rPr>
          <w:color w:val="FF0000"/>
          <w:sz w:val="28"/>
          <w:szCs w:val="28"/>
          <w:lang w:val="en-US"/>
        </w:rPr>
      </w:r>
      <w:r>
        <w:rPr>
          <w:color w:val="FF0000"/>
          <w:sz w:val="28"/>
          <w:szCs w:val="28"/>
        </w:rPr>
      </w:r>
      <w:r w:rsidRPr="00B22FDF">
        <w:rPr>
          <w:color w:val="FF0000"/>
          <w:sz w:val="28"/>
          <w:szCs w:val="28"/>
          <w:lang w:val="en-US"/>
        </w:rPr>
      </w:r>
      <w:r>
        <w:rPr>
          <w:color w:val="FF0000"/>
          <w:sz w:val="28"/>
          <w:szCs w:val="28"/>
        </w:rPr>
      </w:r>
      <w:r w:rsidRPr="00B22FDF">
        <w:rPr>
          <w:color w:val="FF0000"/>
          <w:sz w:val="28"/>
          <w:szCs w:val="28"/>
          <w:lang w:val="en-US"/>
        </w:rPr>
      </w:r>
      <w:r>
        <w:rPr>
          <w:sz w:val="28"/>
        </w:rPr>
        <w:t>19.02.2026 г.</w:t>
      </w:r>
    </w:p>
    <w:p w14:paraId="475E3D8D" w14:textId="056C1DC6" w:rsidR="00345710" w:rsidRPr="00345710" w:rsidRDefault="00345710" w:rsidP="00345710">
      <w:pPr>
        <w:rPr>
          <w:sz w:val="20"/>
        </w:rPr>
      </w:pPr>
    </w:p>
    <w:p w14:paraId="6CCC11C5" w14:textId="77777777" w:rsidR="00345710" w:rsidRDefault="00345710" w:rsidP="00345710">
      <w:pPr>
        <w:tabs>
          <w:tab w:val="left" w:pos="1047"/>
        </w:tabs>
        <w:rPr>
          <w:sz w:val="20"/>
        </w:rPr>
        <w:sectPr w:rsidR="00345710" w:rsidSect="00C74AE5">
          <w:headerReference w:type="default" r:id="rId7"/>
          <w:pgSz w:w="11906" w:h="16838"/>
          <w:pgMar w:top="1134" w:right="851" w:bottom="1134" w:left="1134" w:header="709" w:footer="1134" w:gutter="0"/>
          <w:cols w:space="708"/>
          <w:titlePg/>
          <w:docGrid w:linePitch="360"/>
        </w:sectPr>
      </w:pPr>
      <w:r>
        <w:rPr>
          <w:sz w:val="20"/>
        </w:rPr>
        <w:tab/>
      </w:r>
    </w:p>
    <w:p w14:paraId="1F7FC7E8" w14:textId="6759D956" w:rsidR="00345710" w:rsidRPr="000774F1" w:rsidRDefault="000774F1" w:rsidP="000774F1">
      <w:pPr>
        <w:tabs>
          <w:tab w:val="left" w:pos="1047"/>
        </w:tabs>
        <w:jc w:val="right"/>
        <w:rPr>
          <w:b/>
          <w:bCs/>
          <w:sz w:val="28"/>
          <w:szCs w:val="28"/>
        </w:rPr>
      </w:pPr>
      <w:r w:rsidRPr="000774F1">
        <w:rPr>
          <w:b/>
          <w:bCs/>
          <w:sz w:val="28"/>
          <w:szCs w:val="28"/>
        </w:rPr>
        <w:lastRenderedPageBreak/>
        <w:t>Приложение 1</w:t>
      </w:r>
    </w:p>
    <w:p w14:paraId="3D5BFC84" w14:textId="77777777" w:rsidR="000774F1" w:rsidRPr="000774F1" w:rsidRDefault="000774F1" w:rsidP="000774F1">
      <w:pPr>
        <w:jc w:val="center"/>
        <w:rPr>
          <w:b/>
          <w:bCs/>
          <w:sz w:val="28"/>
          <w:szCs w:val="28"/>
        </w:rPr>
      </w:pPr>
      <w:r w:rsidRPr="000774F1">
        <w:rPr>
          <w:b/>
          <w:bCs/>
          <w:sz w:val="28"/>
          <w:szCs w:val="28"/>
        </w:rPr>
        <w:t>ПРОТОКОЛ АНАЛИЗА РАЗЛИЧИЙ ДОКУМЕНТОВ</w:t>
      </w:r>
    </w:p>
    <w:p w14:paraId="0CF31F1C" w14:textId="77777777" w:rsidR="000774F1" w:rsidRDefault="000774F1" w:rsidP="000774F1">
      <w:pPr>
        <w:jc w:val="both"/>
        <w:rPr>
          <w:sz w:val="28"/>
          <w:szCs w:val="28"/>
        </w:rPr>
      </w:pPr>
    </w:p>
    <w:p w14:paraId="65FD2FC4" w14:textId="6E6760A9" w:rsidR="000774F1" w:rsidRDefault="000774F1" w:rsidP="000774F1">
      <w:pPr>
        <w:autoSpaceDE w:val="0"/>
        <w:autoSpaceDN w:val="0"/>
        <w:adjustRightInd w:val="0"/>
        <w:ind w:firstLine="567"/>
        <w:jc w:val="both"/>
        <w:rPr>
          <w:iCs/>
          <w:sz w:val="28"/>
          <w:szCs w:val="28"/>
        </w:rPr>
      </w:pPr>
      <w:r>
        <w:rPr>
          <w:sz w:val="28"/>
          <w:szCs w:val="28"/>
        </w:rPr>
      </w:r>
      <w:r>
        <w:rPr>
          <w:color w:val="FF0000"/>
          <w:sz w:val="28"/>
          <w:szCs w:val="28"/>
        </w:rPr>
      </w:r>
      <w:r w:rsidR="00BD06FB">
        <w:rPr>
          <w:color w:val="FF0000"/>
          <w:sz w:val="28"/>
          <w:szCs w:val="28"/>
        </w:rPr>
      </w:r>
      <w:r w:rsidR="00D4319B">
        <w:rPr>
          <w:rFonts w:eastAsiaTheme="minorEastAsia"/>
          <w:color w:val="FF0000"/>
          <w:sz w:val="28"/>
          <w:szCs w:val="28"/>
          <w:lang w:val="en-US" w:eastAsia="zh-CN"/>
        </w:rPr>
      </w:r>
      <w:r w:rsidR="00D4319B" w:rsidRPr="00D4319B">
        <w:rPr>
          <w:rFonts w:eastAsiaTheme="minorEastAsia"/>
          <w:color w:val="FF0000"/>
          <w:sz w:val="28"/>
          <w:szCs w:val="28"/>
          <w:lang w:eastAsia="zh-CN"/>
        </w:rPr>
      </w:r>
      <w:r w:rsidR="00D4319B">
        <w:rPr>
          <w:rFonts w:eastAsiaTheme="minorEastAsia"/>
          <w:color w:val="FF0000"/>
          <w:sz w:val="28"/>
          <w:szCs w:val="28"/>
          <w:lang w:val="en-US" w:eastAsia="zh-CN"/>
        </w:rPr>
      </w:r>
      <w:r w:rsidR="00BD06FB">
        <w:rPr>
          <w:rFonts w:eastAsiaTheme="minorEastAsia"/>
          <w:color w:val="FF0000"/>
          <w:sz w:val="28"/>
          <w:szCs w:val="28"/>
          <w:lang w:eastAsia="zh-CN"/>
        </w:rPr>
      </w:r>
      <w:r>
        <w:rPr>
          <w:color w:val="FF0000"/>
          <w:sz w:val="28"/>
          <w:szCs w:val="28"/>
        </w:rPr>
      </w:r>
      <w:r>
        <w:rPr>
          <w:sz w:val="28"/>
          <w:szCs w:val="28"/>
        </w:rPr>
      </w:r>
      <w:r w:rsidR="00D4319B" w:rsidRPr="00D4319B">
        <w:rPr>
          <w:color w:val="FF0000"/>
          <w:sz w:val="28"/>
          <w:szCs w:val="28"/>
        </w:rPr>
      </w:r>
      <w:r w:rsidR="00D4319B" w:rsidRPr="00D4319B">
        <w:rPr>
          <w:color w:val="FF0000"/>
          <w:sz w:val="28"/>
          <w:szCs w:val="28"/>
          <w:lang w:val="en-US"/>
        </w:rPr>
      </w:r>
      <w:r w:rsidR="00D4319B" w:rsidRPr="00D4319B">
        <w:rPr>
          <w:color w:val="FF0000"/>
          <w:sz w:val="28"/>
          <w:szCs w:val="28"/>
        </w:rPr>
      </w:r>
      <w:r w:rsidR="00D4319B" w:rsidRPr="00D4319B">
        <w:rPr>
          <w:color w:val="FF0000"/>
          <w:sz w:val="28"/>
          <w:szCs w:val="28"/>
          <w:lang w:val="en-US"/>
        </w:rPr>
      </w:r>
      <w:r w:rsidR="00D4319B" w:rsidRPr="00D4319B">
        <w:rPr>
          <w:color w:val="FF0000"/>
          <w:sz w:val="28"/>
          <w:szCs w:val="28"/>
        </w:rPr>
      </w:r>
      <w:r w:rsidR="00D4319B" w:rsidRPr="00D4319B">
        <w:rPr>
          <w:sz w:val="28"/>
          <w:szCs w:val="28"/>
        </w:rPr>
      </w:r>
      <w:r>
        <w:rPr>
          <w:sz w:val="28"/>
          <w:szCs w:val="28"/>
        </w:rPr>
      </w:r>
      <w:r>
        <w:rPr>
          <w:iCs/>
          <w:sz w:val="28"/>
          <w:szCs w:val="28"/>
        </w:rPr>
      </w:r>
      <w:r>
        <w:rPr>
          <w:sz w:val="28"/>
        </w:rPr>
        <w:t>При проведении сравнения инструкции лекарственного средства ТРЭВЕЛИН с эталоном  выявлены следующие различия:</w:t>
      </w:r>
    </w:p>
    <w:p w14:paraId="4E9750D2" w14:textId="1F9F0C3D" w:rsidR="000774F1" w:rsidRDefault="000774F1" w:rsidP="000774F1">
      <w:pPr>
        <w:autoSpaceDE w:val="0"/>
        <w:autoSpaceDN w:val="0"/>
        <w:adjustRightInd w:val="0"/>
        <w:ind w:firstLine="567"/>
        <w:jc w:val="both"/>
        <w:rPr>
          <w:iCs/>
          <w:sz w:val="28"/>
          <w:szCs w:val="28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7280"/>
        <w:gridCol w:w="7280"/>
      </w:tblGrid>
      <w:tr w:rsidR="00FB11A4" w14:paraId="6E603230" w14:textId="77777777" w:rsidTr="00E94612">
        <w:tc>
          <w:tcPr>
            <w:tcW w:w="7280" w:type="dxa"/>
          </w:tcPr>
          <w:p w14:paraId="66304990" w14:textId="6B55D706" w:rsidR="00FB11A4" w:rsidRPr="00932124" w:rsidRDefault="00FB11A4" w:rsidP="00E9461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932124">
              <w:rPr>
                <w:b/>
                <w:bCs/>
                <w:color w:val="FF0000"/>
                <w:sz w:val="28"/>
                <w:szCs w:val="28"/>
              </w:rPr>
            </w:r>
            <w:r w:rsidRPr="00932124">
              <w:rPr>
                <w:b/>
                <w:bCs/>
                <w:color w:val="FF0000"/>
                <w:sz w:val="28"/>
                <w:szCs w:val="28"/>
                <w:lang w:val="en-US"/>
              </w:rPr>
            </w:r>
            <w:r w:rsidRPr="00932124">
              <w:rPr>
                <w:b/>
                <w:bCs/>
                <w:color w:val="FF0000"/>
                <w:sz w:val="28"/>
                <w:szCs w:val="28"/>
              </w:rPr>
            </w:r>
            <w:r w:rsidRPr="00932124">
              <w:rPr>
                <w:b/>
                <w:bCs/>
                <w:color w:val="FF0000"/>
                <w:sz w:val="28"/>
                <w:szCs w:val="28"/>
                <w:lang w:val="en-US"/>
              </w:rPr>
            </w:r>
            <w:r w:rsidRPr="00932124">
              <w:rPr>
                <w:b/>
                <w:bCs/>
                <w:color w:val="FF0000"/>
                <w:sz w:val="28"/>
                <w:szCs w:val="28"/>
              </w:rPr>
            </w:r>
            <w:r w:rsidRPr="00932124">
              <w:rPr>
                <w:b/>
                <w:bCs/>
                <w:sz w:val="28"/>
                <w:szCs w:val="28"/>
              </w:rPr>
            </w:r>
            <w:r w:rsidRPr="00932124">
              <w:rPr>
                <w:b/>
                <w:bCs/>
              </w:rPr>
            </w:r>
            <w:r>
              <w:rPr>
                <w:b/>
                <w:sz w:val="24"/>
              </w:rPr>
              <w:t xml:space="preserve"> (референтный)</w:t>
            </w:r>
          </w:p>
        </w:tc>
        <w:tc>
          <w:tcPr>
            <w:tcW w:w="7280" w:type="dxa"/>
          </w:tcPr>
          <w:p w14:paraId="658304E8" w14:textId="5726FCF6" w:rsidR="00FB11A4" w:rsidRPr="00932124" w:rsidRDefault="00FB11A4" w:rsidP="00E9461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932124">
              <w:rPr>
                <w:b/>
                <w:bCs/>
                <w:color w:val="FF0000"/>
                <w:sz w:val="28"/>
                <w:szCs w:val="28"/>
              </w:rPr>
            </w:r>
            <w:r w:rsidRPr="00932124">
              <w:rPr>
                <w:rFonts w:eastAsiaTheme="minorEastAsia"/>
                <w:b/>
                <w:bCs/>
                <w:color w:val="FF0000"/>
                <w:sz w:val="28"/>
                <w:szCs w:val="28"/>
                <w:lang w:val="en-US" w:eastAsia="zh-CN"/>
              </w:rPr>
            </w:r>
            <w:r w:rsidRPr="00932124">
              <w:rPr>
                <w:rFonts w:eastAsiaTheme="minorEastAsia"/>
                <w:b/>
                <w:bCs/>
                <w:color w:val="FF0000"/>
                <w:sz w:val="28"/>
                <w:szCs w:val="28"/>
                <w:lang w:eastAsia="zh-CN"/>
              </w:rPr>
            </w:r>
            <w:r w:rsidRPr="00932124">
              <w:rPr>
                <w:rFonts w:eastAsiaTheme="minorEastAsia"/>
                <w:b/>
                <w:bCs/>
                <w:color w:val="FF0000"/>
                <w:sz w:val="28"/>
                <w:szCs w:val="28"/>
                <w:lang w:val="en-US" w:eastAsia="zh-CN"/>
              </w:rPr>
            </w:r>
            <w:r w:rsidRPr="00932124">
              <w:rPr>
                <w:rFonts w:eastAsiaTheme="minorEastAsia"/>
                <w:b/>
                <w:bCs/>
                <w:color w:val="FF0000"/>
                <w:sz w:val="28"/>
                <w:szCs w:val="28"/>
                <w:lang w:eastAsia="zh-CN"/>
              </w:rPr>
            </w:r>
            <w:r w:rsidRPr="00932124">
              <w:rPr>
                <w:b/>
                <w:bCs/>
                <w:color w:val="FF0000"/>
                <w:sz w:val="28"/>
                <w:szCs w:val="28"/>
              </w:rPr>
            </w:r>
            <w:r w:rsidRPr="00932124">
              <w:rPr>
                <w:b/>
                <w:bCs/>
                <w:sz w:val="28"/>
                <w:szCs w:val="28"/>
              </w:rPr>
            </w:r>
            <w:r w:rsidRPr="00932124">
              <w:rPr>
                <w:b/>
                <w:bCs/>
              </w:rPr>
            </w:r>
            <w:r>
              <w:rPr>
                <w:b/>
                <w:sz w:val="24"/>
              </w:rPr>
              <w:t>ТРЭВЕЛИН (оцениваемый)</w:t>
            </w:r>
          </w:p>
        </w:tc>
      </w:tr>
      <w:tr>
        <w:tc>
          <w:tcPr>
            <w:tcW w:type="dxa" w:w="14560"/>
            <w:gridSpan w:val="2"/>
          </w:tcPr>
          <w:p>
            <w:pPr>
              <w:jc w:val="center"/>
            </w:pPr>
            <w:r/>
            <w:r>
              <w:rPr>
                <w:b/>
                <w:sz w:val="24"/>
              </w:rPr>
              <w:t>1. НАИМЕНОВАНИЕ ЛЕКАРСТВЕННОГО ПРЕПАРАТА</w:t>
            </w:r>
          </w:p>
        </w:tc>
      </w:tr>
      <w:tr>
        <w:tc>
          <w:tcPr>
            <w:tcW w:type="dxa" w:w="7280"/>
            <w:shd w:val="clear" w:color="auto" w:fill="FF9999"/>
          </w:tcPr>
          <w:p>
            <w:pPr>
              <w:jc w:val="center"/>
            </w:pPr>
            <w:r/>
            <w:r>
              <w:rPr>
                <w:b/>
                <w:sz w:val="24"/>
              </w:rPr>
              <w:t>1 НАИМЕНОВАНИЕ ЛЕКАРСТВЕННОГО ПРЕПАРАТА</w:t>
            </w:r>
          </w:p>
        </w:tc>
        <w:tc>
          <w:tcPr>
            <w:tcW w:type="dxa" w:w="7280"/>
          </w:tcPr>
          <w:p>
            <w:pPr>
              <w:jc w:val="center"/>
            </w:pPr>
            <w:r/>
            <w:r>
              <w:rPr>
                <w:b/>
                <w:sz w:val="24"/>
              </w:rPr>
              <w:t>1. НАИМЕНОВАНИЕ ЛЕКАРСТВЕННОГО ПРЕПАРАТА</w:t>
            </w:r>
          </w:p>
        </w:tc>
      </w:tr>
      <w:tr>
        <w:tc>
          <w:tcPr>
            <w:tcW w:type="dxa" w:w="7280"/>
          </w:tcPr>
          <w:p>
            <w:r/>
            <w:r>
              <w:rPr>
                <w:b w:val="0"/>
                <w:color w:val="008000"/>
                <w:sz w:val="24"/>
              </w:rPr>
              <w:t>Драмина</w:t>
            </w:r>
            <w:r>
              <w:rPr>
                <w:b w:val="0"/>
                <w:sz w:val="24"/>
              </w:rPr>
              <w:t>, 50 мг, таблетки</w:t>
            </w:r>
          </w:p>
        </w:tc>
        <w:tc>
          <w:tcPr>
            <w:tcW w:type="dxa" w:w="7280"/>
          </w:tcPr>
          <w:p>
            <w:r/>
            <w:r>
              <w:rPr>
                <w:b w:val="0"/>
                <w:color w:val="FF0000"/>
                <w:sz w:val="24"/>
              </w:rPr>
              <w:t>ТРЭВЕЛИН</w:t>
            </w:r>
            <w:r>
              <w:rPr>
                <w:b w:val="0"/>
                <w:sz w:val="24"/>
              </w:rPr>
              <w:t>, 50 мг, таблетки</w:t>
            </w:r>
            <w:r>
              <w:rPr>
                <w:b w:val="0"/>
                <w:color w:val="FF0000"/>
                <w:sz w:val="24"/>
              </w:rPr>
              <w:t>.</w:t>
            </w:r>
          </w:p>
        </w:tc>
      </w:tr>
      <w:tr>
        <w:tc>
          <w:tcPr>
            <w:tcW w:type="dxa" w:w="14560"/>
            <w:gridSpan w:val="2"/>
          </w:tcPr>
          <w:p>
            <w:pPr>
              <w:jc w:val="center"/>
            </w:pPr>
            <w:r/>
            <w:r>
              <w:rPr>
                <w:b/>
                <w:sz w:val="24"/>
              </w:rPr>
              <w:t>2. КАЧЕСТВЕННЫЙ И КОЛИЧЕСТВЕННЫЙ СОСТАВ</w:t>
            </w:r>
          </w:p>
        </w:tc>
      </w:tr>
      <w:tr>
        <w:tc>
          <w:tcPr>
            <w:tcW w:type="dxa" w:w="7280"/>
            <w:shd w:val="clear" w:color="auto" w:fill="FF9999"/>
          </w:tcPr>
          <w:p>
            <w:pPr>
              <w:jc w:val="center"/>
            </w:pPr>
            <w:r/>
            <w:r>
              <w:rPr>
                <w:b/>
                <w:sz w:val="24"/>
              </w:rPr>
              <w:t>2 КАЧЕСТВЕННЫЙ И КОЛИЧЕСТВЕННЫЙ СОСТАВ</w:t>
            </w:r>
          </w:p>
        </w:tc>
        <w:tc>
          <w:tcPr>
            <w:tcW w:type="dxa" w:w="7280"/>
          </w:tcPr>
          <w:p>
            <w:pPr>
              <w:jc w:val="center"/>
            </w:pPr>
            <w:r/>
            <w:r>
              <w:rPr>
                <w:b/>
                <w:sz w:val="24"/>
              </w:rPr>
              <w:t>2. КАЧЕСТВЕННЫЙ И КОЛИЧЕСТВЕННЫЙ СОСТАВ</w:t>
            </w:r>
          </w:p>
        </w:tc>
      </w:tr>
      <w:tr>
        <w:tc>
          <w:tcPr>
            <w:tcW w:type="dxa" w:w="7280"/>
          </w:tcPr>
          <w:p>
            <w:r/>
            <w:r>
              <w:rPr>
                <w:b w:val="0"/>
                <w:sz w:val="24"/>
              </w:rPr>
              <w:t>Действующее вещество: дименгидринат</w:t>
            </w:r>
            <w:r>
              <w:rPr>
                <w:b w:val="0"/>
                <w:sz w:val="24"/>
              </w:rPr>
              <w:br/>
              <w:t>Каждая таблетка содержит 50 мг дименгидрината.</w:t>
              <w:br/>
              <w:t>Вещества, наличие которых надо учитывать в составе лекарственного препарата: лактоз</w:t>
            </w:r>
            <w:r>
              <w:rPr>
                <w:b w:val="0"/>
                <w:color w:val="008000"/>
                <w:sz w:val="24"/>
              </w:rPr>
              <w:t>а</w:t>
            </w:r>
            <w:r>
              <w:rPr>
                <w:b w:val="0"/>
                <w:sz w:val="24"/>
              </w:rPr>
              <w:t xml:space="preserve"> (см. раздел 4.4</w:t>
            </w:r>
            <w:r>
              <w:rPr>
                <w:b w:val="0"/>
                <w:color w:val="008000"/>
                <w:sz w:val="24"/>
              </w:rPr>
              <w:t>.</w:t>
            </w:r>
            <w:r>
              <w:rPr>
                <w:b w:val="0"/>
                <w:sz w:val="24"/>
              </w:rPr>
              <w:t>).</w:t>
              <w:br/>
              <w:t>Полный перечень вспомогательных веществ приведен в разделе 6.1.</w:t>
            </w:r>
          </w:p>
        </w:tc>
        <w:tc>
          <w:tcPr>
            <w:tcW w:type="dxa" w:w="7280"/>
          </w:tcPr>
          <w:p>
            <w:r/>
            <w:r>
              <w:rPr>
                <w:b w:val="0"/>
                <w:sz w:val="24"/>
              </w:rPr>
              <w:t>Действующее вещество: дименгидринат</w:t>
            </w:r>
            <w:r>
              <w:rPr>
                <w:b w:val="0"/>
                <w:color w:val="FF0000"/>
                <w:sz w:val="24"/>
              </w:rPr>
              <w:t>.</w:t>
            </w:r>
            <w:r>
              <w:rPr>
                <w:b w:val="0"/>
                <w:sz w:val="24"/>
              </w:rPr>
              <w:br/>
              <w:t>Каждая таблетка содержит 50 мг дименгидрината.</w:t>
              <w:br/>
              <w:t>Вещества, наличие которых надо учитывать в составе лекарственного препарата: лактоз</w:t>
            </w:r>
            <w:r>
              <w:rPr>
                <w:b w:val="0"/>
                <w:color w:val="FF0000"/>
                <w:sz w:val="24"/>
              </w:rPr>
              <w:t>ы моногидрат</w:t>
            </w:r>
            <w:r>
              <w:rPr>
                <w:b w:val="0"/>
                <w:sz w:val="24"/>
              </w:rPr>
              <w:t xml:space="preserve"> (см. раздел 4.4</w:t>
            </w:r>
            <w:r>
              <w:rPr>
                <w:b w:val="0"/>
                <w:sz w:val="24"/>
              </w:rPr>
              <w:t>).</w:t>
              <w:br/>
              <w:t>Полный перечень вспомогательных веществ приведен в разделе 6.1.</w:t>
            </w:r>
          </w:p>
        </w:tc>
      </w:tr>
      <w:tr>
        <w:tc>
          <w:tcPr>
            <w:tcW w:type="dxa" w:w="14560"/>
            <w:gridSpan w:val="2"/>
          </w:tcPr>
          <w:p>
            <w:pPr>
              <w:jc w:val="center"/>
            </w:pPr>
            <w:r/>
            <w:r>
              <w:rPr>
                <w:b/>
                <w:sz w:val="24"/>
              </w:rPr>
              <w:t>3. ЛЕКАРСТВЕННАЯ ФОРМА</w:t>
            </w:r>
          </w:p>
        </w:tc>
      </w:tr>
      <w:tr>
        <w:tc>
          <w:tcPr>
            <w:tcW w:type="dxa" w:w="7280"/>
            <w:shd w:val="clear" w:color="auto" w:fill="FF9999"/>
          </w:tcPr>
          <w:p>
            <w:pPr>
              <w:jc w:val="center"/>
            </w:pPr>
            <w:r/>
            <w:r>
              <w:rPr>
                <w:b/>
                <w:sz w:val="24"/>
              </w:rPr>
              <w:t>3 ЛЕКАРСТВЕННАЯ ФОРМА</w:t>
            </w:r>
          </w:p>
        </w:tc>
        <w:tc>
          <w:tcPr>
            <w:tcW w:type="dxa" w:w="7280"/>
          </w:tcPr>
          <w:p>
            <w:pPr>
              <w:jc w:val="center"/>
            </w:pPr>
            <w:r/>
            <w:r>
              <w:rPr>
                <w:b/>
                <w:sz w:val="24"/>
              </w:rPr>
              <w:t>3. ЛЕКАРСТВЕННАЯ ФОРМА</w:t>
            </w:r>
          </w:p>
        </w:tc>
      </w:tr>
      <w:tr>
        <w:tc>
          <w:tcPr>
            <w:tcW w:type="dxa" w:w="7280"/>
          </w:tcPr>
          <w:p>
            <w:r/>
            <w:r>
              <w:rPr>
                <w:b w:val="0"/>
                <w:sz w:val="24"/>
              </w:rPr>
              <w:t>Таблетки.</w:t>
              <w:br/>
            </w:r>
            <w:r>
              <w:rPr>
                <w:b w:val="0"/>
                <w:color w:val="008000"/>
                <w:sz w:val="24"/>
              </w:rPr>
              <w:t>К</w:t>
            </w:r>
            <w:r>
              <w:rPr>
                <w:b w:val="0"/>
                <w:sz w:val="24"/>
              </w:rPr>
              <w:t>руглые</w:t>
            </w:r>
            <w:r>
              <w:rPr>
                <w:b w:val="0"/>
                <w:color w:val="008000"/>
                <w:sz w:val="24"/>
              </w:rPr>
              <w:t>, гладкие,</w:t>
            </w:r>
            <w:r>
              <w:rPr>
                <w:b w:val="0"/>
                <w:sz w:val="24"/>
              </w:rPr>
              <w:t xml:space="preserve"> плоскоцилиндрическ</w:t>
            </w:r>
            <w:r>
              <w:rPr>
                <w:b w:val="0"/>
                <w:color w:val="008000"/>
                <w:sz w:val="24"/>
              </w:rPr>
              <w:t>ие</w:t>
            </w:r>
            <w:r>
              <w:rPr>
                <w:b w:val="0"/>
                <w:sz w:val="24"/>
              </w:rPr>
              <w:t xml:space="preserve"> </w:t>
            </w:r>
            <w:r>
              <w:rPr>
                <w:b w:val="0"/>
                <w:color w:val="008000"/>
                <w:sz w:val="24"/>
              </w:rPr>
              <w:t>таблетки бел</w:t>
            </w:r>
            <w:r>
              <w:rPr>
                <w:b w:val="0"/>
                <w:sz w:val="24"/>
              </w:rPr>
              <w:t>о</w:t>
            </w:r>
            <w:r>
              <w:rPr>
                <w:b w:val="0"/>
                <w:color w:val="008000"/>
                <w:sz w:val="24"/>
              </w:rPr>
              <w:t>го цвета,</w:t>
            </w:r>
            <w:r>
              <w:rPr>
                <w:b w:val="0"/>
                <w:sz w:val="24"/>
              </w:rPr>
              <w:t xml:space="preserve"> с фаской и риской</w:t>
            </w:r>
            <w:r>
              <w:rPr>
                <w:b w:val="0"/>
                <w:sz w:val="24"/>
              </w:rPr>
              <w:t xml:space="preserve"> на </w:t>
            </w:r>
            <w:r>
              <w:rPr>
                <w:b w:val="0"/>
                <w:sz w:val="24"/>
              </w:rPr>
              <w:t>о</w:t>
            </w:r>
            <w:r>
              <w:rPr>
                <w:b w:val="0"/>
                <w:color w:val="008000"/>
                <w:sz w:val="24"/>
              </w:rPr>
              <w:t>дной стороне</w:t>
            </w:r>
            <w:r>
              <w:rPr>
                <w:b w:val="0"/>
                <w:sz w:val="24"/>
              </w:rPr>
              <w:t>.</w:t>
            </w:r>
          </w:p>
        </w:tc>
        <w:tc>
          <w:tcPr>
            <w:tcW w:type="dxa" w:w="7280"/>
          </w:tcPr>
          <w:p>
            <w:r/>
            <w:r>
              <w:rPr>
                <w:b w:val="0"/>
                <w:sz w:val="24"/>
              </w:rPr>
              <w:t>Таблетки.</w:t>
              <w:br/>
            </w:r>
            <w:r>
              <w:rPr>
                <w:b w:val="0"/>
                <w:color w:val="FF0000"/>
                <w:sz w:val="24"/>
              </w:rPr>
              <w:t>Таблетки белого или почти белого цвета, к</w:t>
            </w:r>
            <w:r>
              <w:rPr>
                <w:b w:val="0"/>
                <w:sz w:val="24"/>
              </w:rPr>
              <w:t>руглые</w:t>
            </w:r>
            <w:r>
              <w:rPr>
                <w:b w:val="0"/>
                <w:sz w:val="24"/>
              </w:rPr>
              <w:t xml:space="preserve"> плоскоцилиндрическ</w:t>
            </w:r>
            <w:r>
              <w:rPr>
                <w:b w:val="0"/>
                <w:color w:val="FF0000"/>
                <w:sz w:val="24"/>
              </w:rPr>
              <w:t>ой</w:t>
            </w:r>
            <w:r>
              <w:rPr>
                <w:b w:val="0"/>
                <w:sz w:val="24"/>
              </w:rPr>
              <w:t xml:space="preserve"> </w:t>
            </w:r>
            <w:r>
              <w:rPr>
                <w:b w:val="0"/>
                <w:color w:val="FF0000"/>
                <w:sz w:val="24"/>
              </w:rPr>
              <w:t>ф</w:t>
            </w:r>
            <w:r>
              <w:rPr>
                <w:b w:val="0"/>
                <w:sz w:val="24"/>
              </w:rPr>
              <w:t>о</w:t>
            </w:r>
            <w:r>
              <w:rPr>
                <w:b w:val="0"/>
                <w:color w:val="FF0000"/>
                <w:sz w:val="24"/>
              </w:rPr>
              <w:t>рмы</w:t>
            </w:r>
            <w:r>
              <w:rPr>
                <w:b w:val="0"/>
                <w:sz w:val="24"/>
              </w:rPr>
              <w:t xml:space="preserve"> с фаской и риской</w:t>
            </w:r>
            <w:r>
              <w:rPr>
                <w:b w:val="0"/>
                <w:color w:val="FF0000"/>
                <w:sz w:val="24"/>
              </w:rPr>
              <w:t>.</w:t>
              <w:br/>
              <w:t>Таблетку можно разделить</w:t>
            </w:r>
            <w:r>
              <w:rPr>
                <w:b w:val="0"/>
                <w:sz w:val="24"/>
              </w:rPr>
              <w:t xml:space="preserve"> на </w:t>
            </w:r>
            <w:r>
              <w:rPr>
                <w:b w:val="0"/>
                <w:color w:val="FF0000"/>
                <w:sz w:val="24"/>
              </w:rPr>
              <w:t>равные д</w:t>
            </w:r>
            <w:r>
              <w:rPr>
                <w:b w:val="0"/>
                <w:sz w:val="24"/>
              </w:rPr>
              <w:t>о</w:t>
            </w:r>
            <w:r>
              <w:rPr>
                <w:b w:val="0"/>
                <w:color w:val="FF0000"/>
                <w:sz w:val="24"/>
              </w:rPr>
              <w:t>зы</w:t>
            </w:r>
            <w:r>
              <w:rPr>
                <w:b w:val="0"/>
                <w:sz w:val="24"/>
              </w:rPr>
              <w:t>.</w:t>
            </w:r>
          </w:p>
        </w:tc>
      </w:tr>
      <w:tr>
        <w:tc>
          <w:tcPr>
            <w:tcW w:type="dxa" w:w="14560"/>
            <w:gridSpan w:val="2"/>
          </w:tcPr>
          <w:p>
            <w:pPr>
              <w:jc w:val="center"/>
            </w:pPr>
            <w:r/>
            <w:r>
              <w:rPr>
                <w:b/>
                <w:sz w:val="24"/>
              </w:rPr>
              <w:t>4. КЛИНИЧЕСКИЕ ДАННЫЕ</w:t>
            </w:r>
          </w:p>
        </w:tc>
      </w:tr>
      <w:tr>
        <w:tc>
          <w:tcPr>
            <w:tcW w:type="dxa" w:w="7280"/>
            <w:shd w:val="clear" w:color="auto" w:fill="FF9999"/>
          </w:tcPr>
          <w:p>
            <w:pPr>
              <w:jc w:val="center"/>
            </w:pPr>
            <w:r/>
            <w:r>
              <w:rPr>
                <w:b/>
                <w:sz w:val="24"/>
              </w:rPr>
              <w:t>4 КЛИНИЧЕСКИЕ ДАННЫЕ</w:t>
            </w:r>
          </w:p>
        </w:tc>
        <w:tc>
          <w:tcPr>
            <w:tcW w:type="dxa" w:w="7280"/>
          </w:tcPr>
          <w:p>
            <w:pPr>
              <w:jc w:val="center"/>
            </w:pPr>
            <w:r/>
            <w:r>
              <w:rPr>
                <w:b/>
                <w:sz w:val="24"/>
              </w:rPr>
              <w:t>4. КЛИНИЧЕСКИЕ ДАННЫЕ</w:t>
            </w:r>
          </w:p>
        </w:tc>
      </w:tr>
      <w:tr>
        <w:tc>
          <w:tcPr>
            <w:tcW w:type="dxa" w:w="7280"/>
          </w:tcPr>
          <w:p>
            <w:r/>
          </w:p>
        </w:tc>
        <w:tc>
          <w:tcPr>
            <w:tcW w:type="dxa" w:w="7280"/>
          </w:tcPr>
          <w:p>
            <w:r/>
          </w:p>
        </w:tc>
      </w:tr>
      <w:tr>
        <w:tc>
          <w:tcPr>
            <w:tcW w:type="dxa" w:w="14560"/>
            <w:gridSpan w:val="2"/>
          </w:tcPr>
          <w:p>
            <w:pPr>
              <w:jc w:val="center"/>
            </w:pPr>
            <w:r/>
            <w:r>
              <w:rPr>
                <w:b/>
                <w:sz w:val="24"/>
              </w:rPr>
              <w:t>4.1. Показания к применению</w:t>
            </w:r>
          </w:p>
        </w:tc>
      </w:tr>
      <w:tr>
        <w:tc>
          <w:tcPr>
            <w:tcW w:type="dxa" w:w="7280"/>
            <w:shd w:val="clear" w:color="auto" w:fill="FF9999"/>
          </w:tcPr>
          <w:p>
            <w:pPr>
              <w:jc w:val="center"/>
            </w:pPr>
            <w:r/>
            <w:r>
              <w:rPr>
                <w:b/>
                <w:sz w:val="24"/>
              </w:rPr>
              <w:t>4.1 Показания к применению</w:t>
            </w:r>
          </w:p>
        </w:tc>
        <w:tc>
          <w:tcPr>
            <w:tcW w:type="dxa" w:w="7280"/>
          </w:tcPr>
          <w:p>
            <w:pPr>
              <w:jc w:val="center"/>
            </w:pPr>
            <w:r/>
            <w:r>
              <w:rPr>
                <w:b/>
                <w:sz w:val="24"/>
              </w:rPr>
              <w:t>4.1. Показания к применению</w:t>
            </w:r>
          </w:p>
        </w:tc>
      </w:tr>
      <w:tr>
        <w:tc>
          <w:tcPr>
            <w:tcW w:type="dxa" w:w="7280"/>
          </w:tcPr>
          <w:p>
            <w:r/>
            <w:r>
              <w:rPr>
                <w:b w:val="0"/>
                <w:sz w:val="24"/>
              </w:rPr>
              <w:t xml:space="preserve">Препарат </w:t>
            </w:r>
            <w:r>
              <w:rPr>
                <w:b w:val="0"/>
                <w:sz w:val="24"/>
              </w:rPr>
              <w:t>показан к применению у взрослых</w:t>
            </w:r>
            <w:r>
              <w:rPr>
                <w:b w:val="0"/>
                <w:color w:val="008000"/>
                <w:sz w:val="24"/>
              </w:rPr>
              <w:t>, по</w:t>
            </w:r>
            <w:r>
              <w:rPr>
                <w:b w:val="0"/>
                <w:sz w:val="24"/>
              </w:rPr>
              <w:t>д</w:t>
            </w:r>
            <w:r>
              <w:rPr>
                <w:b w:val="0"/>
                <w:color w:val="008000"/>
                <w:sz w:val="24"/>
              </w:rPr>
              <w:t>ростков и</w:t>
            </w:r>
            <w:r>
              <w:rPr>
                <w:b w:val="0"/>
                <w:sz w:val="24"/>
              </w:rPr>
              <w:t xml:space="preserve"> д</w:t>
            </w:r>
            <w:r>
              <w:rPr>
                <w:b w:val="0"/>
                <w:color w:val="008000"/>
                <w:sz w:val="24"/>
              </w:rPr>
              <w:t>етей в возрасте от 3-х</w:t>
            </w:r>
            <w:r>
              <w:rPr>
                <w:b w:val="0"/>
                <w:sz w:val="24"/>
              </w:rPr>
              <w:t xml:space="preserve"> лет.</w:t>
              <w:br/>
              <w:t>Болезнь движения (морская болезнь, автомобильная болезнь, воздушная болезнь).</w:t>
            </w:r>
            <w:r>
              <w:rPr>
                <w:b w:val="0"/>
                <w:color w:val="008000"/>
                <w:sz w:val="24"/>
              </w:rPr>
              <w:t xml:space="preserve"> </w:t>
            </w:r>
            <w:r>
              <w:rPr>
                <w:b w:val="0"/>
                <w:sz w:val="24"/>
              </w:rPr>
              <w:t>Профилактика и лечение симптомов вестибулярных и лабиринтных нарушений (головокружение, тошнота, рвота), за исключением симптомов, вызванных противоопухолевой терапией.</w:t>
              <w:br/>
              <w:t>Болезнь Меньера.</w:t>
            </w:r>
          </w:p>
        </w:tc>
        <w:tc>
          <w:tcPr>
            <w:tcW w:type="dxa" w:w="7280"/>
          </w:tcPr>
          <w:p>
            <w:r/>
            <w:r>
              <w:rPr>
                <w:b w:val="0"/>
                <w:sz w:val="24"/>
              </w:rPr>
              <w:t xml:space="preserve">Препарат </w:t>
            </w:r>
            <w:r>
              <w:rPr>
                <w:b w:val="0"/>
                <w:color w:val="FF0000"/>
                <w:sz w:val="24"/>
              </w:rPr>
              <w:t xml:space="preserve">ТРЭВЕЛИН </w:t>
            </w:r>
            <w:r>
              <w:rPr>
                <w:b w:val="0"/>
                <w:sz w:val="24"/>
              </w:rPr>
              <w:t>показан к применению у взрослых</w:t>
            </w:r>
            <w:r>
              <w:rPr>
                <w:b w:val="0"/>
                <w:color w:val="FF0000"/>
                <w:sz w:val="24"/>
              </w:rPr>
              <w:t xml:space="preserve"> и </w:t>
            </w:r>
            <w:r>
              <w:rPr>
                <w:b w:val="0"/>
                <w:sz w:val="24"/>
              </w:rPr>
              <w:t>д</w:t>
            </w:r>
            <w:r>
              <w:rPr>
                <w:b w:val="0"/>
                <w:color w:val="FF0000"/>
                <w:sz w:val="24"/>
              </w:rPr>
              <w:t>етей в возрасте от 3</w:t>
            </w:r>
            <w:r>
              <w:rPr>
                <w:b w:val="0"/>
                <w:sz w:val="24"/>
              </w:rPr>
              <w:t xml:space="preserve"> д</w:t>
            </w:r>
            <w:r>
              <w:rPr>
                <w:b w:val="0"/>
                <w:color w:val="FF0000"/>
                <w:sz w:val="24"/>
              </w:rPr>
              <w:t>о 18</w:t>
            </w:r>
            <w:r>
              <w:rPr>
                <w:b w:val="0"/>
                <w:sz w:val="24"/>
              </w:rPr>
              <w:t xml:space="preserve"> лет.</w:t>
              <w:br/>
              <w:t>Болезнь движения (морская болезнь, автомобильная болезнь, воздушная болезнь).</w:t>
            </w:r>
            <w:r>
              <w:rPr>
                <w:b w:val="0"/>
                <w:color w:val="FF0000"/>
                <w:sz w:val="24"/>
              </w:rPr>
              <w:br/>
            </w:r>
            <w:r>
              <w:rPr>
                <w:b w:val="0"/>
                <w:sz w:val="24"/>
              </w:rPr>
              <w:t>Профилактика и лечение симптомов вестибулярных и лабиринтных нарушений (головокружение, тошнота, рвота), за исключением симптомов, вызванных противоопухолевой терапией.</w:t>
              <w:br/>
              <w:t>Болезнь Меньера.</w:t>
            </w:r>
          </w:p>
        </w:tc>
      </w:tr>
      <w:tr>
        <w:tc>
          <w:tcPr>
            <w:tcW w:type="dxa" w:w="14560"/>
            <w:gridSpan w:val="2"/>
          </w:tcPr>
          <w:p>
            <w:pPr>
              <w:jc w:val="center"/>
            </w:pPr>
            <w:r/>
            <w:r>
              <w:rPr>
                <w:b/>
                <w:sz w:val="24"/>
              </w:rPr>
              <w:t>4.2. Режим дозирования и способ применения</w:t>
            </w:r>
          </w:p>
        </w:tc>
      </w:tr>
      <w:tr>
        <w:tc>
          <w:tcPr>
            <w:tcW w:type="dxa" w:w="7280"/>
            <w:shd w:val="clear" w:color="auto" w:fill="FF9999"/>
          </w:tcPr>
          <w:p>
            <w:pPr>
              <w:jc w:val="center"/>
            </w:pPr>
            <w:r/>
            <w:r>
              <w:rPr>
                <w:b/>
                <w:sz w:val="24"/>
              </w:rPr>
              <w:t>4.2 Режим дозирования и способ применения</w:t>
            </w:r>
          </w:p>
        </w:tc>
        <w:tc>
          <w:tcPr>
            <w:tcW w:type="dxa" w:w="7280"/>
          </w:tcPr>
          <w:p>
            <w:pPr>
              <w:jc w:val="center"/>
            </w:pPr>
            <w:r/>
            <w:r>
              <w:rPr>
                <w:b/>
                <w:sz w:val="24"/>
              </w:rPr>
              <w:t>4.2. Режим дозирования и способ применения</w:t>
            </w:r>
          </w:p>
        </w:tc>
      </w:tr>
      <w:tr>
        <w:tc>
          <w:tcPr>
            <w:tcW w:type="dxa" w:w="7280"/>
          </w:tcPr>
          <w:p>
            <w:r/>
            <w:r>
              <w:rPr>
                <w:b w:val="0"/>
                <w:sz w:val="24"/>
              </w:rPr>
              <w:t>Режим дозирования</w:t>
              <w:br/>
              <w:t>Взрослые</w:t>
              <w:br/>
              <w:t>Для профилактики кинетозов следует принимать 1-2 таблетки за 30 мин</w:t>
            </w:r>
            <w:r>
              <w:rPr>
                <w:b w:val="0"/>
                <w:color w:val="008000"/>
                <w:sz w:val="24"/>
              </w:rPr>
              <w:t>ут</w:t>
            </w:r>
            <w:r>
              <w:rPr>
                <w:b w:val="0"/>
                <w:sz w:val="24"/>
              </w:rPr>
              <w:t xml:space="preserve"> до поездки.</w:t>
              <w:br/>
              <w:t>Болезнь движения (морская болезнь, автомобильная болезнь, воздушная болезнь)</w:t>
            </w:r>
            <w:r>
              <w:rPr>
                <w:b w:val="0"/>
                <w:color w:val="008000"/>
                <w:sz w:val="24"/>
              </w:rPr>
              <w:t xml:space="preserve">: </w:t>
            </w:r>
            <w:r>
              <w:rPr>
                <w:b w:val="0"/>
                <w:sz w:val="24"/>
              </w:rPr>
              <w:t>1-2 таблетки 2-3 раза в сутки.</w:t>
            </w:r>
            <w:r>
              <w:rPr>
                <w:b w:val="0"/>
                <w:color w:val="008000"/>
                <w:sz w:val="24"/>
              </w:rPr>
              <w:br/>
              <w:t>Профилактика и лечение симптомов вестибулярных и лабиринтных нарушений (головокружение, тошнота, рвота), за исключением симптомов, вызванных противоопухолевой терапией:</w:t>
              <w:br/>
              <w:t>1-2 таблетки 2-3 раза в сутки.</w:t>
              <w:br/>
              <w:t>Болезнь Меньера:</w:t>
              <w:br/>
              <w:t>1-2 таблетки 2-3 раза в сутки.</w:t>
              <w:br/>
              <w:t>Максимальная суточная доза 350 мг (7 таблеток).</w:t>
              <w:br/>
              <w:t>для взрослых не должна превышать</w:t>
              <w:br/>
              <w:t>Длительность применения препарата и возможность повторения курса лечения определяется врачом.</w:t>
              <w:br/>
              <w:t>Особые группы пациентов</w:t>
              <w:br/>
              <w:t>Лица пожилого возраста</w:t>
              <w:br/>
              <w:t>Для лечения пожилых пациентов следует применять минимальную рекомендуемую дозу препарата для взрослых, так как пациенты данной группы обладают повышенной чувствительностью к антихолинергическому действию препарата.</w:t>
              <w:br/>
              <w:t>Дети</w:t>
              <w:br/>
              <w:t>Для профилактики кинетозов препарат следует принимать за 30 минут до поездки. Препарат противопоказан детям в возрасте от ® до 3 лет.</w:t>
              <w:br/>
              <w:t>Дети старше 12 лет</w:t>
              <w:br/>
              <w:t>Болезнь движения (морская болезнь, автомобильная болезнь, воздушная болезнь):</w:t>
              <w:br/>
              <w:t>1-2 таблетки 2-3 раза в сутки.</w:t>
              <w:br/>
              <w:t>Профилактика и лечение симптомов вестибулярных и лабиринтных нарушений (головокружение, тошнота, рвота), за исключением симптомов, вызванных противоопухолевой терапией:</w:t>
              <w:br/>
              <w:t>1-2 таблетки 2-3 раза в сутки.</w:t>
              <w:br/>
              <w:t>Болезнь Меньера:</w:t>
              <w:br/>
              <w:t>1-2 таблетки 2-3 раза в сутки.</w:t>
              <w:br/>
              <w:t>Максимальная суточная доза для детей старше 12 лет не должна превышать 350 мг (7 таблеток).</w:t>
              <w:br/>
              <w:t>Дети от 7 до 12 лет</w:t>
              <w:br/>
              <w:t>Болезнь движения (морская болезнь, автомобильная болезнь, воздушная болезнь):</w:t>
              <w:br/>
              <w:t>1⁄2 1 таблетка 2-3 раза в сутки.</w:t>
              <w:br/>
              <w:t>Профилактика и лечение симптомов вестибулярных и лабиринтных нарушений (головокружение, тошнота, рвота), за исключением симптомов, вызванных противоопухолевой терапией:</w:t>
              <w:br/>
              <w:t>1⁄2 1 таблетка 2-3 раза в сутки.</w:t>
              <w:br/>
              <w:t>Болезнь Меньера:</w:t>
              <w:br/>
              <w:t>1⁄2 1 таблетка 2-3 раза в сутки.</w:t>
              <w:br/>
              <w:t>Максимальная суточная доза для детей в возрасте от 7 до 12 лет не должна превышать 150 мг (3 таблетки).</w:t>
              <w:br/>
              <w:t>Дети от 3 до 6 лет</w:t>
              <w:br/>
              <w:t>Болезнь движения (морская болезнь, автомобильная болезнь, воздушная болезнь):</w:t>
              <w:br/>
              <w:t>1⁄4 1⁄2 таблетки 2-3 раза в сутки;</w:t>
              <w:br/>
              <w:t>Профилактика и лечение симптомов вестибулярных и лабиринтных нарушений (головокружение, тошнота, рвота), за исключением симптомов, вызванных противоопухолевой терапией:</w:t>
              <w:br/>
              <w:t>1⁄41⁄2 таблетки 2-3 раза в сутки;</w:t>
              <w:br/>
              <w:t>Болезнь Меньера:</w:t>
              <w:br/>
              <w:t>1⁄4-1⁄2 таблетки 23 раза в сутки.</w:t>
              <w:br/>
              <w:t>Максимальная суточная доза для детей в возрасте от 3 до 6 лет не должна превышать 75 мг (1,5 таблетки).</w:t>
              <w:br/>
              <w:t>Способ применения</w:t>
              <w:br/>
              <w:t>Внутрь.</w:t>
              <w:br/>
              <w:t>Препарат следует применять в течение как можно более короткого срока, необходимого для предотвращения или уменьшения симптомов. Таблетки лучше принимать после приема пищи, чтобы свести к минимуму раздражение желудка, и запивать их достаточным количеством жидкости (например, водой).</w:t>
            </w:r>
          </w:p>
          <w:p/>
          <w:p>
            <w:r/>
          </w:p>
          <w:p>
            <w:r/>
          </w:p>
          <w:p/>
          <w:p>
            <w:r/>
          </w:p>
          <w:p>
            <w:r/>
          </w:p>
          <w:p/>
          <w:p>
            <w:r/>
          </w:p>
          <w:p>
            <w:r/>
          </w:p>
        </w:tc>
        <w:tc>
          <w:tcPr>
            <w:tcW w:type="dxa" w:w="7280"/>
          </w:tcPr>
          <w:p>
            <w:r/>
            <w:r>
              <w:rPr>
                <w:b w:val="0"/>
                <w:sz w:val="24"/>
              </w:rPr>
              <w:t>Режим дозирования</w:t>
              <w:br/>
              <w:t>Взрослые</w:t>
              <w:br/>
              <w:t>Для профилактики кинетозов следует принимать 1-2 таблетки за 30 мин</w:t>
            </w:r>
            <w:r>
              <w:rPr>
                <w:b w:val="0"/>
                <w:sz w:val="24"/>
              </w:rPr>
              <w:t xml:space="preserve"> до поездки.</w:t>
              <w:br/>
              <w:t>Болезнь движения (морская болезнь, автомобильная болезнь, воздушная болезнь)</w:t>
            </w:r>
            <w:r>
              <w:rPr>
                <w:b w:val="0"/>
                <w:color w:val="FF0000"/>
                <w:sz w:val="24"/>
              </w:rPr>
              <w:br/>
            </w:r>
            <w:r>
              <w:rPr>
                <w:b w:val="0"/>
                <w:sz w:val="24"/>
              </w:rPr>
              <w:t>1-2 таблетки 2-3 раза в сутки.</w:t>
            </w:r>
          </w:p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dotted" w:sz="6" w:space="0" w:color="000000"/>
                <w:left w:val="dotted" w:sz="6" w:space="0" w:color="000000"/>
                <w:bottom w:val="dotted" w:sz="6" w:space="0" w:color="000000"/>
                <w:right w:val="dotted" w:sz="6" w:space="0" w:color="000000"/>
                <w:insideH w:val="dotted" w:sz="6" w:space="0" w:color="000000"/>
                <w:insideV w:val="dotted" w:sz="6" w:space="0" w:color="000000"/>
              </w:tblBorders>
            </w:tblPr>
            <w:tblGrid>
              <w:gridCol w:w="1456"/>
              <w:gridCol w:w="1456"/>
              <w:gridCol w:w="1456"/>
              <w:gridCol w:w="1456"/>
              <w:gridCol w:w="1456"/>
            </w:tblGrid>
            <w:tr>
              <w:tc>
                <w:tcPr>
                  <w:tcW w:type="dxa" w:w="1456"/>
                </w:tcPr>
                <w:p>
                  <w:r/>
                  <w:r>
                    <w:rPr>
                      <w:b w:val="0"/>
                      <w:color w:val="FF0000"/>
                      <w:sz w:val="24"/>
                    </w:rPr>
                    <w:t>Профилактика и лечение</w:t>
                  </w:r>
                </w:p>
              </w:tc>
              <w:tc>
                <w:tcPr>
                  <w:tcW w:type="dxa" w:w="1456"/>
                </w:tcPr>
                <w:p>
                  <w:r/>
                  <w:r>
                    <w:rPr>
                      <w:b w:val="0"/>
                      <w:color w:val="FF0000"/>
                      <w:sz w:val="24"/>
                    </w:rPr>
                    <w:t>симптомов</w:t>
                  </w:r>
                </w:p>
              </w:tc>
              <w:tc>
                <w:tcPr>
                  <w:tcW w:type="dxa" w:w="1456"/>
                </w:tcPr>
                <w:p>
                  <w:r/>
                  <w:r>
                    <w:rPr>
                      <w:b w:val="0"/>
                      <w:color w:val="FF0000"/>
                      <w:sz w:val="24"/>
                    </w:rPr>
                    <w:t>вестибулярных</w:t>
                  </w:r>
                </w:p>
              </w:tc>
              <w:tc>
                <w:tcPr>
                  <w:tcW w:type="dxa" w:w="1456"/>
                </w:tcPr>
                <w:p>
                  <w:r/>
                  <w:r>
                    <w:rPr>
                      <w:b w:val="0"/>
                      <w:color w:val="FF0000"/>
                      <w:sz w:val="24"/>
                    </w:rPr>
                    <w:t>и лабиринтных</w:t>
                  </w:r>
                </w:p>
              </w:tc>
              <w:tc>
                <w:tcPr>
                  <w:tcW w:type="dxa" w:w="1456"/>
                </w:tcPr>
                <w:p>
                  <w:r/>
                  <w:r>
                    <w:rPr>
                      <w:b w:val="0"/>
                      <w:color w:val="FF0000"/>
                      <w:sz w:val="24"/>
                    </w:rPr>
                    <w:t>нарушений</w:t>
                  </w:r>
                </w:p>
              </w:tc>
            </w:tr>
            <w:tr>
              <w:tc>
                <w:tcPr>
                  <w:tcW w:type="dxa" w:w="1456"/>
                </w:tcPr>
                <w:p>
                  <w:r/>
                  <w:r>
                    <w:rPr>
                      <w:b w:val="0"/>
                      <w:color w:val="FF0000"/>
                      <w:sz w:val="24"/>
                    </w:rPr>
                    <w:t>(головокружение, тошнота,</w:t>
                  </w:r>
                </w:p>
              </w:tc>
              <w:tc>
                <w:tcPr>
                  <w:tcW w:type="dxa" w:w="1456"/>
                </w:tcPr>
                <w:p>
                  <w:r/>
                  <w:r>
                    <w:rPr>
                      <w:b w:val="0"/>
                      <w:color w:val="FF0000"/>
                      <w:sz w:val="24"/>
                    </w:rPr>
                    <w:t>рвота),</w:t>
                  </w:r>
                </w:p>
              </w:tc>
              <w:tc>
                <w:tcPr>
                  <w:tcW w:type="dxa" w:w="1456"/>
                </w:tcPr>
                <w:p>
                  <w:r/>
                  <w:r>
                    <w:rPr>
                      <w:b w:val="0"/>
                      <w:color w:val="FF0000"/>
                      <w:sz w:val="24"/>
                    </w:rPr>
                    <w:t>за исключением</w:t>
                  </w:r>
                </w:p>
              </w:tc>
              <w:tc>
                <w:tcPr>
                  <w:tcW w:type="dxa" w:w="1456"/>
                </w:tcPr>
                <w:p>
                  <w:r/>
                  <w:r>
                    <w:rPr>
                      <w:b w:val="0"/>
                      <w:color w:val="FF0000"/>
                      <w:sz w:val="24"/>
                    </w:rPr>
                    <w:t>симптомов,</w:t>
                  </w:r>
                </w:p>
              </w:tc>
              <w:tc>
                <w:tcPr>
                  <w:tcW w:type="dxa" w:w="1456"/>
                </w:tcPr>
                <w:p>
                  <w:r/>
                  <w:r>
                    <w:rPr>
                      <w:b w:val="0"/>
                      <w:color w:val="FF0000"/>
                      <w:sz w:val="24"/>
                    </w:rPr>
                    <w:t>вызванных</w:t>
                  </w:r>
                </w:p>
              </w:tc>
            </w:tr>
            <w:tr>
              <w:tc>
                <w:tcPr>
                  <w:tcW w:type="dxa" w:w="1456"/>
                </w:tcPr>
                <w:p>
                  <w:r/>
                  <w:r>
                    <w:rPr>
                      <w:b w:val="0"/>
                      <w:color w:val="FF0000"/>
                      <w:sz w:val="24"/>
                    </w:rPr>
                    <w:t>противоопухолевой терапией</w:t>
                  </w:r>
                </w:p>
              </w:tc>
              <w:tc>
                <w:tcPr>
                  <w:tcW w:type="dxa" w:w="1456"/>
                </w:tcPr>
                <w:p>
                  <w:r/>
                </w:p>
              </w:tc>
              <w:tc>
                <w:tcPr>
                  <w:tcW w:type="dxa" w:w="1456"/>
                </w:tcPr>
                <w:p>
                  <w:r/>
                </w:p>
              </w:tc>
              <w:tc>
                <w:tcPr>
                  <w:tcW w:type="dxa" w:w="1456"/>
                </w:tcPr>
                <w:p>
                  <w:r/>
                </w:p>
              </w:tc>
              <w:tc>
                <w:tcPr>
                  <w:tcW w:type="dxa" w:w="1456"/>
                </w:tcPr>
                <w:p>
                  <w:r/>
                </w:p>
              </w:tc>
            </w:tr>
          </w:tbl>
          <w:p/>
          <w:p>
            <w:r/>
            <w:r>
              <w:rPr>
                <w:b w:val="0"/>
                <w:color w:val="FF0000"/>
                <w:sz w:val="24"/>
              </w:rPr>
              <w:t>1-2 таблетки 2-3 раза в сутки.</w:t>
              <w:br/>
              <w:t>Болезнь Меньера</w:t>
              <w:br/>
              <w:t>1-2 таблетки 2-3 раза в сутки.</w:t>
              <w:br/>
              <w:t>Максимальная суточная доза для взрослых не должна превышать 350 мг (7 таблеток).</w:t>
              <w:br/>
              <w:t>Длительность применения препарата и возможность повторения курса лечения определяется врачом.</w:t>
              <w:br/>
              <w:t>Особые группы пациентов</w:t>
              <w:br/>
              <w:t>Лица пожилого возраста</w:t>
              <w:br/>
              <w:t>Для лечения лиц пожилого возраста следует применять минимальную рекомендуемую дозу препарата для взрослых, так как пациенты данной группы обладают повышенной чувствительностью к антихолинергическому действию препарата.</w:t>
              <w:br/>
              <w:t>Дети</w:t>
              <w:br/>
              <w:t>Для профилактики кинетозов препарат следует принимать за 30 мин до поездки.</w:t>
              <w:br/>
              <w:t>Дети в возрасте от 12 до 18 лет</w:t>
              <w:br/>
              <w:t>Режим дозирования для детей в возрасте от 12 до 18 лет не отличается от режима дозирования для взрослых.</w:t>
              <w:br/>
              <w:t>Дети в возрасте от 7 до 12 лет</w:t>
              <w:br/>
              <w:t>Болезнь движения (морская болезнь, автомобильная болезнь, воздушная болезнь)</w:t>
              <w:br/>
              <w:t>1⁄2 взрослой дозировки-1 таблетка 2-3 раза в сутки.</w:t>
            </w:r>
          </w:p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dotted" w:sz="6" w:space="0" w:color="000000"/>
                <w:left w:val="dotted" w:sz="6" w:space="0" w:color="000000"/>
                <w:bottom w:val="dotted" w:sz="6" w:space="0" w:color="000000"/>
                <w:right w:val="dotted" w:sz="6" w:space="0" w:color="000000"/>
                <w:insideH w:val="dotted" w:sz="6" w:space="0" w:color="000000"/>
                <w:insideV w:val="dotted" w:sz="6" w:space="0" w:color="000000"/>
              </w:tblBorders>
            </w:tblPr>
            <w:tblGrid>
              <w:gridCol w:w="1040"/>
              <w:gridCol w:w="1040"/>
              <w:gridCol w:w="1040"/>
              <w:gridCol w:w="1040"/>
              <w:gridCol w:w="1040"/>
              <w:gridCol w:w="1040"/>
              <w:gridCol w:w="1040"/>
            </w:tblGrid>
            <w:tr>
              <w:tc>
                <w:tcPr>
                  <w:tcW w:type="dxa" w:w="1040"/>
                </w:tcPr>
                <w:p>
                  <w:r/>
                  <w:r>
                    <w:rPr>
                      <w:b w:val="0"/>
                      <w:color w:val="FF0000"/>
                      <w:sz w:val="24"/>
                    </w:rPr>
                    <w:t>Профилактика</w:t>
                  </w:r>
                </w:p>
              </w:tc>
              <w:tc>
                <w:tcPr>
                  <w:tcW w:type="dxa" w:w="1040"/>
                </w:tcPr>
                <w:p>
                  <w:r/>
                  <w:r>
                    <w:rPr>
                      <w:b w:val="0"/>
                      <w:color w:val="FF0000"/>
                      <w:sz w:val="24"/>
                    </w:rPr>
                    <w:t>лечение</w:t>
                  </w:r>
                </w:p>
              </w:tc>
              <w:tc>
                <w:tcPr>
                  <w:tcW w:type="dxa" w:w="1040"/>
                </w:tcPr>
                <w:p>
                  <w:r/>
                  <w:r>
                    <w:rPr>
                      <w:b w:val="0"/>
                      <w:color w:val="FF0000"/>
                      <w:sz w:val="24"/>
                    </w:rPr>
                    <w:t>симптомов</w:t>
                  </w:r>
                </w:p>
              </w:tc>
              <w:tc>
                <w:tcPr>
                  <w:tcW w:type="dxa" w:w="1040"/>
                </w:tcPr>
                <w:p>
                  <w:r/>
                  <w:r>
                    <w:rPr>
                      <w:b w:val="0"/>
                      <w:color w:val="FF0000"/>
                      <w:sz w:val="24"/>
                    </w:rPr>
                    <w:t>вестибулярных</w:t>
                  </w:r>
                </w:p>
              </w:tc>
              <w:tc>
                <w:tcPr>
                  <w:tcW w:type="dxa" w:w="1040"/>
                </w:tcPr>
                <w:p>
                  <w:r/>
                  <w:r>
                    <w:rPr>
                      <w:b w:val="0"/>
                      <w:color w:val="FF0000"/>
                      <w:sz w:val="24"/>
                    </w:rPr>
                    <w:t>и</w:t>
                  </w:r>
                </w:p>
              </w:tc>
              <w:tc>
                <w:tcPr>
                  <w:tcW w:type="dxa" w:w="1040"/>
                </w:tcPr>
                <w:p>
                  <w:r/>
                  <w:r>
                    <w:rPr>
                      <w:b w:val="0"/>
                      <w:color w:val="FF0000"/>
                      <w:sz w:val="24"/>
                    </w:rPr>
                    <w:t>лабиринтных</w:t>
                  </w:r>
                </w:p>
              </w:tc>
              <w:tc>
                <w:tcPr>
                  <w:tcW w:type="dxa" w:w="1040"/>
                </w:tcPr>
                <w:p>
                  <w:r/>
                  <w:r>
                    <w:rPr>
                      <w:b w:val="0"/>
                      <w:color w:val="FF0000"/>
                      <w:sz w:val="24"/>
                    </w:rPr>
                    <w:t>нарушений</w:t>
                  </w:r>
                </w:p>
              </w:tc>
            </w:tr>
            <w:tr>
              <w:tc>
                <w:tcPr>
                  <w:tcW w:type="dxa" w:w="1040"/>
                </w:tcPr>
                <w:p>
                  <w:r/>
                  <w:r>
                    <w:rPr>
                      <w:b w:val="0"/>
                      <w:color w:val="FF0000"/>
                      <w:sz w:val="24"/>
                    </w:rPr>
                    <w:t>(головокружение,</w:t>
                  </w:r>
                </w:p>
              </w:tc>
              <w:tc>
                <w:tcPr>
                  <w:tcW w:type="dxa" w:w="1040"/>
                </w:tcPr>
                <w:p>
                  <w:r/>
                  <w:r>
                    <w:rPr>
                      <w:b w:val="0"/>
                      <w:color w:val="FF0000"/>
                      <w:sz w:val="24"/>
                    </w:rPr>
                    <w:t>тошнота,</w:t>
                  </w:r>
                </w:p>
              </w:tc>
              <w:tc>
                <w:tcPr>
                  <w:tcW w:type="dxa" w:w="1040"/>
                </w:tcPr>
                <w:p>
                  <w:r/>
                  <w:r>
                    <w:rPr>
                      <w:b w:val="0"/>
                      <w:color w:val="FF0000"/>
                      <w:sz w:val="24"/>
                    </w:rPr>
                    <w:t>рвота),</w:t>
                  </w:r>
                </w:p>
              </w:tc>
              <w:tc>
                <w:tcPr>
                  <w:tcW w:type="dxa" w:w="1040"/>
                </w:tcPr>
                <w:p>
                  <w:r/>
                  <w:r>
                    <w:rPr>
                      <w:b w:val="0"/>
                      <w:color w:val="FF0000"/>
                      <w:sz w:val="24"/>
                    </w:rPr>
                    <w:t>за</w:t>
                  </w:r>
                </w:p>
              </w:tc>
              <w:tc>
                <w:tcPr>
                  <w:tcW w:type="dxa" w:w="1040"/>
                </w:tcPr>
                <w:p>
                  <w:r/>
                  <w:r>
                    <w:rPr>
                      <w:b w:val="0"/>
                      <w:color w:val="FF0000"/>
                      <w:sz w:val="24"/>
                    </w:rPr>
                    <w:t>исключением</w:t>
                  </w:r>
                </w:p>
              </w:tc>
              <w:tc>
                <w:tcPr>
                  <w:tcW w:type="dxa" w:w="1040"/>
                </w:tcPr>
                <w:p>
                  <w:r/>
                  <w:r>
                    <w:rPr>
                      <w:b w:val="0"/>
                      <w:color w:val="FF0000"/>
                      <w:sz w:val="24"/>
                    </w:rPr>
                    <w:t>симптомов,</w:t>
                  </w:r>
                </w:p>
              </w:tc>
              <w:tc>
                <w:tcPr>
                  <w:tcW w:type="dxa" w:w="1040"/>
                </w:tcPr>
                <w:p>
                  <w:r/>
                  <w:r>
                    <w:rPr>
                      <w:b w:val="0"/>
                      <w:color w:val="FF0000"/>
                      <w:sz w:val="24"/>
                    </w:rPr>
                    <w:t>вызванных</w:t>
                  </w:r>
                </w:p>
              </w:tc>
            </w:tr>
          </w:tbl>
          <w:p/>
          <w:p>
            <w:r/>
            <w:r>
              <w:rPr>
                <w:b w:val="0"/>
                <w:color w:val="FF0000"/>
                <w:sz w:val="24"/>
              </w:rPr>
              <w:t>Профилактика и лечение симптомов вестибулярных и лабиринтных нарушений (головокружение, тошнота, рвота), за исключением симптомов, вызванных противоопухолевой терапией</w:t>
              <w:br/>
              <w:t>1⁄2 взрослой дозировки-1 таблетка 2-3 раза в сутки.</w:t>
              <w:br/>
              <w:t>Болезнь Меньера</w:t>
              <w:br/>
              <w:t>1⁄2 взрослой дозировки-1 таблетка 2-3 раза в сутки.</w:t>
              <w:br/>
              <w:t>Дети в возрасте от 3 до 6 лет</w:t>
              <w:br/>
              <w:t>Болезнь движения (морская болезнь, автомобильная болезнь, воздушная болезнь)</w:t>
              <w:br/>
              <w:t>1⁄4 взрослой дозировки-1⁄2 таблетки 2-3 раза в сутки.</w:t>
            </w:r>
          </w:p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dotted" w:sz="6" w:space="0" w:color="000000"/>
                <w:left w:val="dotted" w:sz="6" w:space="0" w:color="000000"/>
                <w:bottom w:val="dotted" w:sz="6" w:space="0" w:color="000000"/>
                <w:right w:val="dotted" w:sz="6" w:space="0" w:color="000000"/>
                <w:insideH w:val="dotted" w:sz="6" w:space="0" w:color="000000"/>
                <w:insideV w:val="dotted" w:sz="6" w:space="0" w:color="000000"/>
              </w:tblBorders>
            </w:tblPr>
            <w:tblGrid>
              <w:gridCol w:w="1040"/>
              <w:gridCol w:w="1040"/>
              <w:gridCol w:w="1040"/>
              <w:gridCol w:w="1040"/>
              <w:gridCol w:w="1040"/>
              <w:gridCol w:w="1040"/>
              <w:gridCol w:w="1040"/>
            </w:tblGrid>
            <w:tr>
              <w:tc>
                <w:tcPr>
                  <w:tcW w:type="dxa" w:w="1040"/>
                </w:tcPr>
                <w:p>
                  <w:r/>
                  <w:r>
                    <w:rPr>
                      <w:b w:val="0"/>
                      <w:color w:val="FF0000"/>
                      <w:sz w:val="24"/>
                    </w:rPr>
                    <w:t>Профилактика</w:t>
                  </w:r>
                </w:p>
              </w:tc>
              <w:tc>
                <w:tcPr>
                  <w:tcW w:type="dxa" w:w="1040"/>
                </w:tcPr>
                <w:p>
                  <w:r/>
                  <w:r>
                    <w:rPr>
                      <w:b w:val="0"/>
                      <w:color w:val="FF0000"/>
                      <w:sz w:val="24"/>
                    </w:rPr>
                    <w:t>и лечение</w:t>
                  </w:r>
                </w:p>
              </w:tc>
              <w:tc>
                <w:tcPr>
                  <w:tcW w:type="dxa" w:w="1040"/>
                </w:tcPr>
                <w:p>
                  <w:r/>
                  <w:r>
                    <w:rPr>
                      <w:b w:val="0"/>
                      <w:color w:val="FF0000"/>
                      <w:sz w:val="24"/>
                    </w:rPr>
                    <w:t>симптомов</w:t>
                  </w:r>
                </w:p>
              </w:tc>
              <w:tc>
                <w:tcPr>
                  <w:tcW w:type="dxa" w:w="1040"/>
                </w:tcPr>
                <w:p>
                  <w:r/>
                  <w:r>
                    <w:rPr>
                      <w:b w:val="0"/>
                      <w:color w:val="FF0000"/>
                      <w:sz w:val="24"/>
                    </w:rPr>
                    <w:t>вестибулярных</w:t>
                  </w:r>
                </w:p>
              </w:tc>
              <w:tc>
                <w:tcPr>
                  <w:tcW w:type="dxa" w:w="1040"/>
                </w:tcPr>
                <w:p>
                  <w:r/>
                  <w:r>
                    <w:rPr>
                      <w:b w:val="0"/>
                      <w:color w:val="FF0000"/>
                      <w:sz w:val="24"/>
                    </w:rPr>
                    <w:t>вестибулярных</w:t>
                  </w:r>
                </w:p>
              </w:tc>
              <w:tc>
                <w:tcPr>
                  <w:tcW w:type="dxa" w:w="1040"/>
                </w:tcPr>
                <w:p>
                  <w:r/>
                  <w:r>
                    <w:rPr>
                      <w:b w:val="0"/>
                      <w:color w:val="FF0000"/>
                      <w:sz w:val="24"/>
                    </w:rPr>
                    <w:t>и лабиринтных</w:t>
                  </w:r>
                </w:p>
              </w:tc>
              <w:tc>
                <w:tcPr>
                  <w:tcW w:type="dxa" w:w="1040"/>
                </w:tcPr>
                <w:p>
                  <w:r/>
                  <w:r>
                    <w:rPr>
                      <w:b w:val="0"/>
                      <w:color w:val="FF0000"/>
                      <w:sz w:val="24"/>
                    </w:rPr>
                    <w:t>нарушений</w:t>
                  </w:r>
                </w:p>
              </w:tc>
            </w:tr>
            <w:tr>
              <w:tc>
                <w:tcPr>
                  <w:tcW w:type="dxa" w:w="1040"/>
                </w:tcPr>
                <w:p>
                  <w:r/>
                  <w:r>
                    <w:rPr>
                      <w:b w:val="0"/>
                      <w:color w:val="FF0000"/>
                      <w:sz w:val="24"/>
                    </w:rPr>
                    <w:t>(головокружение,</w:t>
                  </w:r>
                </w:p>
              </w:tc>
              <w:tc>
                <w:tcPr>
                  <w:tcW w:type="dxa" w:w="1040"/>
                </w:tcPr>
                <w:p>
                  <w:r/>
                  <w:r>
                    <w:rPr>
                      <w:b w:val="0"/>
                      <w:color w:val="FF0000"/>
                      <w:sz w:val="24"/>
                    </w:rPr>
                    <w:t>тошнота,</w:t>
                  </w:r>
                </w:p>
              </w:tc>
              <w:tc>
                <w:tcPr>
                  <w:tcW w:type="dxa" w:w="1040"/>
                </w:tcPr>
                <w:p>
                  <w:r/>
                  <w:r>
                    <w:rPr>
                      <w:b w:val="0"/>
                      <w:color w:val="FF0000"/>
                      <w:sz w:val="24"/>
                    </w:rPr>
                    <w:t>рвота),</w:t>
                  </w:r>
                </w:p>
              </w:tc>
              <w:tc>
                <w:tcPr>
                  <w:tcW w:type="dxa" w:w="1040"/>
                </w:tcPr>
                <w:p>
                  <w:r/>
                  <w:r>
                    <w:rPr>
                      <w:b w:val="0"/>
                      <w:color w:val="FF0000"/>
                      <w:sz w:val="24"/>
                    </w:rPr>
                    <w:t>за</w:t>
                  </w:r>
                </w:p>
              </w:tc>
              <w:tc>
                <w:tcPr>
                  <w:tcW w:type="dxa" w:w="1040"/>
                </w:tcPr>
                <w:p>
                  <w:r/>
                  <w:r>
                    <w:rPr>
                      <w:b w:val="0"/>
                      <w:color w:val="FF0000"/>
                      <w:sz w:val="24"/>
                    </w:rPr>
                    <w:t>исключением</w:t>
                  </w:r>
                </w:p>
              </w:tc>
              <w:tc>
                <w:tcPr>
                  <w:tcW w:type="dxa" w:w="1040"/>
                </w:tcPr>
                <w:p>
                  <w:r/>
                  <w:r>
                    <w:rPr>
                      <w:b w:val="0"/>
                      <w:color w:val="FF0000"/>
                      <w:sz w:val="24"/>
                    </w:rPr>
                    <w:t>симптомов,</w:t>
                  </w:r>
                </w:p>
              </w:tc>
              <w:tc>
                <w:tcPr>
                  <w:tcW w:type="dxa" w:w="1040"/>
                </w:tcPr>
                <w:p>
                  <w:r/>
                  <w:r>
                    <w:rPr>
                      <w:b w:val="0"/>
                      <w:color w:val="FF0000"/>
                      <w:sz w:val="24"/>
                    </w:rPr>
                    <w:t>вызванных</w:t>
                  </w:r>
                </w:p>
              </w:tc>
            </w:tr>
          </w:tbl>
          <w:p/>
          <w:p>
            <w:r/>
            <w:r>
              <w:rPr>
                <w:b w:val="0"/>
                <w:color w:val="FF0000"/>
                <w:sz w:val="24"/>
              </w:rPr>
              <w:t>противоопухолевой терапией</w:t>
              <w:br/>
              <w:t>1⁄4 взрослой дозировки-1⁄2 таблетки 2-3 раза в сутки.</w:t>
              <w:br/>
              <w:t>Болезнь Меньера</w:t>
              <w:br/>
              <w:t>1⁄2 взрослой дозировки-1 таблетка 2-3 раза в сутки.</w:t>
              <w:br/>
              <w:t>Максимальная суточная доза для детей в возрасте от 3 до 6 лет не должна превышать 75 мг (1,5 таблетки).</w:t>
              <w:br/>
              <w:t>Способ применения</w:t>
              <w:br/>
              <w:t>Внутрь.</w:t>
              <w:br/>
              <w:t>Препарат следует применять в течение как можно более короткого срока, необходимого для уменьшения симптомов. Таблетки лучше принимать после приема пищи, чтобы свести к минимуму раздражение желудка, и запивать их достаточным количеством жидкости.</w:t>
            </w:r>
          </w:p>
        </w:tc>
      </w:tr>
      <w:tr>
        <w:tc>
          <w:tcPr>
            <w:tcW w:type="dxa" w:w="14560"/>
            <w:gridSpan w:val="2"/>
          </w:tcPr>
          <w:p>
            <w:pPr>
              <w:jc w:val="center"/>
            </w:pPr>
            <w:r/>
            <w:r>
              <w:rPr>
                <w:b/>
                <w:sz w:val="24"/>
              </w:rPr>
              <w:t>4.3. Противопоказания</w:t>
            </w:r>
          </w:p>
        </w:tc>
      </w:tr>
      <w:tr>
        <w:tc>
          <w:tcPr>
            <w:tcW w:type="dxa" w:w="7280"/>
            <w:shd w:val="clear" w:color="auto" w:fill="FF9999"/>
          </w:tcPr>
          <w:p>
            <w:pPr>
              <w:jc w:val="center"/>
            </w:pPr>
            <w:r/>
            <w:r>
              <w:rPr>
                <w:b/>
                <w:sz w:val="24"/>
              </w:rPr>
              <w:t>4.3 Противопоказания</w:t>
            </w:r>
          </w:p>
        </w:tc>
        <w:tc>
          <w:tcPr>
            <w:tcW w:type="dxa" w:w="7280"/>
          </w:tcPr>
          <w:p>
            <w:pPr>
              <w:jc w:val="center"/>
            </w:pPr>
            <w:r/>
            <w:r>
              <w:rPr>
                <w:b/>
                <w:sz w:val="24"/>
              </w:rPr>
              <w:t>4.3. Противопоказания</w:t>
            </w:r>
          </w:p>
        </w:tc>
      </w:tr>
      <w:tr>
        <w:tc>
          <w:tcPr>
            <w:tcW w:type="dxa" w:w="7280"/>
          </w:tcPr>
          <w:p>
            <w:r/>
            <w:r>
              <w:rPr>
                <w:b w:val="0"/>
                <w:sz w:val="24"/>
              </w:rPr>
              <w:t>Гиперчувствительность к дименгидринату или</w:t>
            </w:r>
            <w:r>
              <w:rPr>
                <w:b w:val="0"/>
                <w:sz w:val="24"/>
              </w:rPr>
              <w:t xml:space="preserve"> любому из вспомогательных веществ, перечисленных в разделе 6.1</w:t>
            </w:r>
            <w:r>
              <w:rPr>
                <w:b w:val="0"/>
                <w:color w:val="008000"/>
                <w:sz w:val="24"/>
              </w:rPr>
              <w:t>.;</w:t>
              <w:br/>
              <w:t>Гипер</w:t>
            </w:r>
            <w:r>
              <w:rPr>
                <w:b w:val="0"/>
                <w:sz w:val="24"/>
              </w:rPr>
              <w:t>ч</w:t>
            </w:r>
            <w:r>
              <w:rPr>
                <w:b w:val="0"/>
                <w:color w:val="008000"/>
                <w:sz w:val="24"/>
              </w:rPr>
              <w:t>увствительность к антигистаминным препаратам;</w:t>
              <w:br/>
              <w:t xml:space="preserve">Острые приступы </w:t>
            </w:r>
            <w:r>
              <w:rPr>
                <w:b w:val="0"/>
                <w:sz w:val="24"/>
              </w:rPr>
              <w:t>б</w:t>
            </w:r>
            <w:r>
              <w:rPr>
                <w:b w:val="0"/>
                <w:sz w:val="24"/>
              </w:rPr>
              <w:t>ронхиальной астмы;</w:t>
              <w:br/>
            </w:r>
            <w:r>
              <w:rPr>
                <w:b w:val="0"/>
                <w:color w:val="008000"/>
                <w:sz w:val="24"/>
              </w:rPr>
              <w:t>Закрытоугольная глаукома;</w:t>
              <w:br/>
              <w:t>Ф</w:t>
            </w:r>
            <w:r>
              <w:rPr>
                <w:b w:val="0"/>
                <w:sz w:val="24"/>
              </w:rPr>
              <w:t>еохромоцитома;</w:t>
              <w:br/>
            </w:r>
            <w:r>
              <w:rPr>
                <w:b w:val="0"/>
                <w:color w:val="008000"/>
                <w:sz w:val="24"/>
              </w:rPr>
              <w:t>П</w:t>
            </w:r>
            <w:r>
              <w:rPr>
                <w:b w:val="0"/>
                <w:sz w:val="24"/>
              </w:rPr>
              <w:t>орфирия;</w:t>
              <w:br/>
            </w:r>
            <w:r>
              <w:rPr>
                <w:b w:val="0"/>
                <w:color w:val="008000"/>
                <w:sz w:val="24"/>
              </w:rPr>
              <w:t>С</w:t>
            </w:r>
            <w:r>
              <w:rPr>
                <w:b w:val="0"/>
                <w:sz w:val="24"/>
              </w:rPr>
              <w:t>удороги (эпилепсия, эклампсия);</w:t>
              <w:br/>
            </w:r>
            <w:r>
              <w:rPr>
                <w:b w:val="0"/>
                <w:color w:val="008000"/>
                <w:sz w:val="24"/>
              </w:rPr>
              <w:t>Г</w:t>
            </w:r>
            <w:r>
              <w:rPr>
                <w:b w:val="0"/>
                <w:sz w:val="24"/>
              </w:rPr>
              <w:t>иперплазия предстательной железы;</w:t>
              <w:br/>
            </w:r>
            <w:r>
              <w:rPr>
                <w:b w:val="0"/>
                <w:color w:val="008000"/>
                <w:sz w:val="24"/>
              </w:rPr>
              <w:t>Д</w:t>
            </w:r>
            <w:r>
              <w:rPr>
                <w:b w:val="0"/>
                <w:sz w:val="24"/>
              </w:rPr>
              <w:t>етский возраст до 3</w:t>
            </w:r>
            <w:r>
              <w:rPr>
                <w:b w:val="0"/>
                <w:color w:val="008000"/>
                <w:sz w:val="24"/>
              </w:rPr>
              <w:t>-х лет;</w:t>
              <w:br/>
              <w:t>Б</w:t>
            </w:r>
            <w:r>
              <w:rPr>
                <w:b w:val="0"/>
                <w:sz w:val="24"/>
              </w:rPr>
              <w:t>еременность (I и III триместр)</w:t>
            </w:r>
            <w:r>
              <w:rPr>
                <w:b w:val="0"/>
                <w:color w:val="008000"/>
                <w:sz w:val="24"/>
              </w:rPr>
              <w:t>;</w:t>
              <w:br/>
              <w:t>Период грудного вскармливания</w:t>
            </w:r>
            <w:r>
              <w:rPr>
                <w:b w:val="0"/>
                <w:sz w:val="24"/>
              </w:rPr>
              <w:t>.</w:t>
            </w:r>
          </w:p>
        </w:tc>
        <w:tc>
          <w:tcPr>
            <w:tcW w:type="dxa" w:w="7280"/>
          </w:tcPr>
          <w:p>
            <w:r/>
            <w:r>
              <w:rPr>
                <w:b w:val="0"/>
                <w:color w:val="FF0000"/>
                <w:sz w:val="24"/>
              </w:rPr>
              <w:t xml:space="preserve">• </w:t>
            </w:r>
            <w:r>
              <w:rPr>
                <w:b w:val="0"/>
                <w:sz w:val="24"/>
              </w:rPr>
              <w:t>Гиперчувствительность к дименгидринату или</w:t>
            </w:r>
            <w:r>
              <w:rPr>
                <w:b w:val="0"/>
                <w:color w:val="FF0000"/>
                <w:sz w:val="24"/>
              </w:rPr>
              <w:t xml:space="preserve"> к</w:t>
            </w:r>
            <w:r>
              <w:rPr>
                <w:b w:val="0"/>
                <w:sz w:val="24"/>
              </w:rPr>
              <w:t xml:space="preserve"> любому из вспомогательных веществ, перечисленных в разделе 6.1</w:t>
            </w:r>
            <w:r>
              <w:rPr>
                <w:b w:val="0"/>
                <w:color w:val="FF0000"/>
                <w:sz w:val="24"/>
              </w:rPr>
              <w:t>;</w:t>
              <w:br/>
              <w:t>• редко встре</w:t>
            </w:r>
            <w:r>
              <w:rPr>
                <w:b w:val="0"/>
                <w:sz w:val="24"/>
              </w:rPr>
              <w:t>ч</w:t>
            </w:r>
            <w:r>
              <w:rPr>
                <w:b w:val="0"/>
                <w:color w:val="FF0000"/>
                <w:sz w:val="24"/>
              </w:rPr>
              <w:t>ающаяся наследственная непереносимость галактозы, лактазная недостаточность или глюкозо-галактозная мальа</w:t>
            </w:r>
            <w:r>
              <w:rPr>
                <w:b w:val="0"/>
                <w:sz w:val="24"/>
              </w:rPr>
              <w:t>б</w:t>
            </w:r>
            <w:r>
              <w:rPr>
                <w:b w:val="0"/>
                <w:color w:val="FF0000"/>
                <w:sz w:val="24"/>
              </w:rPr>
              <w:t>сорбция;</w:t>
              <w:br/>
              <w:t>• гиперчувствительность к антигистаминовым препаратам;</w:t>
              <w:br/>
              <w:t>• острые приступы б</w:t>
            </w:r>
            <w:r>
              <w:rPr>
                <w:b w:val="0"/>
                <w:sz w:val="24"/>
              </w:rPr>
              <w:t>ронхиальной астмы;</w:t>
              <w:br/>
            </w:r>
            <w:r>
              <w:rPr>
                <w:b w:val="0"/>
                <w:color w:val="FF0000"/>
                <w:sz w:val="24"/>
              </w:rPr>
              <w:t>• закрытоугольная глаукома;</w:t>
              <w:br/>
              <w:t>• ф</w:t>
            </w:r>
            <w:r>
              <w:rPr>
                <w:b w:val="0"/>
                <w:sz w:val="24"/>
              </w:rPr>
              <w:t>еохромоцитома;</w:t>
              <w:br/>
            </w:r>
            <w:r>
              <w:rPr>
                <w:b w:val="0"/>
                <w:color w:val="FF0000"/>
                <w:sz w:val="24"/>
              </w:rPr>
              <w:t>• п</w:t>
            </w:r>
            <w:r>
              <w:rPr>
                <w:b w:val="0"/>
                <w:sz w:val="24"/>
              </w:rPr>
              <w:t>орфирия;</w:t>
              <w:br/>
            </w:r>
            <w:r>
              <w:rPr>
                <w:b w:val="0"/>
                <w:color w:val="FF0000"/>
                <w:sz w:val="24"/>
              </w:rPr>
              <w:t>• с</w:t>
            </w:r>
            <w:r>
              <w:rPr>
                <w:b w:val="0"/>
                <w:sz w:val="24"/>
              </w:rPr>
              <w:t>удороги (эпилепсия, эклампсия);</w:t>
              <w:br/>
            </w:r>
            <w:r>
              <w:rPr>
                <w:b w:val="0"/>
                <w:color w:val="FF0000"/>
                <w:sz w:val="24"/>
              </w:rPr>
              <w:t>• г</w:t>
            </w:r>
            <w:r>
              <w:rPr>
                <w:b w:val="0"/>
                <w:sz w:val="24"/>
              </w:rPr>
              <w:t>иперплазия предстательной железы;</w:t>
              <w:br/>
            </w:r>
            <w:r>
              <w:rPr>
                <w:b w:val="0"/>
                <w:color w:val="FF0000"/>
                <w:sz w:val="24"/>
              </w:rPr>
              <w:t>• д</w:t>
            </w:r>
            <w:r>
              <w:rPr>
                <w:b w:val="0"/>
                <w:sz w:val="24"/>
              </w:rPr>
              <w:t>етский возраст до 3</w:t>
            </w:r>
            <w:r>
              <w:rPr>
                <w:b w:val="0"/>
                <w:color w:val="FF0000"/>
                <w:sz w:val="24"/>
              </w:rPr>
              <w:t xml:space="preserve"> лет;</w:t>
              <w:br/>
              <w:t>• б</w:t>
            </w:r>
            <w:r>
              <w:rPr>
                <w:b w:val="0"/>
                <w:sz w:val="24"/>
              </w:rPr>
              <w:t>еременность (I и III триместр)</w:t>
            </w:r>
            <w:r>
              <w:rPr>
                <w:b w:val="0"/>
                <w:color w:val="FF0000"/>
                <w:sz w:val="24"/>
              </w:rPr>
              <w:t xml:space="preserve"> (см</w:t>
            </w:r>
            <w:r>
              <w:rPr>
                <w:b w:val="0"/>
                <w:sz w:val="24"/>
              </w:rPr>
              <w:t>.</w:t>
            </w:r>
            <w:r>
              <w:rPr>
                <w:b w:val="0"/>
                <w:color w:val="FF0000"/>
                <w:sz w:val="24"/>
              </w:rPr>
              <w:t xml:space="preserve"> раздел 4.6);</w:t>
              <w:br/>
              <w:t>• период грудного вскармливания (см. раздел 4.6).</w:t>
            </w:r>
          </w:p>
        </w:tc>
      </w:tr>
      <w:tr>
        <w:tc>
          <w:tcPr>
            <w:tcW w:type="dxa" w:w="14560"/>
            <w:gridSpan w:val="2"/>
          </w:tcPr>
          <w:p>
            <w:pPr>
              <w:jc w:val="center"/>
            </w:pPr>
            <w:r/>
            <w:r>
              <w:rPr>
                <w:b/>
                <w:sz w:val="24"/>
              </w:rPr>
              <w:t>4.4. Особые указания и меры предосторожности при применении</w:t>
            </w:r>
          </w:p>
        </w:tc>
      </w:tr>
      <w:tr>
        <w:tc>
          <w:tcPr>
            <w:tcW w:type="dxa" w:w="7280"/>
            <w:shd w:val="clear" w:color="auto" w:fill="FF9999"/>
          </w:tcPr>
          <w:p>
            <w:pPr>
              <w:jc w:val="center"/>
            </w:pPr>
            <w:r/>
            <w:r>
              <w:rPr>
                <w:b/>
                <w:sz w:val="24"/>
              </w:rPr>
              <w:t>4.4 Особые указания и меры предосторожности при применении</w:t>
            </w:r>
          </w:p>
        </w:tc>
        <w:tc>
          <w:tcPr>
            <w:tcW w:type="dxa" w:w="7280"/>
          </w:tcPr>
          <w:p>
            <w:pPr>
              <w:jc w:val="center"/>
            </w:pPr>
            <w:r/>
            <w:r>
              <w:rPr>
                <w:b/>
                <w:sz w:val="24"/>
              </w:rPr>
              <w:t>4.4. Особые указания и меры предосторожности при применении</w:t>
            </w:r>
          </w:p>
        </w:tc>
      </w:tr>
      <w:tr>
        <w:tc>
          <w:tcPr>
            <w:tcW w:type="dxa" w:w="7280"/>
          </w:tcPr>
          <w:p>
            <w:r/>
            <w:r>
              <w:rPr>
                <w:b w:val="0"/>
                <w:sz w:val="24"/>
              </w:rPr>
              <w:t>Дименгидринат следует с осторожностью применять в следующих случаях:</w:t>
              <w:br/>
            </w:r>
            <w:r>
              <w:rPr>
                <w:b w:val="0"/>
                <w:color w:val="008000"/>
                <w:sz w:val="24"/>
              </w:rPr>
              <w:t>- -</w:t>
            </w:r>
            <w:r>
              <w:rPr>
                <w:b w:val="0"/>
                <w:sz w:val="24"/>
              </w:rPr>
              <w:t>тяжелое нарушение функции печени/почек из-за риска аккумуляции;</w:t>
              <w:br/>
            </w:r>
            <w:r>
              <w:rPr>
                <w:b w:val="0"/>
                <w:color w:val="008000"/>
                <w:sz w:val="24"/>
              </w:rPr>
              <w:t>- -</w:t>
            </w:r>
            <w:r>
              <w:rPr>
                <w:b w:val="0"/>
                <w:sz w:val="24"/>
              </w:rPr>
              <w:br/>
              <w:t xml:space="preserve">• </w:t>
            </w:r>
            <w:r>
              <w:rPr>
                <w:b w:val="0"/>
                <w:sz w:val="24"/>
              </w:rPr>
              <w:t>хронически</w:t>
            </w:r>
            <w:r>
              <w:rPr>
                <w:b w:val="0"/>
                <w:color w:val="008000"/>
                <w:sz w:val="24"/>
              </w:rPr>
              <w:t>е респираторные заболевания, брон</w:t>
            </w:r>
            <w:r>
              <w:rPr>
                <w:b w:val="0"/>
                <w:sz w:val="24"/>
              </w:rPr>
              <w:t>х</w:t>
            </w:r>
            <w:r>
              <w:rPr>
                <w:b w:val="0"/>
                <w:color w:val="008000"/>
                <w:sz w:val="24"/>
              </w:rPr>
              <w:t>иальная астма</w:t>
            </w:r>
            <w:r>
              <w:rPr>
                <w:b w:val="0"/>
                <w:sz w:val="24"/>
              </w:rPr>
              <w:t>;</w:t>
              <w:br/>
            </w:r>
            <w:r>
              <w:rPr>
                <w:b w:val="0"/>
                <w:color w:val="008000"/>
                <w:sz w:val="24"/>
              </w:rPr>
              <w:t>- -пожилые пациенты с более высокой склонностью к развитию ортостатической гипотензии, ожирению и седации, хроническим запорам (риск развития паралитической кишечной непроходимости) или потенциальной гипертрофии предстательной железы</w:t>
            </w:r>
            <w:r>
              <w:rPr>
                <w:b w:val="0"/>
                <w:sz w:val="24"/>
              </w:rPr>
              <w:t>;</w:t>
              <w:br/>
            </w:r>
            <w:r>
              <w:rPr>
                <w:b w:val="0"/>
                <w:color w:val="008000"/>
                <w:sz w:val="24"/>
              </w:rPr>
              <w:t>- -стеноз привратника</w:t>
            </w:r>
            <w:r>
              <w:rPr>
                <w:b w:val="0"/>
                <w:sz w:val="24"/>
              </w:rPr>
              <w:t>;</w:t>
              <w:br/>
            </w:r>
            <w:r>
              <w:rPr>
                <w:b w:val="0"/>
                <w:color w:val="008000"/>
                <w:sz w:val="24"/>
              </w:rPr>
              <w:t>- -пилородуоденальная непроходимость</w:t>
            </w:r>
            <w:r>
              <w:rPr>
                <w:b w:val="0"/>
                <w:sz w:val="24"/>
              </w:rPr>
              <w:t>;</w:t>
              <w:br/>
            </w:r>
            <w:r>
              <w:rPr>
                <w:b w:val="0"/>
                <w:color w:val="008000"/>
                <w:sz w:val="24"/>
              </w:rPr>
              <w:t>- -нарушения сердечного ритма, брадикардия;</w:t>
              <w:br/>
              <w:t>- -</w:t>
            </w:r>
            <w:r>
              <w:rPr>
                <w:b w:val="0"/>
                <w:sz w:val="24"/>
              </w:rPr>
              <w:t>врожденное удлинение интервала QT или другие клинически значимые сердечно</w:t>
            </w:r>
            <w:r>
              <w:rPr>
                <w:b w:val="0"/>
                <w:color w:val="008000"/>
                <w:sz w:val="24"/>
              </w:rPr>
              <w:t>-</w:t>
            </w:r>
            <w:r>
              <w:rPr>
                <w:b w:val="0"/>
                <w:sz w:val="24"/>
              </w:rPr>
              <w:t>сосудистые нарушения (ишемическая болезнь сердца, нарушения кровообращен</w:t>
            </w:r>
            <w:r>
              <w:rPr>
                <w:b w:val="0"/>
                <w:color w:val="008000"/>
                <w:sz w:val="24"/>
              </w:rPr>
              <w:t>ия, аритм</w:t>
            </w:r>
            <w:r>
              <w:rPr>
                <w:b w:val="0"/>
                <w:sz w:val="24"/>
              </w:rPr>
              <w:t>ия);</w:t>
              <w:br/>
            </w:r>
            <w:r>
              <w:rPr>
                <w:b w:val="0"/>
                <w:color w:val="008000"/>
                <w:sz w:val="24"/>
              </w:rPr>
              <w:t>- -Б</w:t>
            </w:r>
            <w:r>
              <w:rPr>
                <w:b w:val="0"/>
                <w:sz w:val="24"/>
              </w:rPr>
              <w:t>олезнь Паркинсона (особенно у пожилых людей).</w:t>
              <w:br/>
              <w:t>При длительном применении дименгидринат может привести к ложноположительному высокому уровню теофиллина в сыворотке крови.</w:t>
              <w:br/>
              <w:t>Во время лечения дименгидринатом следует избегать употребления алкогольсодержащих напитков</w:t>
            </w:r>
            <w:r>
              <w:rPr>
                <w:b w:val="0"/>
                <w:sz w:val="24"/>
              </w:rPr>
              <w:t>.</w:t>
              <w:br/>
              <w:t>Терапию дименгидринатом следует прекратить за несколько дней до тестирования на аллергены, так как это может привести к ложноотрицательным аллергическим тестам.</w:t>
              <w:br/>
              <w:t>При экстремально повышенной температуре воздуха есть риск возникновения теплового удара, вызванного антихолинергическим эффектом дименгидрината. Рекомендуется избегать воздействия очень высоких температур.</w:t>
              <w:br/>
              <w:t>Дименгидринат может вызывать явления фотосенсибилизации, рекомендуется воздержаться</w:t>
            </w:r>
            <w:r>
              <w:rPr>
                <w:b w:val="0"/>
                <w:color w:val="008000"/>
                <w:sz w:val="24"/>
              </w:rPr>
              <w:t xml:space="preserve"> </w:t>
            </w:r>
            <w:r>
              <w:rPr>
                <w:b w:val="0"/>
                <w:sz w:val="24"/>
              </w:rPr>
              <w:t>от посещения солярия и длительного воздействия на кожу прямых солнечных лучей.</w:t>
              <w:br/>
              <w:t>Вспомогательные вещества</w:t>
              <w:br/>
              <w:t>Данный лекарственный препарат не следует принимать пациентам с редко встречающейся наследственной непереносимостью галактозы, лакт</w:t>
            </w:r>
            <w:r>
              <w:rPr>
                <w:b w:val="0"/>
                <w:color w:val="008000"/>
                <w:sz w:val="24"/>
              </w:rPr>
              <w:t>о</w:t>
            </w:r>
            <w:r>
              <w:rPr>
                <w:b w:val="0"/>
                <w:sz w:val="24"/>
              </w:rPr>
              <w:t>зной недостаточностью или глюкозо</w:t>
            </w:r>
            <w:r>
              <w:rPr>
                <w:b w:val="0"/>
                <w:color w:val="008000"/>
                <w:sz w:val="24"/>
              </w:rPr>
              <w:t>-</w:t>
            </w:r>
            <w:r>
              <w:rPr>
                <w:b w:val="0"/>
                <w:sz w:val="24"/>
              </w:rPr>
              <w:t>галактозной мальабсорбцией.</w:t>
            </w:r>
          </w:p>
        </w:tc>
        <w:tc>
          <w:tcPr>
            <w:tcW w:type="dxa" w:w="7280"/>
          </w:tcPr>
          <w:p>
            <w:r/>
            <w:r>
              <w:rPr>
                <w:b w:val="0"/>
                <w:sz w:val="24"/>
              </w:rPr>
              <w:t>Дименгидринат следует с осторожностью применять в следующих случаях:</w:t>
              <w:br/>
            </w:r>
            <w:r>
              <w:rPr>
                <w:b w:val="0"/>
                <w:color w:val="FF0000"/>
                <w:sz w:val="24"/>
              </w:rPr>
              <w:t xml:space="preserve">• </w:t>
            </w:r>
            <w:r>
              <w:rPr>
                <w:b w:val="0"/>
                <w:sz w:val="24"/>
              </w:rPr>
              <w:t>тяжелое нарушение функции печени/почек из-за риска аккумуляции;</w:t>
              <w:br/>
            </w:r>
            <w:r>
              <w:rPr>
                <w:b w:val="0"/>
                <w:color w:val="FF0000"/>
                <w:sz w:val="24"/>
              </w:rPr>
              <w:t>• хронические респираторные заболевания, бронхиальная астма;</w:t>
            </w:r>
            <w:r>
              <w:rPr>
                <w:b w:val="0"/>
                <w:sz w:val="24"/>
              </w:rPr>
              <w:br/>
              <w:t xml:space="preserve">• </w:t>
            </w:r>
            <w:r>
              <w:rPr>
                <w:b w:val="0"/>
                <w:color w:val="FF0000"/>
                <w:sz w:val="24"/>
              </w:rPr>
              <w:t xml:space="preserve">пожилые пациенты с более высокой склонностью к развитию ортостатической гипотензии, ожирению и седации, </w:t>
            </w:r>
            <w:r>
              <w:rPr>
                <w:b w:val="0"/>
                <w:sz w:val="24"/>
              </w:rPr>
              <w:t>хронически</w:t>
            </w:r>
            <w:r>
              <w:rPr>
                <w:b w:val="0"/>
                <w:color w:val="FF0000"/>
                <w:sz w:val="24"/>
              </w:rPr>
              <w:t>м запорам (риск развития паралитической кишечной непро</w:t>
            </w:r>
            <w:r>
              <w:rPr>
                <w:b w:val="0"/>
                <w:sz w:val="24"/>
              </w:rPr>
              <w:t>х</w:t>
            </w:r>
            <w:r>
              <w:rPr>
                <w:b w:val="0"/>
                <w:color w:val="FF0000"/>
                <w:sz w:val="24"/>
              </w:rPr>
              <w:t>одимости) или потенциальной гипертрофии предстательной железы</w:t>
            </w:r>
            <w:r>
              <w:rPr>
                <w:b w:val="0"/>
                <w:sz w:val="24"/>
              </w:rPr>
              <w:t>;</w:t>
              <w:br/>
            </w:r>
            <w:r>
              <w:rPr>
                <w:b w:val="0"/>
                <w:color w:val="FF0000"/>
                <w:sz w:val="24"/>
              </w:rPr>
              <w:t>• стеноз привратника</w:t>
            </w:r>
            <w:r>
              <w:rPr>
                <w:b w:val="0"/>
                <w:sz w:val="24"/>
              </w:rPr>
              <w:t>;</w:t>
              <w:br/>
            </w:r>
            <w:r>
              <w:rPr>
                <w:b w:val="0"/>
                <w:color w:val="FF0000"/>
                <w:sz w:val="24"/>
              </w:rPr>
              <w:t>• пилородуоденальная непроходимость</w:t>
            </w:r>
            <w:r>
              <w:rPr>
                <w:b w:val="0"/>
                <w:sz w:val="24"/>
              </w:rPr>
              <w:t>;</w:t>
              <w:br/>
            </w:r>
            <w:r>
              <w:rPr>
                <w:b w:val="0"/>
                <w:color w:val="FF0000"/>
                <w:sz w:val="24"/>
              </w:rPr>
              <w:t>• аритмия, брадикардия</w:t>
            </w:r>
            <w:r>
              <w:rPr>
                <w:b w:val="0"/>
                <w:sz w:val="24"/>
              </w:rPr>
              <w:t>;</w:t>
              <w:br/>
            </w:r>
            <w:r>
              <w:rPr>
                <w:b w:val="0"/>
                <w:color w:val="FF0000"/>
                <w:sz w:val="24"/>
              </w:rPr>
              <w:t xml:space="preserve">• </w:t>
            </w:r>
            <w:r>
              <w:rPr>
                <w:b w:val="0"/>
                <w:sz w:val="24"/>
              </w:rPr>
              <w:t>врожденное удлинение интервала QT или другие клинически значимые сердечно</w:t>
            </w:r>
            <w:r>
              <w:rPr>
                <w:b w:val="0"/>
                <w:sz w:val="24"/>
              </w:rPr>
              <w:t>сосудистые нарушения (ишемическая болезнь сердца, нарушения кровообращен</w:t>
            </w:r>
            <w:r>
              <w:rPr>
                <w:b w:val="0"/>
                <w:sz w:val="24"/>
              </w:rPr>
              <w:t>ия);</w:t>
              <w:br/>
            </w:r>
            <w:r>
              <w:rPr>
                <w:b w:val="0"/>
                <w:color w:val="FF0000"/>
                <w:sz w:val="24"/>
              </w:rPr>
              <w:t>• б</w:t>
            </w:r>
            <w:r>
              <w:rPr>
                <w:b w:val="0"/>
                <w:sz w:val="24"/>
              </w:rPr>
              <w:t>олезнь Паркинсона (особенно у пожилых людей).</w:t>
              <w:br/>
              <w:t>При длительном применении дименгидринат может привести к ложноположительному высокому уровню теофиллина в сыворотке крови.</w:t>
              <w:br/>
              <w:t>Во время лечения дименгидринатом следует избегать употребления алкогольсодержащих напитков</w:t>
            </w:r>
            <w:r>
              <w:rPr>
                <w:b w:val="0"/>
                <w:color w:val="FF0000"/>
                <w:sz w:val="24"/>
              </w:rPr>
              <w:t xml:space="preserve"> (см. раздел 4.5)</w:t>
            </w:r>
            <w:r>
              <w:rPr>
                <w:b w:val="0"/>
                <w:sz w:val="24"/>
              </w:rPr>
              <w:t>.</w:t>
              <w:br/>
              <w:t>Терапию дименгидринатом следует прекратить за несколько дней до тестирования на аллергены, так как это может привести к ложноотрицательным аллергическим тестам.</w:t>
              <w:br/>
              <w:t>При экстремально повышенной температуре воздуха есть риск возникновения теплового удара, вызванного антихолинергическим эффектом дименгидрината. Рекомендуется избегать воздействия очень высоких температур.</w:t>
              <w:br/>
              <w:t>Дименгидринат может вызывать явления фотосенсибилизации, рекомендуется воздержаться</w:t>
            </w:r>
            <w:r>
              <w:rPr>
                <w:b w:val="0"/>
                <w:color w:val="FF0000"/>
                <w:sz w:val="24"/>
              </w:rPr>
              <w:br/>
            </w:r>
            <w:r>
              <w:rPr>
                <w:b w:val="0"/>
                <w:sz w:val="24"/>
              </w:rPr>
              <w:t>от посещения солярия и длительного воздействия на кожу прямых солнечных лучей.</w:t>
              <w:br/>
              <w:t>Вспомогательные вещества</w:t>
              <w:br/>
              <w:t>Данный лекарственный препарат не следует принимать пациентам с редко встречающейся наследственной непереносимостью галактозы, лакт</w:t>
            </w:r>
            <w:r>
              <w:rPr>
                <w:b w:val="0"/>
                <w:color w:val="FF0000"/>
                <w:sz w:val="24"/>
              </w:rPr>
              <w:t>а</w:t>
            </w:r>
            <w:r>
              <w:rPr>
                <w:b w:val="0"/>
                <w:sz w:val="24"/>
              </w:rPr>
              <w:t>зной недостаточностью или глюкозо</w:t>
            </w:r>
            <w:r>
              <w:rPr>
                <w:b w:val="0"/>
                <w:sz w:val="24"/>
              </w:rPr>
              <w:t>галактозной мальабсорбцией.</w:t>
            </w:r>
          </w:p>
        </w:tc>
      </w:tr>
      <w:tr>
        <w:tc>
          <w:tcPr>
            <w:tcW w:type="dxa" w:w="14560"/>
            <w:gridSpan w:val="2"/>
          </w:tcPr>
          <w:p>
            <w:pPr>
              <w:jc w:val="center"/>
            </w:pPr>
            <w:r/>
            <w:r>
              <w:rPr>
                <w:b/>
                <w:sz w:val="24"/>
              </w:rPr>
              <w:t>4.5. Взаимодействие с другими лекарственными препаратами и другие виды взаимодействия</w:t>
            </w:r>
          </w:p>
        </w:tc>
      </w:tr>
      <w:tr>
        <w:tc>
          <w:tcPr>
            <w:tcW w:type="dxa" w:w="7280"/>
            <w:shd w:val="clear" w:color="auto" w:fill="FF9999"/>
          </w:tcPr>
          <w:p>
            <w:pPr>
              <w:jc w:val="center"/>
            </w:pPr>
            <w:r/>
            <w:r>
              <w:rPr>
                <w:b/>
                <w:sz w:val="24"/>
              </w:rPr>
              <w:t>4.5 Взаимодействие с другими лекарственными препаратами и другие виды взаимодействия</w:t>
            </w:r>
          </w:p>
        </w:tc>
        <w:tc>
          <w:tcPr>
            <w:tcW w:type="dxa" w:w="7280"/>
          </w:tcPr>
          <w:p>
            <w:pPr>
              <w:jc w:val="center"/>
            </w:pPr>
            <w:r/>
            <w:r>
              <w:rPr>
                <w:b/>
                <w:sz w:val="24"/>
              </w:rPr>
              <w:t>4.5. Взаимодействие с другими лекарственными препаратами и другие виды взаимодействия</w:t>
            </w:r>
          </w:p>
        </w:tc>
      </w:tr>
      <w:tr>
        <w:tc>
          <w:tcPr>
            <w:tcW w:type="dxa" w:w="7280"/>
          </w:tcPr>
          <w:p>
            <w:r/>
            <w:r>
              <w:rPr>
                <w:b w:val="0"/>
                <w:sz w:val="24"/>
              </w:rPr>
              <w:t>Антихолинергический эффект дименгидрината (потенциальная задержка мочи, запор и сухость во рту) может быть усилен при одновременном применении с</w:t>
            </w:r>
            <w:r>
              <w:rPr>
                <w:b w:val="0"/>
                <w:color w:val="008000"/>
                <w:sz w:val="24"/>
              </w:rPr>
              <w:br/>
            </w:r>
            <w:r>
              <w:rPr>
                <w:b w:val="0"/>
                <w:sz w:val="24"/>
              </w:rPr>
              <w:t>антихолинергическими препаратами (атропин, противопаркинсонические средства,</w:t>
            </w:r>
            <w:r>
              <w:rPr>
                <w:b w:val="0"/>
                <w:color w:val="008000"/>
                <w:sz w:val="24"/>
              </w:rPr>
              <w:br/>
            </w:r>
            <w:r>
              <w:rPr>
                <w:b w:val="0"/>
                <w:sz w:val="24"/>
              </w:rPr>
              <w:t>трициклические антидепрессанты и др.).</w:t>
              <w:br/>
              <w:t xml:space="preserve">Применение ингибиторов моноаминоксидазы (МАО) усиливает седативные и антихолинергические эффекты дименгидрината: возможно развитие паралитической кишечной непроходимости, задержка мочи, повышение внутриглазного давления, снижение артериального давления и нарушение дыхания. </w:t>
            </w:r>
            <w:r>
              <w:rPr>
                <w:b w:val="0"/>
                <w:color w:val="008000"/>
                <w:sz w:val="24"/>
              </w:rPr>
              <w:t>с</w:t>
              <w:br/>
            </w:r>
            <w:r>
              <w:rPr>
                <w:b w:val="0"/>
                <w:sz w:val="24"/>
              </w:rPr>
              <w:t>Следует избегать одновременного применения дименгидрината</w:t>
            </w:r>
            <w:r>
              <w:rPr>
                <w:b w:val="0"/>
                <w:sz w:val="24"/>
              </w:rPr>
              <w:t xml:space="preserve"> ингибиторами МАО.</w:t>
              <w:br/>
              <w:t xml:space="preserve">Производные морфина (анальгетики, противокашлевые препараты, синтетические заменители морфина), бензодиазепины, барбитураты, анксиолитики, снотворные, нейролептики, антидепрессанты, центральные гипотензивные средства, баклофен, талидомид могут усиливать угнетение </w:t>
            </w:r>
            <w:r>
              <w:rPr>
                <w:b w:val="0"/>
                <w:sz w:val="24"/>
              </w:rPr>
              <w:t>ЦНС</w:t>
            </w:r>
            <w:r>
              <w:rPr>
                <w:b w:val="0"/>
                <w:sz w:val="24"/>
              </w:rPr>
              <w:t>.</w:t>
              <w:br/>
              <w:t>Дименгидринат может маскировать:</w:t>
              <w:br/>
            </w:r>
            <w:r>
              <w:rPr>
                <w:b w:val="0"/>
                <w:color w:val="008000"/>
                <w:sz w:val="24"/>
              </w:rPr>
              <w:t>- -</w:t>
            </w:r>
            <w:r>
              <w:rPr>
                <w:b w:val="0"/>
                <w:sz w:val="24"/>
              </w:rPr>
              <w:t>ранние признаки ототоксичности, связанные с приемом аминогликозидных антибиотиков;</w:t>
              <w:br/>
            </w:r>
            <w:r>
              <w:rPr>
                <w:b w:val="0"/>
                <w:color w:val="008000"/>
                <w:sz w:val="24"/>
              </w:rPr>
              <w:t>- -</w:t>
            </w:r>
            <w:r>
              <w:rPr>
                <w:b w:val="0"/>
                <w:sz w:val="24"/>
              </w:rPr>
              <w:t>реакцию кожи на кожные аллергические пробы.</w:t>
              <w:br/>
              <w:t>Следует избегать одновременного приема дименгидрината и лекарственных средств, удлиняющих интервал QT (некоторые антибиотики, нейролептики, антиаритмические средства класса I и противомалярийные средства класса III) или вызывающих гипокалиемию (например, диуретики).</w:t>
              <w:br/>
              <w:t>Одновременное применение гипотензивных средств и дименгидрината может привести к повышенной утомляемости и усилению антигипертензивного эффекта.</w:t>
              <w:br/>
              <w:t>Приём алкоголя усиливает седативный эффект антигистаминных препаратов, действующих на H1-рецепторы, поэтому во время лечения дименгидринатом нельзя употреблять алкогольные напитки и спиртосодержащие лекарственные средства.</w:t>
              <w:br/>
              <w:t>Дименгидринат усиливает действие адреналина, норадреналина и других симпатомиметиков.</w:t>
            </w:r>
          </w:p>
        </w:tc>
        <w:tc>
          <w:tcPr>
            <w:tcW w:type="dxa" w:w="7280"/>
          </w:tcPr>
          <w:p>
            <w:r/>
            <w:r>
              <w:rPr>
                <w:b w:val="0"/>
                <w:sz w:val="24"/>
              </w:rPr>
              <w:t>Антихолинергический эффект дименгидрината (потенциальная задержка мочи, запор и сухость во рту) может быть усилен при одновременном применении с</w:t>
            </w:r>
            <w:r>
              <w:rPr>
                <w:b w:val="0"/>
                <w:color w:val="FF0000"/>
                <w:sz w:val="24"/>
              </w:rPr>
              <w:t xml:space="preserve"> </w:t>
            </w:r>
            <w:r>
              <w:rPr>
                <w:b w:val="0"/>
                <w:sz w:val="24"/>
              </w:rPr>
              <w:t>антихолинергическими препаратами (атропин, противопаркинсонические средства,</w:t>
            </w:r>
            <w:r>
              <w:rPr>
                <w:b w:val="0"/>
                <w:color w:val="FF0000"/>
                <w:sz w:val="24"/>
              </w:rPr>
              <w:t xml:space="preserve"> </w:t>
            </w:r>
            <w:r>
              <w:rPr>
                <w:b w:val="0"/>
                <w:sz w:val="24"/>
              </w:rPr>
              <w:t>трициклические антидепрессанты и др.).</w:t>
              <w:br/>
              <w:t xml:space="preserve">Применение ингибиторов моноаминоксидазы (МАО) усиливает седативные и антихолинергические эффекты дименгидрината: возможно развитие паралитической кишечной непроходимости, задержка мочи, повышение внутриглазного давления, снижение артериального давления и нарушение дыхания. </w:t>
            </w:r>
            <w:r>
              <w:rPr>
                <w:b w:val="0"/>
                <w:sz w:val="24"/>
              </w:rPr>
              <w:t>Следует избегать одновременного применения дименгидрината</w:t>
            </w:r>
            <w:r>
              <w:rPr>
                <w:b w:val="0"/>
                <w:color w:val="FF0000"/>
                <w:sz w:val="24"/>
              </w:rPr>
              <w:t xml:space="preserve"> с</w:t>
            </w:r>
            <w:r>
              <w:rPr>
                <w:b w:val="0"/>
                <w:sz w:val="24"/>
              </w:rPr>
              <w:t xml:space="preserve"> ингибиторами МАО.</w:t>
              <w:br/>
              <w:t xml:space="preserve">Производные морфина (анальгетики, противокашлевые препараты, синтетические заменители морфина), бензодиазепины, барбитураты, анксиолитики, снотворные, нейролептики, антидепрессанты, центральные гипотензивные средства, баклофен, талидомид могут усиливать угнетение </w:t>
            </w:r>
            <w:r>
              <w:rPr>
                <w:b w:val="0"/>
                <w:color w:val="FF0000"/>
                <w:sz w:val="24"/>
              </w:rPr>
              <w:t>центральной нервной системы (</w:t>
            </w:r>
            <w:r>
              <w:rPr>
                <w:b w:val="0"/>
                <w:sz w:val="24"/>
              </w:rPr>
              <w:t>ЦНС</w:t>
            </w:r>
            <w:r>
              <w:rPr>
                <w:b w:val="0"/>
                <w:color w:val="FF0000"/>
                <w:sz w:val="24"/>
              </w:rPr>
              <w:t>)</w:t>
            </w:r>
            <w:r>
              <w:rPr>
                <w:b w:val="0"/>
                <w:sz w:val="24"/>
              </w:rPr>
              <w:t>.</w:t>
              <w:br/>
              <w:t>Дименгидринат может маскировать:</w:t>
              <w:br/>
            </w:r>
            <w:r>
              <w:rPr>
                <w:b w:val="0"/>
                <w:color w:val="FF0000"/>
                <w:sz w:val="24"/>
              </w:rPr>
              <w:t xml:space="preserve">• </w:t>
            </w:r>
            <w:r>
              <w:rPr>
                <w:b w:val="0"/>
                <w:sz w:val="24"/>
              </w:rPr>
              <w:t>ранние признаки ототоксичности, связанные с приемом аминогликозидных антибиотиков;</w:t>
              <w:br/>
            </w:r>
            <w:r>
              <w:rPr>
                <w:b w:val="0"/>
                <w:color w:val="FF0000"/>
                <w:sz w:val="24"/>
              </w:rPr>
              <w:t xml:space="preserve">• </w:t>
            </w:r>
            <w:r>
              <w:rPr>
                <w:b w:val="0"/>
                <w:sz w:val="24"/>
              </w:rPr>
              <w:t>реакцию кожи на кожные аллергические пробы.</w:t>
              <w:br/>
              <w:t>Следует избегать одновременного приема дименгидрината и лекарственных средств, удлиняющих интервал QT (некоторые антибиотики, нейролептики, антиаритмические средства класса I и противомалярийные средства класса III) или вызывающих гипокалиемию (например, диуретики).</w:t>
              <w:br/>
              <w:t>Одновременное применение гипотензивных средств и дименгидрината может привести к повышенной утомляемости и усилению антигипертензивного эффекта.</w:t>
              <w:br/>
              <w:t>Приём алкоголя усиливает седативный эффект антигистаминных препаратов, действующих на H1-рецепторы, поэтому во время лечения дименгидринатом нельзя употреблять алкогольные напитки и спиртосодержащие лекарственные средства.</w:t>
              <w:br/>
              <w:t>Дименгидринат усиливает действие адреналина, норадреналина и других симпатомиметиков.</w:t>
            </w:r>
          </w:p>
        </w:tc>
      </w:tr>
      <w:tr>
        <w:tc>
          <w:tcPr>
            <w:tcW w:type="dxa" w:w="14560"/>
            <w:gridSpan w:val="2"/>
          </w:tcPr>
          <w:p>
            <w:pPr>
              <w:jc w:val="center"/>
            </w:pPr>
            <w:r/>
            <w:r>
              <w:rPr>
                <w:b/>
                <w:sz w:val="24"/>
              </w:rPr>
              <w:t>4.6. Фертильность, беременность и лактация</w:t>
            </w:r>
          </w:p>
        </w:tc>
      </w:tr>
      <w:tr>
        <w:tc>
          <w:tcPr>
            <w:tcW w:type="dxa" w:w="7280"/>
            <w:shd w:val="clear" w:color="auto" w:fill="FF9999"/>
          </w:tcPr>
          <w:p>
            <w:pPr>
              <w:jc w:val="center"/>
            </w:pPr>
            <w:r/>
            <w:r>
              <w:rPr>
                <w:b/>
                <w:sz w:val="24"/>
              </w:rPr>
              <w:t>4.6 Фертильность, беременность и лактация</w:t>
            </w:r>
          </w:p>
        </w:tc>
        <w:tc>
          <w:tcPr>
            <w:tcW w:type="dxa" w:w="7280"/>
          </w:tcPr>
          <w:p>
            <w:pPr>
              <w:jc w:val="center"/>
            </w:pPr>
            <w:r/>
            <w:r>
              <w:rPr>
                <w:b/>
                <w:sz w:val="24"/>
              </w:rPr>
              <w:t>4.6. Фертильность, беременность и лактация</w:t>
            </w:r>
          </w:p>
        </w:tc>
      </w:tr>
      <w:tr>
        <w:tc>
          <w:tcPr>
            <w:tcW w:type="dxa" w:w="7280"/>
          </w:tcPr>
          <w:p>
            <w:r/>
            <w:r>
              <w:rPr>
                <w:b w:val="0"/>
                <w:sz w:val="24"/>
              </w:rPr>
              <w:t>Беременность</w:t>
              <w:br/>
            </w:r>
            <w:r>
              <w:rPr>
                <w:b w:val="0"/>
                <w:color w:val="008000"/>
                <w:sz w:val="24"/>
              </w:rPr>
              <w:t>Отсутствуют д</w:t>
            </w:r>
            <w:r>
              <w:rPr>
                <w:b w:val="0"/>
                <w:sz w:val="24"/>
              </w:rPr>
              <w:t>анные о применении дименгидрината у беременных женщин</w:t>
            </w:r>
            <w:r>
              <w:rPr>
                <w:b w:val="0"/>
                <w:sz w:val="24"/>
              </w:rPr>
              <w:t xml:space="preserve">, так как </w:t>
            </w:r>
            <w:r>
              <w:rPr>
                <w:b w:val="0"/>
                <w:color w:val="008000"/>
                <w:sz w:val="24"/>
              </w:rPr>
              <w:t>исследован</w:t>
            </w:r>
            <w:r>
              <w:rPr>
                <w:b w:val="0"/>
                <w:sz w:val="24"/>
              </w:rPr>
              <w:t>ия</w:t>
            </w:r>
            <w:r>
              <w:rPr>
                <w:b w:val="0"/>
                <w:color w:val="008000"/>
                <w:sz w:val="24"/>
              </w:rPr>
              <w:t xml:space="preserve"> на данной кате</w:t>
            </w:r>
            <w:r>
              <w:rPr>
                <w:b w:val="0"/>
                <w:sz w:val="24"/>
              </w:rPr>
              <w:t>г</w:t>
            </w:r>
            <w:r>
              <w:rPr>
                <w:b w:val="0"/>
                <w:color w:val="008000"/>
                <w:sz w:val="24"/>
              </w:rPr>
              <w:t>ории па</w:t>
            </w:r>
            <w:r>
              <w:rPr>
                <w:b w:val="0"/>
                <w:sz w:val="24"/>
              </w:rPr>
              <w:t>ци</w:t>
            </w:r>
            <w:r>
              <w:rPr>
                <w:b w:val="0"/>
                <w:color w:val="008000"/>
                <w:sz w:val="24"/>
              </w:rPr>
              <w:t>ентов не проводились.</w:t>
              <w:br/>
            </w:r>
            <w:r>
              <w:rPr>
                <w:b w:val="0"/>
                <w:sz w:val="24"/>
              </w:rPr>
              <w:t>Н</w:t>
            </w:r>
            <w:r>
              <w:rPr>
                <w:b w:val="0"/>
                <w:color w:val="008000"/>
                <w:sz w:val="24"/>
              </w:rPr>
              <w:t>е рекомендуетс</w:t>
            </w:r>
            <w:r>
              <w:rPr>
                <w:b w:val="0"/>
                <w:sz w:val="24"/>
              </w:rPr>
              <w:t>я</w:t>
            </w:r>
            <w:r>
              <w:rPr>
                <w:b w:val="0"/>
                <w:color w:val="008000"/>
                <w:sz w:val="24"/>
              </w:rPr>
              <w:t xml:space="preserve"> применять</w:t>
            </w:r>
            <w:r>
              <w:rPr>
                <w:b w:val="0"/>
                <w:sz w:val="24"/>
              </w:rPr>
              <w:t xml:space="preserve"> дименгидринат</w:t>
            </w:r>
            <w:r>
              <w:rPr>
                <w:b w:val="0"/>
                <w:color w:val="008000"/>
                <w:sz w:val="24"/>
              </w:rPr>
              <w:t xml:space="preserve"> во время беременности, если только его потенциальная польза для матери не превышает потенциального риска для плода. Таблетки Драмина противопоказаны в третьем триместре беременности, так как они могут стимулировать преждевременное сокращение матки.</w:t>
              <w:br/>
              <w:t>Применение дименгидрината в I триместре беременности противопоказано.</w:t>
              <w:br/>
              <w:t>Лактация</w:t>
              <w:br/>
              <w:t>Дименгидринат выделяется в грудное молоко, может уменьшать его секреци</w:t>
            </w:r>
            <w:r>
              <w:rPr>
                <w:b w:val="0"/>
                <w:sz w:val="24"/>
              </w:rPr>
              <w:t>ю</w:t>
            </w:r>
            <w:r>
              <w:rPr>
                <w:b w:val="0"/>
                <w:color w:val="008000"/>
                <w:sz w:val="24"/>
              </w:rPr>
              <w:t>.</w:t>
              <w:br/>
              <w:t>Прием препарата противопоказан в период грудного</w:t>
              <w:br/>
              <w:t>вскармливания.</w:t>
              <w:br/>
              <w:t>Фертильность</w:t>
              <w:br/>
              <w:t>Данные о влиянии дименгидрината на фертильность отсутствуют.</w:t>
            </w:r>
          </w:p>
        </w:tc>
        <w:tc>
          <w:tcPr>
            <w:tcW w:type="dxa" w:w="7280"/>
          </w:tcPr>
          <w:p>
            <w:r/>
            <w:r>
              <w:rPr>
                <w:b w:val="0"/>
                <w:sz w:val="24"/>
              </w:rPr>
              <w:t>Беременность</w:t>
              <w:br/>
            </w:r>
            <w:r>
              <w:rPr>
                <w:b w:val="0"/>
                <w:color w:val="FF0000"/>
                <w:sz w:val="24"/>
              </w:rPr>
              <w:t>Д</w:t>
            </w:r>
            <w:r>
              <w:rPr>
                <w:b w:val="0"/>
                <w:sz w:val="24"/>
              </w:rPr>
              <w:t>анные о применении дименгидрината у беременных женщин</w:t>
            </w:r>
            <w:r>
              <w:rPr>
                <w:b w:val="0"/>
                <w:color w:val="FF0000"/>
                <w:sz w:val="24"/>
              </w:rPr>
              <w:t xml:space="preserve"> отсутствуют или ограничены.</w:t>
              <w:br/>
              <w:t>Исследования репродуктивной токсичности на животных не свидетельствуют о наличии репродуктивной токсичности (см. раздел 5.3)</w:t>
              <w:br/>
              <w:t>Применение препарата ТРЭВЕЛИН во время II триместра беременности при необходимости возможно.</w:t>
              <w:br/>
              <w:t>ТРЭВЕЛИН не следует применять в III триместре беременности</w:t>
            </w:r>
            <w:r>
              <w:rPr>
                <w:b w:val="0"/>
                <w:sz w:val="24"/>
              </w:rPr>
              <w:t xml:space="preserve">, так как </w:t>
            </w:r>
            <w:r>
              <w:rPr>
                <w:b w:val="0"/>
                <w:color w:val="FF0000"/>
                <w:sz w:val="24"/>
              </w:rPr>
              <w:t>он может стимулировать преждевременное сокращение матки (см. раздел 4.3).</w:t>
              <w:br/>
              <w:t>Применение препарата ТРЭВЕЛИН в I триместре беременности противопоказано (см. раздел 4.3).</w:t>
              <w:br/>
              <w:t>Лактац</w:t>
            </w:r>
            <w:r>
              <w:rPr>
                <w:b w:val="0"/>
                <w:sz w:val="24"/>
              </w:rPr>
              <w:t>ия</w:t>
            </w:r>
            <w:r>
              <w:rPr>
                <w:b w:val="0"/>
                <w:color w:val="FF0000"/>
                <w:sz w:val="24"/>
              </w:rPr>
              <w:br/>
              <w:t>Димен</w:t>
            </w:r>
            <w:r>
              <w:rPr>
                <w:b w:val="0"/>
                <w:sz w:val="24"/>
              </w:rPr>
              <w:t>г</w:t>
            </w:r>
            <w:r>
              <w:rPr>
                <w:b w:val="0"/>
                <w:color w:val="FF0000"/>
                <w:sz w:val="24"/>
              </w:rPr>
              <w:t>идринат проникает в грудное молоко и может уменьшать его секре</w:t>
            </w:r>
            <w:r>
              <w:rPr>
                <w:b w:val="0"/>
                <w:sz w:val="24"/>
              </w:rPr>
              <w:t>ци</w:t>
            </w:r>
            <w:r>
              <w:rPr>
                <w:b w:val="0"/>
                <w:color w:val="FF0000"/>
                <w:sz w:val="24"/>
              </w:rPr>
              <w:t>ю. В период лечения препаратом ТРЭВЕЛИ</w:t>
            </w:r>
            <w:r>
              <w:rPr>
                <w:b w:val="0"/>
                <w:sz w:val="24"/>
              </w:rPr>
              <w:t>Н</w:t>
            </w:r>
            <w:r>
              <w:rPr>
                <w:b w:val="0"/>
                <w:color w:val="FF0000"/>
                <w:sz w:val="24"/>
              </w:rPr>
              <w:t xml:space="preserve"> грудное вскармливание следует прекратить.</w:t>
              <w:br/>
              <w:t>Фертильность</w:t>
              <w:br/>
              <w:t>Данные о вли</w:t>
            </w:r>
            <w:r>
              <w:rPr>
                <w:b w:val="0"/>
                <w:sz w:val="24"/>
              </w:rPr>
              <w:t>я</w:t>
            </w:r>
            <w:r>
              <w:rPr>
                <w:b w:val="0"/>
                <w:color w:val="FF0000"/>
                <w:sz w:val="24"/>
              </w:rPr>
              <w:t>нии</w:t>
            </w:r>
            <w:r>
              <w:rPr>
                <w:b w:val="0"/>
                <w:sz w:val="24"/>
              </w:rPr>
              <w:t xml:space="preserve"> дименгидринат</w:t>
            </w:r>
            <w:r>
              <w:rPr>
                <w:b w:val="0"/>
                <w:color w:val="FF0000"/>
                <w:sz w:val="24"/>
              </w:rPr>
              <w:t>а на фертильность отсутству</w:t>
            </w:r>
            <w:r>
              <w:rPr>
                <w:b w:val="0"/>
                <w:sz w:val="24"/>
              </w:rPr>
              <w:t>ю</w:t>
            </w:r>
            <w:r>
              <w:rPr>
                <w:b w:val="0"/>
                <w:color w:val="FF0000"/>
                <w:sz w:val="24"/>
              </w:rPr>
              <w:t>т.</w:t>
            </w:r>
          </w:p>
        </w:tc>
      </w:tr>
      <w:tr>
        <w:tc>
          <w:tcPr>
            <w:tcW w:type="dxa" w:w="14560"/>
            <w:gridSpan w:val="2"/>
          </w:tcPr>
          <w:p>
            <w:pPr>
              <w:jc w:val="center"/>
            </w:pPr>
            <w:r/>
            <w:r>
              <w:rPr>
                <w:b/>
                <w:sz w:val="24"/>
              </w:rPr>
              <w:t>4.7. Влияние на способность управлять транспортными средствами и работать с механизмами</w:t>
            </w:r>
          </w:p>
        </w:tc>
      </w:tr>
      <w:tr>
        <w:tc>
          <w:tcPr>
            <w:tcW w:type="dxa" w:w="7280"/>
            <w:shd w:val="clear" w:color="auto" w:fill="FF9999"/>
          </w:tcPr>
          <w:p>
            <w:pPr>
              <w:jc w:val="center"/>
            </w:pPr>
            <w:r/>
            <w:r>
              <w:rPr>
                <w:b/>
                <w:sz w:val="24"/>
              </w:rPr>
              <w:t>4.7 Влияние на способность управлять транспортными средствами и работать с механизмами</w:t>
            </w:r>
          </w:p>
        </w:tc>
        <w:tc>
          <w:tcPr>
            <w:tcW w:type="dxa" w:w="7280"/>
          </w:tcPr>
          <w:p>
            <w:pPr>
              <w:jc w:val="center"/>
            </w:pPr>
            <w:r/>
            <w:r>
              <w:rPr>
                <w:b/>
                <w:sz w:val="24"/>
              </w:rPr>
              <w:t>4.7. Влияние на способность управлять транспортными средствами и работать с механизмами</w:t>
            </w:r>
          </w:p>
        </w:tc>
      </w:tr>
      <w:tr>
        <w:tc>
          <w:tcPr>
            <w:tcW w:type="dxa" w:w="7280"/>
          </w:tcPr>
          <w:p>
            <w:r/>
            <w:r>
              <w:rPr>
                <w:b w:val="0"/>
                <w:sz w:val="24"/>
              </w:rPr>
              <w:t>Учитывая побочные эффекты, следует соблюдать осторожность при занятиях потенциально опасными видами деятельности, требующими повышенно</w:t>
            </w:r>
            <w:r>
              <w:rPr>
                <w:b w:val="0"/>
                <w:color w:val="008000"/>
                <w:sz w:val="24"/>
              </w:rPr>
              <w:t>го внимания и быстроты психомоторных реакци</w:t>
            </w:r>
            <w:r>
              <w:rPr>
                <w:b w:val="0"/>
                <w:sz w:val="24"/>
              </w:rPr>
              <w:t xml:space="preserve">й </w:t>
            </w:r>
            <w:r>
              <w:rPr>
                <w:b w:val="0"/>
                <w:color w:val="008000"/>
                <w:sz w:val="24"/>
              </w:rPr>
              <w:t xml:space="preserve">(в том </w:t>
            </w:r>
            <w:r>
              <w:rPr>
                <w:b w:val="0"/>
                <w:sz w:val="24"/>
              </w:rPr>
              <w:t>ч</w:t>
            </w:r>
            <w:r>
              <w:rPr>
                <w:b w:val="0"/>
                <w:color w:val="008000"/>
                <w:sz w:val="24"/>
              </w:rPr>
              <w:t>исле управление автотранспортом)</w:t>
            </w:r>
            <w:r>
              <w:rPr>
                <w:b w:val="0"/>
                <w:sz w:val="24"/>
              </w:rPr>
              <w:t>.</w:t>
            </w:r>
          </w:p>
        </w:tc>
        <w:tc>
          <w:tcPr>
            <w:tcW w:type="dxa" w:w="7280"/>
          </w:tcPr>
          <w:p>
            <w:r/>
            <w:r>
              <w:rPr>
                <w:b w:val="0"/>
                <w:sz w:val="24"/>
              </w:rPr>
              <w:t>Учитывая побочные эффекты, следует соблюдать осторожность при занятиях потенциально опасными видами деятельности, требующими повышенно</w:t>
            </w:r>
            <w:r>
              <w:rPr>
                <w:b w:val="0"/>
                <w:sz w:val="24"/>
              </w:rPr>
              <w:t xml:space="preserve">й </w:t>
            </w:r>
            <w:r>
              <w:rPr>
                <w:b w:val="0"/>
                <w:color w:val="FF0000"/>
                <w:sz w:val="24"/>
              </w:rPr>
              <w:t>концентрации внимания и быстроты психомоторных реакций, вклю</w:t>
            </w:r>
            <w:r>
              <w:rPr>
                <w:b w:val="0"/>
                <w:sz w:val="24"/>
              </w:rPr>
              <w:t>ч</w:t>
            </w:r>
            <w:r>
              <w:rPr>
                <w:b w:val="0"/>
                <w:color w:val="FF0000"/>
                <w:sz w:val="24"/>
              </w:rPr>
              <w:t>ая управление транспортными средствами и работу с механизмами</w:t>
            </w:r>
            <w:r>
              <w:rPr>
                <w:b w:val="0"/>
                <w:sz w:val="24"/>
              </w:rPr>
              <w:t>.</w:t>
            </w:r>
          </w:p>
        </w:tc>
      </w:tr>
      <w:tr>
        <w:tc>
          <w:tcPr>
            <w:tcW w:type="dxa" w:w="14560"/>
            <w:gridSpan w:val="2"/>
          </w:tcPr>
          <w:p>
            <w:pPr>
              <w:jc w:val="center"/>
            </w:pPr>
            <w:r/>
            <w:r>
              <w:rPr>
                <w:b/>
                <w:sz w:val="24"/>
              </w:rPr>
              <w:t>4.8. Нежелательные реакции</w:t>
            </w:r>
          </w:p>
        </w:tc>
      </w:tr>
      <w:tr>
        <w:tc>
          <w:tcPr>
            <w:tcW w:type="dxa" w:w="7280"/>
            <w:shd w:val="clear" w:color="auto" w:fill="FF9999"/>
          </w:tcPr>
          <w:p>
            <w:pPr>
              <w:jc w:val="center"/>
            </w:pPr>
            <w:r/>
            <w:r>
              <w:rPr>
                <w:b/>
                <w:sz w:val="24"/>
              </w:rPr>
              <w:t>4.8 Нежелательные реакции</w:t>
            </w:r>
          </w:p>
        </w:tc>
        <w:tc>
          <w:tcPr>
            <w:tcW w:type="dxa" w:w="7280"/>
          </w:tcPr>
          <w:p>
            <w:pPr>
              <w:jc w:val="center"/>
            </w:pPr>
            <w:r/>
            <w:r>
              <w:rPr>
                <w:b/>
                <w:sz w:val="24"/>
              </w:rPr>
              <w:t>4.8. Нежелательные реакции</w:t>
            </w:r>
          </w:p>
        </w:tc>
      </w:tr>
      <w:tr>
        <w:tc>
          <w:tcPr>
            <w:tcW w:type="dxa" w:w="7280"/>
          </w:tcPr>
          <w:p>
            <w:r/>
            <w:r>
              <w:rPr>
                <w:b w:val="0"/>
                <w:sz w:val="24"/>
              </w:rPr>
              <w:t>Н</w:t>
            </w:r>
            <w:r>
              <w:rPr>
                <w:b w:val="0"/>
                <w:sz w:val="24"/>
              </w:rPr>
              <w:t>ежелательны</w:t>
            </w:r>
            <w:r>
              <w:rPr>
                <w:b w:val="0"/>
                <w:color w:val="008000"/>
                <w:sz w:val="24"/>
              </w:rPr>
              <w:t>е</w:t>
            </w:r>
            <w:r>
              <w:rPr>
                <w:b w:val="0"/>
                <w:sz w:val="24"/>
              </w:rPr>
              <w:t xml:space="preserve"> реакци</w:t>
            </w:r>
            <w:r>
              <w:rPr>
                <w:b w:val="0"/>
                <w:color w:val="008000"/>
                <w:sz w:val="24"/>
              </w:rPr>
              <w:t xml:space="preserve">и, представленные </w:t>
            </w:r>
            <w:r>
              <w:rPr>
                <w:b w:val="0"/>
                <w:sz w:val="24"/>
              </w:rPr>
              <w:t>ниже</w:t>
            </w:r>
            <w:r>
              <w:rPr>
                <w:b w:val="0"/>
                <w:color w:val="008000"/>
                <w:sz w:val="24"/>
              </w:rPr>
              <w:t>, перечислены в соответствии с пора</w:t>
            </w:r>
            <w:r>
              <w:rPr>
                <w:b w:val="0"/>
                <w:sz w:val="24"/>
              </w:rPr>
              <w:t>же</w:t>
            </w:r>
            <w:r>
              <w:rPr>
                <w:b w:val="0"/>
                <w:color w:val="008000"/>
                <w:sz w:val="24"/>
              </w:rPr>
              <w:t>нием органов и систем органов и частото</w:t>
            </w:r>
            <w:r>
              <w:rPr>
                <w:b w:val="0"/>
                <w:sz w:val="24"/>
              </w:rPr>
              <w:t>й</w:t>
            </w:r>
            <w:r>
              <w:rPr>
                <w:b w:val="0"/>
                <w:color w:val="008000"/>
                <w:sz w:val="24"/>
              </w:rPr>
              <w:t xml:space="preserve"> встречаемости. Частота встречаемости определяется следу</w:t>
            </w:r>
            <w:r>
              <w:rPr>
                <w:b w:val="0"/>
                <w:sz w:val="24"/>
              </w:rPr>
              <w:t>ющи</w:t>
            </w:r>
            <w:r>
              <w:rPr>
                <w:b w:val="0"/>
                <w:color w:val="008000"/>
                <w:sz w:val="24"/>
              </w:rPr>
              <w:t>м о</w:t>
            </w:r>
            <w:r>
              <w:rPr>
                <w:b w:val="0"/>
                <w:sz w:val="24"/>
              </w:rPr>
              <w:t>б</w:t>
            </w:r>
            <w:r>
              <w:rPr>
                <w:b w:val="0"/>
                <w:color w:val="008000"/>
                <w:sz w:val="24"/>
              </w:rPr>
              <w:t>разом</w:t>
            </w:r>
            <w:r>
              <w:rPr>
                <w:b w:val="0"/>
                <w:sz w:val="24"/>
              </w:rPr>
              <w:t>:</w:t>
            </w:r>
          </w:p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dotted" w:sz="6" w:space="0" w:color="000000"/>
                <w:left w:val="dotted" w:sz="6" w:space="0" w:color="000000"/>
                <w:bottom w:val="dotted" w:sz="6" w:space="0" w:color="000000"/>
                <w:right w:val="dotted" w:sz="6" w:space="0" w:color="000000"/>
                <w:insideH w:val="dotted" w:sz="6" w:space="0" w:color="000000"/>
                <w:insideV w:val="dotted" w:sz="6" w:space="0" w:color="000000"/>
              </w:tblBorders>
            </w:tblPr>
            <w:tblGrid>
              <w:gridCol w:w="3640"/>
              <w:gridCol w:w="3640"/>
            </w:tblGrid>
            <w:tr>
              <w:tc>
                <w:tcPr>
                  <w:tcW w:type="dxa" w:w="3640"/>
                </w:tcPr>
                <w:p>
                  <w:r/>
                  <w:r>
                    <w:rPr>
                      <w:b w:val="0"/>
                      <w:color w:val="008000"/>
                      <w:sz w:val="24"/>
                    </w:rPr>
                    <w:t>Категория частоты</w:t>
                  </w:r>
                </w:p>
              </w:tc>
              <w:tc>
                <w:tcPr>
                  <w:tcW w:type="dxa" w:w="3640"/>
                </w:tcPr>
                <w:p>
                  <w:r/>
                  <w:r>
                    <w:rPr>
                      <w:b w:val="0"/>
                      <w:color w:val="008000"/>
                      <w:sz w:val="24"/>
                    </w:rPr>
                    <w:t>Частота встречаемости</w:t>
                  </w:r>
                </w:p>
              </w:tc>
            </w:tr>
            <w:tr>
              <w:tc>
                <w:tcPr>
                  <w:tcW w:type="dxa" w:w="3640"/>
                </w:tcPr>
                <w:p>
                  <w:r/>
                  <w:r>
                    <w:rPr>
                      <w:b w:val="0"/>
                      <w:color w:val="008000"/>
                      <w:sz w:val="24"/>
                    </w:rPr>
                    <w:t>Очень часто</w:t>
                  </w:r>
                </w:p>
              </w:tc>
              <w:tc>
                <w:tcPr>
                  <w:tcW w:type="dxa" w:w="3640"/>
                </w:tcPr>
                <w:p>
                  <w:r/>
                  <w:r>
                    <w:rPr>
                      <w:b w:val="0"/>
                      <w:color w:val="008000"/>
                      <w:sz w:val="24"/>
                    </w:rPr>
                    <w:t>≥ 1/10</w:t>
                  </w:r>
                </w:p>
              </w:tc>
            </w:tr>
            <w:tr>
              <w:tc>
                <w:tcPr>
                  <w:tcW w:type="dxa" w:w="3640"/>
                </w:tcPr>
                <w:p>
                  <w:r/>
                  <w:r>
                    <w:rPr>
                      <w:b w:val="0"/>
                      <w:color w:val="008000"/>
                      <w:sz w:val="24"/>
                    </w:rPr>
                    <w:t>Часто</w:t>
                  </w:r>
                </w:p>
              </w:tc>
              <w:tc>
                <w:tcPr>
                  <w:tcW w:type="dxa" w:w="3640"/>
                </w:tcPr>
                <w:p>
                  <w:r/>
                  <w:r>
                    <w:rPr>
                      <w:b w:val="0"/>
                      <w:color w:val="008000"/>
                      <w:sz w:val="24"/>
                    </w:rPr>
                    <w:t>≥ 1/100, но &lt; 1/10</w:t>
                  </w:r>
                </w:p>
              </w:tc>
            </w:tr>
            <w:tr>
              <w:tc>
                <w:tcPr>
                  <w:tcW w:type="dxa" w:w="3640"/>
                </w:tcPr>
                <w:p>
                  <w:r/>
                  <w:r>
                    <w:rPr>
                      <w:b w:val="0"/>
                      <w:color w:val="008000"/>
                      <w:sz w:val="24"/>
                    </w:rPr>
                    <w:t>Нечасто</w:t>
                  </w:r>
                </w:p>
              </w:tc>
              <w:tc>
                <w:tcPr>
                  <w:tcW w:type="dxa" w:w="3640"/>
                </w:tcPr>
                <w:p>
                  <w:r/>
                  <w:r>
                    <w:rPr>
                      <w:b w:val="0"/>
                      <w:color w:val="008000"/>
                      <w:sz w:val="24"/>
                    </w:rPr>
                    <w:t>≥ 1/1000, но &lt; 1/100</w:t>
                  </w:r>
                </w:p>
              </w:tc>
            </w:tr>
            <w:tr>
              <w:tc>
                <w:tcPr>
                  <w:tcW w:type="dxa" w:w="3640"/>
                </w:tcPr>
                <w:p>
                  <w:r/>
                  <w:r>
                    <w:rPr>
                      <w:b w:val="0"/>
                      <w:color w:val="008000"/>
                      <w:sz w:val="24"/>
                    </w:rPr>
                    <w:t>Редко</w:t>
                  </w:r>
                </w:p>
              </w:tc>
              <w:tc>
                <w:tcPr>
                  <w:tcW w:type="dxa" w:w="3640"/>
                </w:tcPr>
                <w:p>
                  <w:r/>
                  <w:r>
                    <w:rPr>
                      <w:b w:val="0"/>
                      <w:color w:val="008000"/>
                      <w:sz w:val="24"/>
                    </w:rPr>
                    <w:t>≥ 1/10000, но &lt; 1/1000</w:t>
                  </w:r>
                </w:p>
              </w:tc>
            </w:tr>
            <w:tr>
              <w:tc>
                <w:tcPr>
                  <w:tcW w:type="dxa" w:w="3640"/>
                </w:tcPr>
                <w:p>
                  <w:r/>
                  <w:r>
                    <w:rPr>
                      <w:b w:val="0"/>
                      <w:color w:val="008000"/>
                      <w:sz w:val="24"/>
                    </w:rPr>
                    <w:t>Очень редко</w:t>
                  </w:r>
                </w:p>
              </w:tc>
              <w:tc>
                <w:tcPr>
                  <w:tcW w:type="dxa" w:w="3640"/>
                </w:tcPr>
                <w:p>
                  <w:r/>
                  <w:r>
                    <w:rPr>
                      <w:b w:val="0"/>
                      <w:color w:val="008000"/>
                      <w:sz w:val="24"/>
                    </w:rPr>
                    <w:t>&lt; 1/10000, включая отдельные случаи</w:t>
                  </w:r>
                </w:p>
              </w:tc>
            </w:tr>
            <w:tr>
              <w:tc>
                <w:tcPr>
                  <w:tcW w:type="dxa" w:w="3640"/>
                </w:tcPr>
                <w:p>
                  <w:r/>
                  <w:r>
                    <w:rPr>
                      <w:b w:val="0"/>
                      <w:color w:val="008000"/>
                      <w:sz w:val="24"/>
                    </w:rPr>
                    <w:t>Частота неизвестна</w:t>
                  </w:r>
                </w:p>
              </w:tc>
              <w:tc>
                <w:tcPr>
                  <w:tcW w:type="dxa" w:w="3640"/>
                </w:tcPr>
                <w:p>
                  <w:r/>
                  <w:r>
                    <w:rPr>
                      <w:b w:val="0"/>
                      <w:color w:val="008000"/>
                      <w:sz w:val="24"/>
                    </w:rPr>
                    <w:t>На основании имеющихся данных оценить невозможно</w:t>
                  </w:r>
                </w:p>
              </w:tc>
            </w:tr>
          </w:tbl>
          <w:p/>
          <w:p>
            <w:r/>
            <w:r>
              <w:rPr>
                <w:b w:val="0"/>
                <w:color w:val="008000"/>
                <w:sz w:val="24"/>
              </w:rPr>
              <w:t>Категории частоты были сформированы на основании клинических исследований препарата и пострегистрационного наблюдения.</w:t>
              <w:br/>
              <w:t>Резюме нежелательных реакций</w:t>
              <w:br/>
              <w:t>Нарушение со стороны крови и лимфатической системы:</w:t>
              <w:br/>
              <w:t>Очень редко: гемолитическая анемия, агранулоцитоз, нейтропения, лейкопения, тромбоцитопения или панцитопения.</w:t>
              <w:br/>
              <w:t>Нарушения со стороны иммунной системы:</w:t>
              <w:br/>
              <w:t>Редко: анафилактический шок.</w:t>
              <w:br/>
              <w:t>Психические нарушения:</w:t>
              <w:br/>
              <w:t>Часто: изменения настроения, возбуждение, тревога.</w:t>
              <w:br/>
              <w:t>Нечасто: бессонница.</w:t>
              <w:br/>
              <w:t>Нарушение со стороны нервной системы:</w:t>
              <w:br/>
              <w:t>Часто: сонливость</w:t>
              <w:br/>
              <w:t>Нечасто: головокружение, ослабление концентрации внимания и памяти (особенно</w:t>
              <w:br/>
              <w:t>у пожилых пациентов), тремор, нарушение координации, спутанность сознания, галлюцинации.</w:t>
              <w:br/>
              <w:t>Редко: головная боль, нарушение сна, головокружение, ортостатическая гипотензия.</w:t>
              <w:br/>
              <w:t>Очень редко: парадоксальная стимуляция ЦНС (особенно у детей).</w:t>
              <w:br/>
              <w:t>Частота неизвестна: судороги.</w:t>
              <w:br/>
              <w:t>Нарушение со стороны органа зрения:</w:t>
              <w:br/>
              <w:t>Редко: глаукома, нарушения зрения (мидриаз, помутнение зрения, диплопия).</w:t>
              <w:br/>
              <w:t>Нарушение со стороны органа слуха и лабиринта:</w:t>
              <w:br/>
              <w:t>Редко: звон в ушах.</w:t>
              <w:br/>
              <w:t>Нарушения со стороны сердца:</w:t>
              <w:br/>
              <w:t>Редко: учащенное сердцебиение, тахикардия.</w:t>
              <w:br/>
              <w:t>Нарушения со стороны сосудов:</w:t>
              <w:br/>
              <w:t>Редко: гипотония.</w:t>
              <w:br/>
              <w:t>Нарушения со стороны дыхательной системы, органов грудной клетки и средостения:</w:t>
              <w:br/>
              <w:t>Часто: заложенность носа.</w:t>
              <w:br/>
              <w:t>Частота неизвестна: повышенная вязкость бронхиального секрета.</w:t>
              <w:br/>
              <w:t>Нарушения со стороны желудочно-кишечного тракта:</w:t>
              <w:br/>
              <w:t>Часто: сухость во рту, запор, диарея, тошнота, боль в животе.</w:t>
              <w:br/>
              <w:t>Частота неизвестна: потеря аппетита, рвота.</w:t>
              <w:br/>
              <w:t>Нарушения со стороны печени и желчевыводящих путей:</w:t>
              <w:br/>
              <w:t>Частота неизвестна: отклонение от нормы биохимических показателей функционального состояния печени (холестатическая желтуха).</w:t>
              <w:br/>
              <w:t>Нарушения со стороны кожи и подкожных тканей:</w:t>
              <w:br/>
              <w:t>Редко: сыпь, эритема.</w:t>
              <w:br/>
              <w:t>Частота неизвестна: аллергические кожные реакции, фоточувствительность.</w:t>
              <w:br/>
              <w:t>Нарушения со стороны мышечной, костной и соединительной ткани:</w:t>
              <w:br/>
              <w:t>Очень часто: мышечная слабость.</w:t>
              <w:br/>
              <w:t>Нарушение со стороны почек и мочевыводящих путей:</w:t>
              <w:br/>
              <w:t>Часто: нарушение мочеиспускания (задержка мочи из-за антихолинергического</w:t>
              <w:br/>
              <w:t>эффекта).</w:t>
              <w:br/>
              <w:t>Нарушения со стороны репродуктивной системы и молочных желез:</w:t>
              <w:br/>
              <w:t>Частота неизвестна: снижение выделения грудного молока.</w:t>
              <w:br/>
              <w:t>Общие нарушения и реакции в месте введения:</w:t>
              <w:br/>
              <w:t>Редко: отёк (отёк Квинке).</w:t>
              <w:br/>
              <w:t>Сообщение о подозреваемых нежелательных реакциях</w:t>
              <w:br/>
              <w:t>Важно сообщать о подозреваемых нежелательных реакциях после регистрации лекарственного препарата с целью обеспечения непрерывного мониторинга соотношения «польза-риск» лекарственного препарата. Медицинским работникам рекомендуется сообщать о любых подозреваемых нежелательных реакциях лекарственного препарата через национальные системы сообщения о нежелательных реакциях государств-членов Евразийского экономического союза.</w:t>
              <w:br/>
              <w:t>Российская Федерация</w:t>
              <w:br/>
              <w:t>Федеральная служба по надзору в сфере здравоохранения</w:t>
              <w:br/>
              <w:t>Адрес: 109012, г. Москва, Славянская площадь, д. 4, стр. 1</w:t>
              <w:br/>
              <w:t>Телефон: +7</w:t>
              <w:br/>
              <w:t>800 550 99 03</w:t>
              <w:br/>
              <w:t>Адрес</w:t>
              <w:br/>
              <w:t>электронной</w:t>
              <w:br/>
              <w:t>почты:</w:t>
              <w:br/>
              <w:t>pharm@roszdravnadzor.gov.ru</w:t>
              <w:br/>
              <w:t>или</w:t>
              <w:br/>
              <w:t>Адрес</w:t>
              <w:br/>
              <w:t>электронной</w:t>
              <w:br/>
              <w:t>почты:</w:t>
              <w:br/>
              <w:t>pharm@roszdravnadzor.gov.ru</w:t>
              <w:br/>
              <w:t>или</w:t>
              <w:br/>
              <w:t>npr@roszdravnadzor.gov.ru</w:t>
              <w:br/>
              <w:t>Сайт: www.roszdravnadzor.gov.ru</w:t>
              <w:br/>
              <w:t>Республика Казахстан</w:t>
              <w:br/>
              <w:t>РГП на ПХВ «Национальный центр экспертизы лекарственных средств и медицинских изделий» Комитета медицинского и фармацевтического контроля Министерства здравоохранения Республики Казахстан</w:t>
              <w:br/>
              <w:t>Адрес: 010000, г. Астана, район Байконыр, ул. А. Иманова, 13</w:t>
              <w:br/>
              <w:t>Телефон: +7 (7172) 235135</w:t>
              <w:br/>
              <w:t>Адрес электронной почты: farm @dari.kz</w:t>
              <w:br/>
              <w:t>Интернет-сайт: http://www.ndda.kz</w:t>
              <w:br/>
              <w:t>Кыргызская Республика</w:t>
              <w:br/>
              <w:t>Департамент лекарственных средств и медицинских изделий при Министерстве здравоохранения Кыргызской Республики</w:t>
              <w:br/>
              <w:t>Адрес: 720044, г. Бишкек, ул. 3-я Линия, 25</w:t>
              <w:br/>
              <w:t>Телефон: +996 (312) 21-92-88 (номер отдела фармаконадзора), 0800 800 26 26 (номер «горячей линии»)</w:t>
              <w:br/>
              <w:t>Адрес электронной почты: pharm@dlsmi.kg; vigilance@dlsmi.kg</w:t>
              <w:br/>
              <w:t>Интернет-сайт:</w:t>
              <w:br/>
              <w:t>http://www.dlsmi.kg</w:t>
              <w:br/>
              <w:t>Республика Армения</w:t>
              <w:br/>
              <w:t>ГНКО «Центр экспертизы лекарств и медицинских технологий»</w:t>
              <w:br/>
              <w:t>Адрес: 0051, г. Ереван, пр. Комитаса 49/5</w:t>
              <w:br/>
              <w:t>Телефон: (+374 10) 231682, 230896, (+374 60) 830073</w:t>
              <w:br/>
              <w:t>Телефон горячей линии отдела мониторинга безопасности лекарственных средств:</w:t>
              <w:br/>
              <w:t>(+374 10) 200505, (+374 96) 220505</w:t>
              <w:br/>
              <w:t>Адрес электронной почты: info@ampra.am,</w:t>
              <w:br/>
              <w:t>vigilance@pharm.am</w:t>
              <w:br/>
              <w:t>Интернет-сайт: http://www.pharm.am</w:t>
              <w:br/>
              <w:t>Республика Беларусь</w:t>
              <w:br/>
              <w:t>Республиканское унитарное предприятие «Центр экспертиз и испытаний в здравоохранении»</w:t>
              <w:br/>
              <w:t>Адрес: 220037, г. Минск, Товарищеский пер., 2а</w:t>
              <w:br/>
              <w:t>Телефон: +375 (17) 231 85 14</w:t>
              <w:br/>
              <w:t>Факс: +375 (17) 252 53 58</w:t>
              <w:br/>
              <w:t>Телефон отдела фармаконадзора: + 375</w:t>
              <w:br/>
              <w:t>(17) 242 00 29</w:t>
              <w:br/>
              <w:t>Адрес электронной почты:</w:t>
              <w:br/>
              <w:t>rcpl@rceth.by</w:t>
              <w:br/>
              <w:t>Интернет-сайт: http://www.rceth.by</w:t>
            </w:r>
          </w:p>
        </w:tc>
        <w:tc>
          <w:tcPr>
            <w:tcW w:type="dxa" w:w="7280"/>
          </w:tcPr>
          <w:p>
            <w:r/>
            <w:r>
              <w:rPr>
                <w:b w:val="0"/>
                <w:color w:val="FF0000"/>
                <w:sz w:val="24"/>
              </w:rPr>
              <w:t>Резюме профиля безопасности</w:t>
              <w:br/>
            </w:r>
            <w:r>
              <w:rPr>
                <w:b w:val="0"/>
                <w:sz w:val="24"/>
              </w:rPr>
              <w:t>Н</w:t>
            </w:r>
            <w:r>
              <w:rPr>
                <w:b w:val="0"/>
                <w:color w:val="FF0000"/>
                <w:sz w:val="24"/>
              </w:rPr>
              <w:t>аиболее серьезными н</w:t>
            </w:r>
            <w:r>
              <w:rPr>
                <w:b w:val="0"/>
                <w:sz w:val="24"/>
              </w:rPr>
              <w:t>ежелательны</w:t>
            </w:r>
            <w:r>
              <w:rPr>
                <w:b w:val="0"/>
                <w:color w:val="FF0000"/>
                <w:sz w:val="24"/>
              </w:rPr>
              <w:t>ми</w:t>
            </w:r>
            <w:r>
              <w:rPr>
                <w:b w:val="0"/>
                <w:sz w:val="24"/>
              </w:rPr>
              <w:t xml:space="preserve"> реакци</w:t>
            </w:r>
            <w:r>
              <w:rPr>
                <w:b w:val="0"/>
                <w:color w:val="FF0000"/>
                <w:sz w:val="24"/>
              </w:rPr>
              <w:t>ями являются с</w:t>
            </w:r>
            <w:r>
              <w:rPr>
                <w:b w:val="0"/>
                <w:sz w:val="24"/>
              </w:rPr>
              <w:t>ниже</w:t>
            </w:r>
            <w:r>
              <w:rPr>
                <w:b w:val="0"/>
                <w:color w:val="FF0000"/>
                <w:sz w:val="24"/>
              </w:rPr>
              <w:t>ние артериального давления, гипорефлексия, угнетение дыхания, судороги.</w:t>
              <w:br/>
              <w:t>Резюме в форме структурированного списка не</w:t>
            </w:r>
            <w:r>
              <w:rPr>
                <w:b w:val="0"/>
                <w:sz w:val="24"/>
              </w:rPr>
              <w:t>же</w:t>
            </w:r>
            <w:r>
              <w:rPr>
                <w:b w:val="0"/>
                <w:color w:val="FF0000"/>
                <w:sz w:val="24"/>
              </w:rPr>
              <w:t>лательных реакци</w:t>
            </w:r>
            <w:r>
              <w:rPr>
                <w:b w:val="0"/>
                <w:sz w:val="24"/>
              </w:rPr>
              <w:t>й</w:t>
            </w:r>
            <w:r>
              <w:rPr>
                <w:b w:val="0"/>
                <w:color w:val="FF0000"/>
                <w:sz w:val="24"/>
              </w:rPr>
              <w:br/>
              <w:t>Внутри каждого системно-органного класса нежелательные реакции классифицированы в соответствии с частотой их возникновения: очень часто (≥1/10), часто (≥1/100, но &lt;1/10), нечасто (≥1/1 000, но &lt;1/100), редко (≥1/10 000, но &lt;1/1 000), очень редко (&lt;1/10 000); частота неизвестна (на основании име</w:t>
            </w:r>
            <w:r>
              <w:rPr>
                <w:b w:val="0"/>
                <w:sz w:val="24"/>
              </w:rPr>
              <w:t>ющи</w:t>
            </w:r>
            <w:r>
              <w:rPr>
                <w:b w:val="0"/>
                <w:color w:val="FF0000"/>
                <w:sz w:val="24"/>
              </w:rPr>
              <w:t>хся данных оценить невозможно).</w:t>
              <w:br/>
              <w:t>Нарушение со стороны крови и лимфатической системы</w:t>
              <w:br/>
              <w:t>Очень редко: гемолитическая анемия, агранулоцитоз, нейтропения, лейкопения, тром</w:t>
            </w:r>
            <w:r>
              <w:rPr>
                <w:b w:val="0"/>
                <w:sz w:val="24"/>
              </w:rPr>
              <w:t>б</w:t>
            </w:r>
            <w:r>
              <w:rPr>
                <w:b w:val="0"/>
                <w:color w:val="FF0000"/>
                <w:sz w:val="24"/>
              </w:rPr>
              <w:t>оцитопения или панцитопения.</w:t>
              <w:br/>
              <w:t>Нарушения со стороны иммунной системы</w:t>
              <w:br/>
              <w:t>Редко</w:t>
            </w:r>
            <w:r>
              <w:rPr>
                <w:b w:val="0"/>
                <w:sz w:val="24"/>
              </w:rPr>
              <w:t>:</w:t>
            </w:r>
            <w:r>
              <w:rPr>
                <w:b w:val="0"/>
                <w:color w:val="FF0000"/>
                <w:sz w:val="24"/>
              </w:rPr>
              <w:t xml:space="preserve"> анафилактический шок.</w:t>
              <w:br/>
              <w:t>Психические нарушения</w:t>
              <w:br/>
              <w:t>Часто: изменения настроения, возбуждение, тревога.</w:t>
              <w:br/>
              <w:t>Нечасто: бессонница.</w:t>
              <w:br/>
              <w:t>Нарушение со стороны нервной системы</w:t>
              <w:br/>
              <w:t>Часто: сонливость</w:t>
              <w:br/>
              <w:t>Нечасто: головокружение, ослабление концентрации внимания и памяти (особенно у пожилых пациентов), тремор, нарушение координации, спутанность сознания, галлюцинации.</w:t>
              <w:br/>
              <w:t>Редко: головная боль, нарушение сна, головокружение, ортостатическая гипотензия.</w:t>
              <w:br/>
              <w:t>Очень редко: парадоксальная стимуляция ЦНС (особенно у детей).</w:t>
              <w:br/>
              <w:t>Частота неизвестна: судороги.</w:t>
              <w:br/>
              <w:t>| Нарушение со стороны органа зрения |</w:t>
              <w:br/>
              <w:t>|-------------------------------------------------------------------------------------------------------------------------------------|</w:t>
              <w:br/>
              <w:t>| Редко: глаукома, нарушения зрения (мидриаз, помутнение зрения, диплопия). |</w:t>
              <w:br/>
              <w:t>| Нарушение со стороны органа слуха и лабиринта |</w:t>
              <w:br/>
              <w:t>| Редко: звон в ушах. |</w:t>
              <w:br/>
              <w:t>| Нарушения со стороны сердца |</w:t>
              <w:br/>
              <w:t>| Редко: учащенное сердцебиение, тахикардия. |</w:t>
              <w:br/>
              <w:t>| Нарушения со стороны сосудов |</w:t>
              <w:br/>
              <w:t>| Редко: гипотония. |</w:t>
              <w:br/>
              <w:t>| Нарушение со стороны дыхательной системы, органов грудной клетки и средостения |</w:t>
              <w:br/>
              <w:t>| Часто: заложенность носа. |</w:t>
              <w:br/>
              <w:t>| Неизвестная частота: повышенная вязкость бронхиального секрета. |</w:t>
              <w:br/>
              <w:t>| Нарушения со стороны желудочно-кишечного тракта |</w:t>
              <w:br/>
              <w:t>| Часто: сухость во рту, запор, диарея, тошнота, боль в животе. |</w:t>
              <w:br/>
              <w:t>| Частота неизвестна: потеря аппетита, рвота. |</w:t>
              <w:br/>
              <w:t>| Нарушения со стороны печени и желчевыводящих путей |</w:t>
              <w:br/>
              <w:t>| Частота неизвестна: отклонение от нормы биохимических показателей функционального состояния печени (холестатическая желтуха). |</w:t>
              <w:br/>
              <w:t>| Нарушение со стороны кожи и подкожных тканей |</w:t>
              <w:br/>
              <w:t>| Редко: сыпь, эритема. |</w:t>
              <w:br/>
              <w:t>| Частота неизвестна: аллергические кожные реакции, фоточувствительность. |</w:t>
              <w:br/>
              <w:t>| Нарушения со стороны мышечной, костной и соединительной ткани |</w:t>
              <w:br/>
              <w:t>| Очень часто: мышечная слабость. |</w:t>
              <w:br/>
              <w:t>| Нарушение со стороны почек и мочевыводящих путей |</w:t>
              <w:br/>
              <w:t>| Часто: нарушение мочеиспускания (задержка мочи из-за антихолинергического эффекта). |</w:t>
              <w:br/>
              <w:t>| Нарушения со стороны репродуктивной системы и молочных желез |</w:t>
              <w:br/>
              <w:t>| Частота неизвестна: снижение выделения грудного молока. |</w:t>
              <w:br/>
              <w:t>| Общие нарушения и реакции в месте введения |</w:t>
              <w:br/>
              <w:t>| Редко: отёк (отёк Квинке). |</w:t>
              <w:br/>
              <w:t>| Сообщение о подозреваемых нежелательных реакциях |</w:t>
              <w:br/>
              <w:t>| национальные системы сообщения о нежелательных реакциях государств-членов Евразийского экономического союза. Российская Федерация |</w:t>
              <w:br/>
              <w:t>| Федеральная служба по надзору в сфере здравоохранения |</w:t>
              <w:br/>
              <w:t>| Адрес: 109012, г. Москва, Славянская площадь, д. 4, стр. 1 |</w:t>
              <w:br/>
              <w:t>Телефон: +7 (800) 550-99-03</w:t>
              <w:br/>
              <w:t>Электронная почта: pharm@roszdravnadzor.gov.ru</w:t>
              <w:br/>
              <w:t>Cайт в информационно-телекоммуникационной сети «Интернет»:</w:t>
              <w:br/>
              <w:t>https://roszdravnadzor.gov.ru/</w:t>
            </w:r>
          </w:p>
          <w:p/>
          <w:p>
            <w:r/>
          </w:p>
          <w:p>
            <w:r/>
          </w:p>
        </w:tc>
      </w:tr>
      <w:tr>
        <w:tc>
          <w:tcPr>
            <w:tcW w:type="dxa" w:w="14560"/>
            <w:gridSpan w:val="2"/>
          </w:tcPr>
          <w:p>
            <w:pPr>
              <w:jc w:val="center"/>
            </w:pPr>
            <w:r/>
            <w:r>
              <w:rPr>
                <w:b/>
                <w:sz w:val="24"/>
              </w:rPr>
              <w:t>4.9. Передозировка</w:t>
            </w:r>
          </w:p>
        </w:tc>
      </w:tr>
      <w:tr>
        <w:tc>
          <w:tcPr>
            <w:tcW w:type="dxa" w:w="7280"/>
            <w:shd w:val="clear" w:color="auto" w:fill="FF9999"/>
          </w:tcPr>
          <w:p>
            <w:pPr>
              <w:jc w:val="center"/>
            </w:pPr>
            <w:r/>
            <w:r>
              <w:rPr>
                <w:b/>
                <w:sz w:val="24"/>
              </w:rPr>
              <w:t>4.9 Передозировка</w:t>
            </w:r>
          </w:p>
        </w:tc>
        <w:tc>
          <w:tcPr>
            <w:tcW w:type="dxa" w:w="7280"/>
          </w:tcPr>
          <w:p>
            <w:pPr>
              <w:jc w:val="center"/>
            </w:pPr>
            <w:r/>
            <w:r>
              <w:rPr>
                <w:b/>
                <w:sz w:val="24"/>
              </w:rPr>
              <w:t>4.9. Передозировка</w:t>
            </w:r>
          </w:p>
        </w:tc>
      </w:tr>
      <w:tr>
        <w:tc>
          <w:tcPr>
            <w:tcW w:type="dxa" w:w="7280"/>
          </w:tcPr>
          <w:p>
            <w:r/>
            <w:r>
              <w:rPr>
                <w:b w:val="0"/>
                <w:sz w:val="24"/>
              </w:rPr>
              <w:t>Симптомы</w:t>
              <w:br/>
              <w:t>Симптомы передозировки дименгидринатом (особенно у детей) сходны с симптомами передозировки атропином и включают сухость во рту, носу и горле, покраснение лица, замедленное или затрудненное дыхание, слабость, расширенные зрачки, возбуждение, галлюцинации, спутанность сознания, атаксию, прерывистые клонические судороги, кому, кардиореспираторный коллапс и смерть.</w:t>
              <w:br/>
              <w:t>Симптомы передозировки могут быть отсрочены до двух часов после введения избыточных доз препарата, а смерть может наступить в течение 18 ч</w:t>
            </w:r>
            <w:r>
              <w:rPr>
                <w:b w:val="0"/>
                <w:color w:val="008000"/>
                <w:sz w:val="24"/>
              </w:rPr>
              <w:t>асов</w:t>
            </w:r>
            <w:r>
              <w:rPr>
                <w:b w:val="0"/>
                <w:sz w:val="24"/>
              </w:rPr>
              <w:t xml:space="preserve">. У взрослых 500 мг или более дименгидрината </w:t>
            </w:r>
            <w:r>
              <w:rPr>
                <w:b w:val="0"/>
                <w:color w:val="008000"/>
                <w:sz w:val="24"/>
              </w:rPr>
              <w:t>(10 таблеток или более) могут вызвать затруднен</w:t>
            </w:r>
            <w:r>
              <w:rPr>
                <w:b w:val="0"/>
                <w:sz w:val="24"/>
              </w:rPr>
              <w:t>ную речь, глотание и симптомы психоза, которые невозможно отличить от психоза, вызванного передозировкой атропина.</w:t>
              <w:br/>
              <w:t>Лечение</w:t>
              <w:br/>
              <w:t>Лечение симптоматическое и поддерживающее. Рекомендуется введение активированного угля. Рвотные средства обычно неэффективны, но при отсутствии судорог может быть полезно раннее промывание желудка (с эндотрахеальной интубацией, чтобы предотвратить аспирацию содержимого желудка).</w:t>
              <w:br/>
            </w:r>
            <w:r>
              <w:rPr>
                <w:b w:val="0"/>
                <w:color w:val="008000"/>
                <w:sz w:val="24"/>
              </w:rPr>
              <w:t>%SECTION_BREAK%</w:t>
              <w:br/>
            </w:r>
            <w:r>
              <w:rPr>
                <w:b w:val="0"/>
                <w:sz w:val="24"/>
              </w:rPr>
              <w:t>Пациента следует держать в спокойной обстановке, чтобы свести к минимуму</w:t>
            </w:r>
            <w:r>
              <w:rPr>
                <w:b w:val="0"/>
                <w:color w:val="008000"/>
                <w:sz w:val="24"/>
              </w:rPr>
              <w:br/>
            </w:r>
            <w:r>
              <w:rPr>
                <w:b w:val="0"/>
                <w:sz w:val="24"/>
              </w:rPr>
              <w:t>стимуляцию ЦНС. Судороги можно лечить диазепамом. Для облегчения тяжелых</w:t>
            </w:r>
            <w:r>
              <w:rPr>
                <w:b w:val="0"/>
                <w:color w:val="008000"/>
                <w:sz w:val="24"/>
              </w:rPr>
              <w:br/>
            </w:r>
            <w:r>
              <w:rPr>
                <w:b w:val="0"/>
                <w:sz w:val="24"/>
              </w:rPr>
              <w:t>симптомов антихолинергического синдрома можно применять физостигмин (после</w:t>
            </w:r>
            <w:r>
              <w:rPr>
                <w:b w:val="0"/>
                <w:color w:val="008000"/>
                <w:sz w:val="24"/>
              </w:rPr>
              <w:t xml:space="preserve"> </w:t>
            </w:r>
            <w:r>
              <w:rPr>
                <w:b w:val="0"/>
                <w:sz w:val="24"/>
              </w:rPr>
              <w:t>физостигминовой пробы) в</w:t>
            </w:r>
            <w:r>
              <w:rPr>
                <w:b w:val="0"/>
                <w:color w:val="008000"/>
                <w:sz w:val="24"/>
              </w:rPr>
              <w:t>нутривенно</w:t>
            </w:r>
            <w:r>
              <w:rPr>
                <w:b w:val="0"/>
                <w:sz w:val="24"/>
              </w:rPr>
              <w:t>.</w:t>
              <w:br/>
              <w:t>При выраженном угнетении дыхания необходимо использовать респиратор.</w:t>
            </w:r>
          </w:p>
        </w:tc>
        <w:tc>
          <w:tcPr>
            <w:tcW w:type="dxa" w:w="7280"/>
          </w:tcPr>
          <w:p>
            <w:r/>
            <w:r>
              <w:rPr>
                <w:b w:val="0"/>
                <w:sz w:val="24"/>
              </w:rPr>
              <w:t>Симптомы</w:t>
              <w:br/>
              <w:t>Симптомы передозировки дименгидринатом (особенно у детей) сходны с симптомами передозировки атропином и включают сухость во рту, носу и горле, покраснение лица, замедленное или затрудненное дыхание, слабость, расширенные зрачки, возбуждение, галлюцинации, спутанность сознания, атаксию, прерывистые клонические судороги, кому, кардиореспираторный коллапс и смерть.</w:t>
              <w:br/>
              <w:t>Симптомы передозировки могут быть отсрочены до двух часов после введения избыточных доз препарата, а смерть может наступить в течение 18 ч</w:t>
            </w:r>
            <w:r>
              <w:rPr>
                <w:b w:val="0"/>
                <w:sz w:val="24"/>
              </w:rPr>
              <w:t xml:space="preserve">. У взрослых 500 мг или более дименгидрината </w:t>
            </w:r>
            <w:r>
              <w:rPr>
                <w:b w:val="0"/>
                <w:color w:val="FF0000"/>
                <w:sz w:val="24"/>
              </w:rPr>
              <w:t>могут вызвать особенно труд</w:t>
            </w:r>
            <w:r>
              <w:rPr>
                <w:b w:val="0"/>
                <w:sz w:val="24"/>
              </w:rPr>
              <w:t>ную речь, глотание и симптомы психоза, которые невозможно отличить от психоза, вызванного передозировкой атропина.</w:t>
              <w:br/>
              <w:t>Лечение</w:t>
              <w:br/>
              <w:t>Лечение симптоматическое и поддерживающее. Рекомендуется введение активированного угля. Рвотные средства обычно неэффективны, но при отсутствии судорог может быть полезно раннее промывание желудка (с эндотрахеальной интубацией, чтобы предотвратить аспирацию содержимого желудка).</w:t>
              <w:br/>
            </w:r>
            <w:r>
              <w:rPr>
                <w:b w:val="0"/>
                <w:sz w:val="24"/>
              </w:rPr>
              <w:t>Пациента следует держать в спокойной обстановке, чтобы свести к минимуму</w:t>
            </w:r>
            <w:r>
              <w:rPr>
                <w:b w:val="0"/>
                <w:color w:val="FF0000"/>
                <w:sz w:val="24"/>
              </w:rPr>
              <w:t xml:space="preserve"> </w:t>
            </w:r>
            <w:r>
              <w:rPr>
                <w:b w:val="0"/>
                <w:sz w:val="24"/>
              </w:rPr>
              <w:t>стимуляцию ЦНС. Судороги можно лечить диазепамом. Для облегчения тяжелых</w:t>
            </w:r>
            <w:r>
              <w:rPr>
                <w:b w:val="0"/>
                <w:color w:val="FF0000"/>
                <w:sz w:val="24"/>
              </w:rPr>
              <w:t xml:space="preserve"> </w:t>
            </w:r>
            <w:r>
              <w:rPr>
                <w:b w:val="0"/>
                <w:sz w:val="24"/>
              </w:rPr>
              <w:t>симптомов антихолинергического синдрома можно применять физостигмин (после</w:t>
            </w:r>
            <w:r>
              <w:rPr>
                <w:b w:val="0"/>
                <w:sz w:val="24"/>
              </w:rPr>
              <w:t>физостигминовой пробы) в</w:t>
            </w:r>
            <w:r>
              <w:rPr>
                <w:b w:val="0"/>
                <w:color w:val="FF0000"/>
                <w:sz w:val="24"/>
              </w:rPr>
              <w:t xml:space="preserve"> вену</w:t>
            </w:r>
            <w:r>
              <w:rPr>
                <w:b w:val="0"/>
                <w:sz w:val="24"/>
              </w:rPr>
              <w:t>.</w:t>
              <w:br/>
              <w:t>При выраженном угнетении дыхания необходимо использовать респиратор.</w:t>
            </w:r>
          </w:p>
        </w:tc>
      </w:tr>
      <w:tr>
        <w:tc>
          <w:tcPr>
            <w:tcW w:type="dxa" w:w="14560"/>
            <w:gridSpan w:val="2"/>
          </w:tcPr>
          <w:p>
            <w:pPr>
              <w:jc w:val="center"/>
            </w:pPr>
            <w:r/>
            <w:r>
              <w:rPr>
                <w:b/>
                <w:sz w:val="24"/>
              </w:rPr>
              <w:t>5. ФАРМАКОЛОГИЧЕСКИЕ СВОЙСТВА</w:t>
            </w:r>
          </w:p>
        </w:tc>
      </w:tr>
      <w:tr>
        <w:tc>
          <w:tcPr>
            <w:tcW w:type="dxa" w:w="7280"/>
            <w:shd w:val="clear" w:color="auto" w:fill="FF9999"/>
          </w:tcPr>
          <w:p>
            <w:pPr>
              <w:jc w:val="center"/>
            </w:pPr>
            <w:r/>
            <w:r>
              <w:rPr>
                <w:b/>
                <w:sz w:val="24"/>
              </w:rPr>
              <w:t>ФАРМАКОЛОГИЧЕСКИЕ СВОЙСТВА</w:t>
            </w:r>
          </w:p>
        </w:tc>
        <w:tc>
          <w:tcPr>
            <w:tcW w:type="dxa" w:w="7280"/>
          </w:tcPr>
          <w:p>
            <w:pPr>
              <w:jc w:val="center"/>
            </w:pPr>
            <w:r/>
            <w:r>
              <w:rPr>
                <w:b/>
                <w:sz w:val="24"/>
              </w:rPr>
              <w:t>5. ФАРМАКОЛОГИЧЕСКИЕ СВОЙСТВА</w:t>
            </w:r>
          </w:p>
        </w:tc>
      </w:tr>
      <w:tr>
        <w:tc>
          <w:tcPr>
            <w:tcW w:type="dxa" w:w="7280"/>
          </w:tcPr>
          <w:p>
            <w:r/>
          </w:p>
        </w:tc>
        <w:tc>
          <w:tcPr>
            <w:tcW w:type="dxa" w:w="7280"/>
          </w:tcPr>
          <w:p>
            <w:r/>
          </w:p>
        </w:tc>
      </w:tr>
      <w:tr>
        <w:tc>
          <w:tcPr>
            <w:tcW w:type="dxa" w:w="14560"/>
            <w:gridSpan w:val="2"/>
          </w:tcPr>
          <w:p>
            <w:pPr>
              <w:jc w:val="center"/>
            </w:pPr>
            <w:r/>
            <w:r>
              <w:rPr>
                <w:b/>
                <w:sz w:val="24"/>
              </w:rPr>
              <w:t>5.1. Фармакодинамические свойства</w:t>
            </w:r>
          </w:p>
        </w:tc>
      </w:tr>
      <w:tr>
        <w:tc>
          <w:tcPr>
            <w:tcW w:type="dxa" w:w="7280"/>
            <w:shd w:val="clear" w:color="auto" w:fill="FF9999"/>
          </w:tcPr>
          <w:p>
            <w:pPr>
              <w:jc w:val="center"/>
            </w:pPr>
            <w:r/>
            <w:r>
              <w:rPr>
                <w:b/>
                <w:sz w:val="24"/>
              </w:rPr>
              <w:t>5.1 Фармакодинамические свойства</w:t>
            </w:r>
          </w:p>
        </w:tc>
        <w:tc>
          <w:tcPr>
            <w:tcW w:type="dxa" w:w="7280"/>
          </w:tcPr>
          <w:p>
            <w:pPr>
              <w:jc w:val="center"/>
            </w:pPr>
            <w:r/>
            <w:r>
              <w:rPr>
                <w:b/>
                <w:sz w:val="24"/>
              </w:rPr>
              <w:t>5.1. Фармакодинамические свойства</w:t>
            </w:r>
          </w:p>
        </w:tc>
      </w:tr>
      <w:tr>
        <w:tc>
          <w:tcPr>
            <w:tcW w:type="dxa" w:w="7280"/>
          </w:tcPr>
          <w:p>
            <w:r/>
            <w:r>
              <w:rPr>
                <w:b w:val="0"/>
                <w:sz w:val="24"/>
              </w:rPr>
              <w:t xml:space="preserve">Фармакотерапевтическая группа: </w:t>
            </w:r>
            <w:r>
              <w:rPr>
                <w:b w:val="0"/>
                <w:color w:val="008000"/>
                <w:sz w:val="24"/>
              </w:rPr>
              <w:t>А</w:t>
            </w:r>
            <w:r>
              <w:rPr>
                <w:b w:val="0"/>
                <w:sz w:val="24"/>
              </w:rPr>
              <w:t>нтигистаминные средства системного действия; эфиры алкиламинов.</w:t>
              <w:br/>
              <w:t>Код АТХ: R06AА11</w:t>
            </w:r>
            <w:r>
              <w:rPr>
                <w:b w:val="0"/>
                <w:color w:val="008000"/>
                <w:sz w:val="24"/>
              </w:rPr>
              <w:t>.</w:t>
            </w:r>
            <w:r>
              <w:rPr>
                <w:b w:val="0"/>
                <w:sz w:val="24"/>
              </w:rPr>
              <w:br/>
              <w:t>Механизм действия и фармакодинамические эффекты</w:t>
              <w:br/>
              <w:t>Основной механизм действия дименгидрината заключается в подавлении синтеза ацетилхолина.</w:t>
              <w:br/>
              <w:t>Дименгидринат-хлортеофиллиновая соль дифенгидрамина, состоящая из 55</w:t>
            </w:r>
            <w:r>
              <w:rPr>
                <w:b w:val="0"/>
                <w:sz w:val="24"/>
              </w:rPr>
              <w:t>% дифенгидрамина и 45</w:t>
            </w:r>
            <w:r>
              <w:rPr>
                <w:b w:val="0"/>
                <w:sz w:val="24"/>
              </w:rPr>
              <w:t>% 8-хлортеофиллина. По этой причине активным веществом дименгидрината является дифенгидрамин, который оказывает угнетающее действие на центральную нервную систему (хорошо проникает сквозь гематоэнцефалический барьер), а также антихолинергическое, противорвотное, антигистаминное (блокатор H1 рецепторов) и местное обезболивающее действие (блокирует ток ионов натрия). Предполагается, что антихолинергическое действие дименгидрината вызывает подавление вестибулярной стимуляции (в малых дозах действует на отолиты, а в больших-на полукружные каналы),</w:t>
            </w:r>
            <w:r>
              <w:rPr>
                <w:b w:val="0"/>
                <w:color w:val="008000"/>
                <w:sz w:val="24"/>
              </w:rPr>
              <w:t xml:space="preserve"> </w:t>
            </w:r>
            <w:r>
              <w:rPr>
                <w:b w:val="0"/>
                <w:sz w:val="24"/>
              </w:rPr>
              <w:t>которая возникает при укачивании или головокружении. Дименгидринат угнетает стимуляцию лабиринта в течение трех часов после приема. Торможение происходит из-за антимускаринового действия дименгидрината.</w:t>
            </w:r>
          </w:p>
        </w:tc>
        <w:tc>
          <w:tcPr>
            <w:tcW w:type="dxa" w:w="7280"/>
          </w:tcPr>
          <w:p>
            <w:r/>
            <w:r>
              <w:rPr>
                <w:b w:val="0"/>
                <w:sz w:val="24"/>
              </w:rPr>
              <w:t xml:space="preserve">Фармакотерапевтическая группа: </w:t>
            </w:r>
            <w:r>
              <w:rPr>
                <w:b w:val="0"/>
                <w:color w:val="FF0000"/>
                <w:sz w:val="24"/>
              </w:rPr>
              <w:t>а</w:t>
            </w:r>
            <w:r>
              <w:rPr>
                <w:b w:val="0"/>
                <w:sz w:val="24"/>
              </w:rPr>
              <w:t>нтигистаминные средства системного действия; эфиры алкиламинов.</w:t>
              <w:br/>
              <w:t>Код АТХ: R06AА11</w:t>
            </w:r>
            <w:r>
              <w:rPr>
                <w:b w:val="0"/>
                <w:sz w:val="24"/>
              </w:rPr>
              <w:br/>
              <w:t>Механизм действия и фармакодинамические эффекты</w:t>
              <w:br/>
              <w:t>Основной механизм действия дименгидрината заключается в подавлении синтеза ацетилхолина.</w:t>
              <w:br/>
              <w:t>Дименгидринат-хлортеофиллиновая соль дифенгидрамина, состоящая из 55</w:t>
            </w:r>
            <w:r>
              <w:rPr>
                <w:b w:val="0"/>
                <w:color w:val="FF0000"/>
                <w:sz w:val="24"/>
              </w:rPr>
              <w:t xml:space="preserve"> </w:t>
            </w:r>
            <w:r>
              <w:rPr>
                <w:b w:val="0"/>
                <w:sz w:val="24"/>
              </w:rPr>
              <w:t>% дифенгидрамина и 45</w:t>
            </w:r>
            <w:r>
              <w:rPr>
                <w:b w:val="0"/>
                <w:color w:val="FF0000"/>
                <w:sz w:val="24"/>
              </w:rPr>
              <w:t xml:space="preserve"> </w:t>
            </w:r>
            <w:r>
              <w:rPr>
                <w:b w:val="0"/>
                <w:sz w:val="24"/>
              </w:rPr>
              <w:t>% 8-хлортеофиллина. По этой причине активным веществом дименгидрината является дифенгидрамин, который оказывает угнетающее действие на центральную нервную систему (хорошо проникает сквозь гематоэнцефалический барьер), а также антихолинергическое, противорвотное, антигистаминное (блокатор H1 рецепторов) и местное обезболивающее действие (блокирует ток ионов натрия). Предполагается, что антихолинергическое действие дименгидрината вызывает подавление вестибулярной стимуляции (в малых дозах действует на отолиты, а в больших-на полукружные каналы),</w:t>
            </w:r>
            <w:r>
              <w:rPr>
                <w:b w:val="0"/>
                <w:color w:val="FF0000"/>
                <w:sz w:val="24"/>
              </w:rPr>
              <w:br/>
            </w:r>
            <w:r>
              <w:rPr>
                <w:b w:val="0"/>
                <w:sz w:val="24"/>
              </w:rPr>
              <w:t>которая возникает при укачивании или головокружении. Дименгидринат угнетает стимуляцию лабиринта в течение трех часов после приема. Торможение происходит из-за антимускаринового действия дименгидрината.</w:t>
            </w:r>
          </w:p>
        </w:tc>
      </w:tr>
      <w:tr>
        <w:tc>
          <w:tcPr>
            <w:tcW w:type="dxa" w:w="14560"/>
            <w:gridSpan w:val="2"/>
          </w:tcPr>
          <w:p>
            <w:pPr>
              <w:jc w:val="center"/>
            </w:pPr>
            <w:r/>
            <w:r>
              <w:rPr>
                <w:b/>
                <w:sz w:val="24"/>
              </w:rPr>
              <w:t>5.2. Фармакокинетические свойства</w:t>
            </w:r>
          </w:p>
        </w:tc>
      </w:tr>
      <w:tr>
        <w:tc>
          <w:tcPr>
            <w:tcW w:type="dxa" w:w="7280"/>
            <w:shd w:val="clear" w:color="auto" w:fill="FF9999"/>
          </w:tcPr>
          <w:p>
            <w:pPr>
              <w:jc w:val="center"/>
            </w:pPr>
            <w:r/>
            <w:r>
              <w:rPr>
                <w:b/>
                <w:sz w:val="24"/>
              </w:rPr>
              <w:t>5.2 Фармакокинетические свойства</w:t>
            </w:r>
          </w:p>
        </w:tc>
        <w:tc>
          <w:tcPr>
            <w:tcW w:type="dxa" w:w="7280"/>
          </w:tcPr>
          <w:p>
            <w:pPr>
              <w:jc w:val="center"/>
            </w:pPr>
            <w:r/>
            <w:r>
              <w:rPr>
                <w:b/>
                <w:sz w:val="24"/>
              </w:rPr>
              <w:t>5.2. Фармакокинетические свойства</w:t>
            </w:r>
          </w:p>
        </w:tc>
      </w:tr>
      <w:tr>
        <w:tc>
          <w:tcPr>
            <w:tcW w:type="dxa" w:w="7280"/>
          </w:tcPr>
          <w:p>
            <w:r/>
            <w:r>
              <w:rPr>
                <w:b w:val="0"/>
                <w:sz w:val="24"/>
              </w:rPr>
              <w:t>Абсорбция</w:t>
            </w:r>
            <w:r>
              <w:rPr>
                <w:b w:val="0"/>
                <w:color w:val="008000"/>
                <w:sz w:val="24"/>
              </w:rPr>
              <w:t xml:space="preserve"> и распределение</w:t>
            </w:r>
            <w:r>
              <w:rPr>
                <w:b w:val="0"/>
                <w:sz w:val="24"/>
              </w:rPr>
              <w:br/>
              <w:t>Дименгидринат при внутреннем применении хорошо всасывается в желудочно-кишечном тракте. Противорвотное действие наступает через 15-30 мин</w:t>
            </w:r>
            <w:r>
              <w:rPr>
                <w:b w:val="0"/>
                <w:color w:val="008000"/>
                <w:sz w:val="24"/>
              </w:rPr>
              <w:t>ут</w:t>
            </w:r>
            <w:r>
              <w:rPr>
                <w:b w:val="0"/>
                <w:sz w:val="24"/>
              </w:rPr>
              <w:t xml:space="preserve"> после приема. Эффект продолжается в течение 3-6 ч</w:t>
            </w:r>
            <w:r>
              <w:rPr>
                <w:b w:val="0"/>
                <w:color w:val="008000"/>
                <w:sz w:val="24"/>
              </w:rPr>
              <w:t xml:space="preserve">асов. </w:t>
            </w:r>
            <w:r>
              <w:rPr>
                <w:b w:val="0"/>
                <w:sz w:val="24"/>
              </w:rPr>
              <w:t>Около 78</w:t>
            </w:r>
            <w:r>
              <w:rPr>
                <w:b w:val="0"/>
                <w:sz w:val="24"/>
              </w:rPr>
              <w:t>% препарата связывается с белками плазмы. Хорошо проникает сквозь плацентарный и гематоэнцефалический барьер, выделяется с молоком.</w:t>
              <w:br/>
              <w:t>Биотрансформ</w:t>
            </w:r>
            <w:r>
              <w:rPr>
                <w:b w:val="0"/>
                <w:color w:val="008000"/>
                <w:sz w:val="24"/>
              </w:rPr>
              <w:t>ация и элимин</w:t>
            </w:r>
            <w:r>
              <w:rPr>
                <w:b w:val="0"/>
                <w:sz w:val="24"/>
              </w:rPr>
              <w:t>ация</w:t>
              <w:br/>
              <w:t>Подвергается интенсивному метаболизму при первом прохождении в печени, в основном через ферментативную систему CYP2D6.</w:t>
            </w:r>
            <w:r>
              <w:rPr>
                <w:b w:val="0"/>
                <w:color w:val="008000"/>
                <w:sz w:val="24"/>
              </w:rPr>
              <w:t xml:space="preserve"> </w:t>
            </w:r>
            <w:r>
              <w:rPr>
                <w:b w:val="0"/>
                <w:sz w:val="24"/>
              </w:rPr>
              <w:t>Период полувыведения</w:t>
            </w:r>
            <w:r>
              <w:rPr>
                <w:b w:val="0"/>
                <w:color w:val="008000"/>
                <w:sz w:val="24"/>
              </w:rPr>
              <w:br/>
            </w:r>
            <w:r>
              <w:rPr>
                <w:b w:val="0"/>
                <w:sz w:val="24"/>
              </w:rPr>
              <w:t>дименгидрината составляет около 3,5 ч</w:t>
            </w:r>
            <w:r>
              <w:rPr>
                <w:b w:val="0"/>
                <w:color w:val="008000"/>
                <w:sz w:val="24"/>
              </w:rPr>
              <w:t>асов</w:t>
            </w:r>
            <w:r>
              <w:rPr>
                <w:b w:val="0"/>
                <w:sz w:val="24"/>
              </w:rPr>
              <w:t>. Он выводится с мочой в виде</w:t>
            </w:r>
            <w:r>
              <w:rPr>
                <w:b w:val="0"/>
                <w:color w:val="008000"/>
                <w:sz w:val="24"/>
              </w:rPr>
              <w:br/>
            </w:r>
            <w:r>
              <w:rPr>
                <w:b w:val="0"/>
                <w:sz w:val="24"/>
              </w:rPr>
              <w:t>метаболита и в неизмененном виде.</w:t>
            </w:r>
          </w:p>
        </w:tc>
        <w:tc>
          <w:tcPr>
            <w:tcW w:type="dxa" w:w="7280"/>
          </w:tcPr>
          <w:p>
            <w:r/>
            <w:r>
              <w:rPr>
                <w:b w:val="0"/>
                <w:sz w:val="24"/>
              </w:rPr>
              <w:t>Абсорбция</w:t>
            </w:r>
            <w:r>
              <w:rPr>
                <w:b w:val="0"/>
                <w:sz w:val="24"/>
              </w:rPr>
              <w:br/>
              <w:t>Дименгидринат при внутреннем применении хорошо всасывается в желудочно-кишечном тракте. Противорвотное действие наступает через 15-30 мин</w:t>
            </w:r>
            <w:r>
              <w:rPr>
                <w:b w:val="0"/>
                <w:sz w:val="24"/>
              </w:rPr>
              <w:t xml:space="preserve"> после приема. Эффект продолжается в течение 3-6 ч</w:t>
            </w:r>
            <w:r>
              <w:rPr>
                <w:b w:val="0"/>
                <w:color w:val="FF0000"/>
                <w:sz w:val="24"/>
              </w:rPr>
              <w:t>.</w:t>
              <w:br/>
              <w:t>Распределение</w:t>
              <w:br/>
            </w:r>
            <w:r>
              <w:rPr>
                <w:b w:val="0"/>
                <w:sz w:val="24"/>
              </w:rPr>
              <w:t>Около 78</w:t>
            </w:r>
            <w:r>
              <w:rPr>
                <w:b w:val="0"/>
                <w:color w:val="FF0000"/>
                <w:sz w:val="24"/>
              </w:rPr>
              <w:t xml:space="preserve"> </w:t>
            </w:r>
            <w:r>
              <w:rPr>
                <w:b w:val="0"/>
                <w:sz w:val="24"/>
              </w:rPr>
              <w:t>% препарата связывается с белками плазмы. Хорошо проникает сквозь плацентарный и гематоэнцефалический барьер, выделяется с молоком.</w:t>
              <w:br/>
              <w:t>Биотрансформ</w:t>
            </w:r>
            <w:r>
              <w:rPr>
                <w:b w:val="0"/>
                <w:sz w:val="24"/>
              </w:rPr>
              <w:t>ация</w:t>
              <w:br/>
              <w:t>Подвергается интенсивному метаболизму при первом прохождении в печени, в основном через ферментативную систему CYP2D6.</w:t>
            </w:r>
            <w:r>
              <w:rPr>
                <w:b w:val="0"/>
                <w:color w:val="FF0000"/>
                <w:sz w:val="24"/>
              </w:rPr>
              <w:br/>
              <w:t>Элиминация</w:t>
              <w:br/>
            </w:r>
            <w:r>
              <w:rPr>
                <w:b w:val="0"/>
                <w:sz w:val="24"/>
              </w:rPr>
              <w:t>Период полувыведения</w:t>
            </w:r>
            <w:r>
              <w:rPr>
                <w:b w:val="0"/>
                <w:color w:val="FF0000"/>
                <w:sz w:val="24"/>
              </w:rPr>
              <w:t xml:space="preserve"> </w:t>
            </w:r>
            <w:r>
              <w:rPr>
                <w:b w:val="0"/>
                <w:sz w:val="24"/>
              </w:rPr>
              <w:t>дименгидрината составляет около 3,5 ч</w:t>
            </w:r>
            <w:r>
              <w:rPr>
                <w:b w:val="0"/>
                <w:sz w:val="24"/>
              </w:rPr>
              <w:t>. Он выводится с мочой в виде</w:t>
            </w:r>
            <w:r>
              <w:rPr>
                <w:b w:val="0"/>
                <w:color w:val="FF0000"/>
                <w:sz w:val="24"/>
              </w:rPr>
              <w:t xml:space="preserve"> </w:t>
            </w:r>
            <w:r>
              <w:rPr>
                <w:b w:val="0"/>
                <w:sz w:val="24"/>
              </w:rPr>
              <w:t>метаболита и в неизмененном виде.</w:t>
            </w:r>
          </w:p>
        </w:tc>
      </w:tr>
      <w:tr>
        <w:tc>
          <w:tcPr>
            <w:tcW w:type="dxa" w:w="14560"/>
            <w:gridSpan w:val="2"/>
          </w:tcPr>
          <w:p>
            <w:pPr>
              <w:jc w:val="center"/>
            </w:pPr>
            <w:r/>
            <w:r>
              <w:rPr>
                <w:b/>
                <w:sz w:val="24"/>
              </w:rPr>
              <w:t>5.3. Данные доклинической безопасности</w:t>
            </w:r>
          </w:p>
        </w:tc>
      </w:tr>
      <w:tr>
        <w:tc>
          <w:tcPr>
            <w:tcW w:type="dxa" w:w="7280"/>
            <w:shd w:val="clear" w:color="auto" w:fill="FF9999"/>
          </w:tcPr>
          <w:p>
            <w:pPr>
              <w:jc w:val="center"/>
            </w:pPr>
            <w:r/>
            <w:r>
              <w:rPr>
                <w:b/>
                <w:sz w:val="24"/>
              </w:rPr>
              <w:t>5.3 Данные доклинической безопасности</w:t>
            </w:r>
          </w:p>
        </w:tc>
        <w:tc>
          <w:tcPr>
            <w:tcW w:type="dxa" w:w="7280"/>
          </w:tcPr>
          <w:p>
            <w:pPr>
              <w:jc w:val="center"/>
            </w:pPr>
            <w:r/>
            <w:r>
              <w:rPr>
                <w:b/>
                <w:sz w:val="24"/>
              </w:rPr>
              <w:t>5.3. Данные доклинической безопасности</w:t>
            </w:r>
          </w:p>
        </w:tc>
      </w:tr>
      <w:tr>
        <w:tc>
          <w:tcPr>
            <w:tcW w:type="dxa" w:w="7280"/>
          </w:tcPr>
          <w:p>
            <w:r/>
            <w:r>
              <w:rPr>
                <w:b w:val="0"/>
                <w:sz w:val="24"/>
              </w:rPr>
              <w:t>В доклинических данных, полученных по результатам стандартных исследований фармакологической безопасности, токсичности при многократном введении, генотоксичности, канцерогенного потенциала и репродуктивной и онтогенетической токсичности, особый вред для человека не выявлен.</w:t>
            </w:r>
          </w:p>
        </w:tc>
        <w:tc>
          <w:tcPr>
            <w:tcW w:type="dxa" w:w="7280"/>
          </w:tcPr>
          <w:p>
            <w:r/>
            <w:r>
              <w:rPr>
                <w:b w:val="0"/>
                <w:color w:val="FF0000"/>
                <w:sz w:val="24"/>
              </w:rPr>
              <w:t xml:space="preserve">• </w:t>
            </w:r>
            <w:r>
              <w:rPr>
                <w:b w:val="0"/>
                <w:sz w:val="24"/>
              </w:rPr>
              <w:t>В доклинических данных, полученных по результатам стандартных исследований фармакологической безопасности, токсичности при многократном введении, генотоксичности, канцерогенного потенциала и репродуктивной и онтогенетической токсичности, особый вред для человека не выявлен.</w:t>
            </w:r>
          </w:p>
        </w:tc>
      </w:tr>
      <w:tr>
        <w:tc>
          <w:tcPr>
            <w:tcW w:type="dxa" w:w="14560"/>
            <w:gridSpan w:val="2"/>
          </w:tcPr>
          <w:p>
            <w:pPr>
              <w:jc w:val="center"/>
            </w:pPr>
            <w:r/>
            <w:r>
              <w:rPr>
                <w:b/>
                <w:sz w:val="24"/>
              </w:rPr>
              <w:t>6. ФАРМАЦЕВТИЧЕСКИЕ СВОЙСТВА</w:t>
            </w:r>
          </w:p>
        </w:tc>
      </w:tr>
      <w:tr>
        <w:tc>
          <w:tcPr>
            <w:tcW w:type="dxa" w:w="7280"/>
            <w:shd w:val="clear" w:color="auto" w:fill="FF9999"/>
          </w:tcPr>
          <w:p>
            <w:pPr>
              <w:jc w:val="center"/>
            </w:pPr>
            <w:r/>
            <w:r>
              <w:rPr>
                <w:b/>
                <w:sz w:val="24"/>
              </w:rPr>
              <w:t>6 ФАРМАЦЕВТИЧЕСКИЕ СВОЙСТВА</w:t>
            </w:r>
          </w:p>
        </w:tc>
        <w:tc>
          <w:tcPr>
            <w:tcW w:type="dxa" w:w="7280"/>
          </w:tcPr>
          <w:p>
            <w:pPr>
              <w:jc w:val="center"/>
            </w:pPr>
            <w:r/>
            <w:r>
              <w:rPr>
                <w:b/>
                <w:sz w:val="24"/>
              </w:rPr>
              <w:t>6. ФАРМАЦЕВТИЧЕСКИЕ СВОЙСТВА</w:t>
            </w:r>
          </w:p>
        </w:tc>
      </w:tr>
      <w:tr>
        <w:tc>
          <w:tcPr>
            <w:tcW w:type="dxa" w:w="7280"/>
          </w:tcPr>
          <w:p>
            <w:r/>
          </w:p>
        </w:tc>
        <w:tc>
          <w:tcPr>
            <w:tcW w:type="dxa" w:w="7280"/>
          </w:tcPr>
          <w:p>
            <w:r/>
          </w:p>
        </w:tc>
      </w:tr>
      <w:tr>
        <w:tc>
          <w:tcPr>
            <w:tcW w:type="dxa" w:w="14560"/>
            <w:gridSpan w:val="2"/>
          </w:tcPr>
          <w:p>
            <w:pPr>
              <w:jc w:val="center"/>
            </w:pPr>
            <w:r/>
            <w:r>
              <w:rPr>
                <w:b/>
                <w:sz w:val="24"/>
              </w:rPr>
              <w:t>6.1. Перечень вспомогательных веществ</w:t>
            </w:r>
          </w:p>
        </w:tc>
      </w:tr>
      <w:tr>
        <w:tc>
          <w:tcPr>
            <w:tcW w:type="dxa" w:w="7280"/>
            <w:shd w:val="clear" w:color="auto" w:fill="FF9999"/>
          </w:tcPr>
          <w:p>
            <w:pPr>
              <w:jc w:val="center"/>
            </w:pPr>
            <w:r/>
            <w:r>
              <w:rPr>
                <w:b/>
                <w:sz w:val="24"/>
              </w:rPr>
              <w:t>6.1 Перечень вспомогательных веществ</w:t>
            </w:r>
          </w:p>
        </w:tc>
        <w:tc>
          <w:tcPr>
            <w:tcW w:type="dxa" w:w="7280"/>
          </w:tcPr>
          <w:p>
            <w:pPr>
              <w:jc w:val="center"/>
            </w:pPr>
            <w:r/>
            <w:r>
              <w:rPr>
                <w:b/>
                <w:sz w:val="24"/>
              </w:rPr>
              <w:t>6.1. Перечень вспомогательных веществ</w:t>
            </w:r>
          </w:p>
        </w:tc>
      </w:tr>
      <w:tr>
        <w:tc>
          <w:tcPr>
            <w:tcW w:type="dxa" w:w="7280"/>
          </w:tcPr>
          <w:p>
            <w:r/>
            <w:r>
              <w:rPr>
                <w:b w:val="0"/>
                <w:sz w:val="24"/>
              </w:rPr>
              <w:t>Л</w:t>
            </w:r>
            <w:r>
              <w:rPr>
                <w:b w:val="0"/>
                <w:color w:val="008000"/>
                <w:sz w:val="24"/>
              </w:rPr>
              <w:t>удипресс [л</w:t>
            </w:r>
            <w:r>
              <w:rPr>
                <w:b w:val="0"/>
                <w:sz w:val="24"/>
              </w:rPr>
              <w:t>актозы моногидрат</w:t>
            </w:r>
            <w:r>
              <w:rPr>
                <w:b w:val="0"/>
                <w:color w:val="008000"/>
                <w:sz w:val="24"/>
              </w:rPr>
              <w:t>, повидон К3 ®, кросповидон]</w:t>
            </w:r>
            <w:r>
              <w:rPr>
                <w:b w:val="0"/>
                <w:sz w:val="24"/>
              </w:rPr>
              <w:br/>
              <w:t>Целлюлоза микрокристаллическая</w:t>
            </w:r>
            <w:r>
              <w:rPr>
                <w:b w:val="0"/>
                <w:sz w:val="24"/>
              </w:rPr>
              <w:br/>
              <w:t>Магния стеарат</w:t>
            </w:r>
          </w:p>
        </w:tc>
        <w:tc>
          <w:tcPr>
            <w:tcW w:type="dxa" w:w="7280"/>
          </w:tcPr>
          <w:p>
            <w:r/>
            <w:r>
              <w:rPr>
                <w:b w:val="0"/>
                <w:sz w:val="24"/>
              </w:rPr>
              <w:t>Л</w:t>
            </w:r>
            <w:r>
              <w:rPr>
                <w:b w:val="0"/>
                <w:sz w:val="24"/>
              </w:rPr>
              <w:t>актозы моногидрат</w:t>
            </w:r>
            <w:r>
              <w:rPr>
                <w:b w:val="0"/>
                <w:sz w:val="24"/>
              </w:rPr>
              <w:br/>
              <w:t>Целлюлоза микрокристаллическая</w:t>
            </w:r>
            <w:r>
              <w:rPr>
                <w:b w:val="0"/>
                <w:color w:val="FF0000"/>
                <w:sz w:val="24"/>
              </w:rPr>
              <w:t xml:space="preserve"> (МКЦ-101)</w:t>
              <w:br/>
              <w:t>Кросповидон (тип А)</w:t>
              <w:br/>
              <w:t>Повидон К-3 ®</w:t>
            </w:r>
            <w:r>
              <w:rPr>
                <w:b w:val="0"/>
                <w:sz w:val="24"/>
              </w:rPr>
              <w:br/>
              <w:t>Магния стеарат</w:t>
            </w:r>
          </w:p>
        </w:tc>
      </w:tr>
      <w:tr>
        <w:tc>
          <w:tcPr>
            <w:tcW w:type="dxa" w:w="14560"/>
            <w:gridSpan w:val="2"/>
          </w:tcPr>
          <w:p>
            <w:pPr>
              <w:jc w:val="center"/>
            </w:pPr>
            <w:r/>
            <w:r>
              <w:rPr>
                <w:b/>
                <w:sz w:val="24"/>
              </w:rPr>
              <w:t>6.2. Несовместимость</w:t>
            </w:r>
          </w:p>
        </w:tc>
      </w:tr>
      <w:tr>
        <w:tc>
          <w:tcPr>
            <w:tcW w:type="dxa" w:w="7280"/>
            <w:shd w:val="clear" w:color="auto" w:fill="FF9999"/>
          </w:tcPr>
          <w:p>
            <w:pPr>
              <w:jc w:val="center"/>
            </w:pPr>
            <w:r/>
            <w:r>
              <w:rPr>
                <w:b/>
                <w:sz w:val="24"/>
              </w:rPr>
              <w:t>6.2 Несовместимость</w:t>
            </w:r>
          </w:p>
        </w:tc>
        <w:tc>
          <w:tcPr>
            <w:tcW w:type="dxa" w:w="7280"/>
          </w:tcPr>
          <w:p>
            <w:pPr>
              <w:jc w:val="center"/>
            </w:pPr>
            <w:r/>
            <w:r>
              <w:rPr>
                <w:b/>
                <w:sz w:val="24"/>
              </w:rPr>
              <w:t>6.2. Несовместимость</w:t>
            </w:r>
          </w:p>
        </w:tc>
      </w:tr>
      <w:tr>
        <w:tc>
          <w:tcPr>
            <w:tcW w:type="dxa" w:w="7280"/>
          </w:tcPr>
          <w:p>
            <w:r/>
            <w:r>
              <w:rPr>
                <w:b w:val="0"/>
                <w:sz w:val="24"/>
              </w:rPr>
              <w:t>Не применимо.</w:t>
            </w:r>
          </w:p>
        </w:tc>
        <w:tc>
          <w:tcPr>
            <w:tcW w:type="dxa" w:w="7280"/>
          </w:tcPr>
          <w:p>
            <w:r/>
            <w:r>
              <w:rPr>
                <w:b w:val="0"/>
                <w:sz w:val="24"/>
              </w:rPr>
              <w:t>Не применимо.</w:t>
            </w:r>
          </w:p>
        </w:tc>
      </w:tr>
      <w:tr>
        <w:tc>
          <w:tcPr>
            <w:tcW w:type="dxa" w:w="14560"/>
            <w:gridSpan w:val="2"/>
          </w:tcPr>
          <w:p>
            <w:pPr>
              <w:jc w:val="center"/>
            </w:pPr>
            <w:r/>
            <w:r>
              <w:rPr>
                <w:b/>
                <w:sz w:val="24"/>
              </w:rPr>
              <w:t>6.3. Срок годности (срок хранения)</w:t>
            </w:r>
          </w:p>
        </w:tc>
      </w:tr>
      <w:tr>
        <w:tc>
          <w:tcPr>
            <w:tcW w:type="dxa" w:w="7280"/>
            <w:shd w:val="clear" w:color="auto" w:fill="FF9999"/>
          </w:tcPr>
          <w:p>
            <w:pPr>
              <w:jc w:val="center"/>
            </w:pPr>
            <w:r/>
            <w:r>
              <w:rPr>
                <w:b/>
                <w:sz w:val="24"/>
              </w:rPr>
              <w:t>6.3 Срок годности (срок хранения)</w:t>
            </w:r>
          </w:p>
        </w:tc>
        <w:tc>
          <w:tcPr>
            <w:tcW w:type="dxa" w:w="7280"/>
          </w:tcPr>
          <w:p>
            <w:pPr>
              <w:jc w:val="center"/>
            </w:pPr>
            <w:r/>
            <w:r>
              <w:rPr>
                <w:b/>
                <w:sz w:val="24"/>
              </w:rPr>
              <w:t>6.3. Срок годности (срок хранения)</w:t>
            </w:r>
          </w:p>
        </w:tc>
      </w:tr>
      <w:tr>
        <w:tc>
          <w:tcPr>
            <w:tcW w:type="dxa" w:w="7280"/>
          </w:tcPr>
          <w:p>
            <w:r/>
            <w:r>
              <w:rPr>
                <w:b w:val="0"/>
                <w:color w:val="008000"/>
                <w:sz w:val="24"/>
              </w:rPr>
              <w:t>5</w:t>
            </w:r>
            <w:r>
              <w:rPr>
                <w:b w:val="0"/>
                <w:sz w:val="24"/>
              </w:rPr>
              <w:t xml:space="preserve"> </w:t>
            </w:r>
            <w:r>
              <w:rPr>
                <w:b w:val="0"/>
                <w:color w:val="008000"/>
                <w:sz w:val="24"/>
              </w:rPr>
              <w:t>лет</w:t>
            </w:r>
            <w:r>
              <w:rPr>
                <w:b w:val="0"/>
                <w:sz w:val="24"/>
              </w:rPr>
              <w:t>.</w:t>
            </w:r>
          </w:p>
        </w:tc>
        <w:tc>
          <w:tcPr>
            <w:tcW w:type="dxa" w:w="7280"/>
          </w:tcPr>
          <w:p>
            <w:r/>
            <w:r>
              <w:rPr>
                <w:b w:val="0"/>
                <w:color w:val="FF0000"/>
                <w:sz w:val="24"/>
              </w:rPr>
              <w:t>3</w:t>
            </w:r>
            <w:r>
              <w:rPr>
                <w:b w:val="0"/>
                <w:sz w:val="24"/>
              </w:rPr>
              <w:t xml:space="preserve"> </w:t>
            </w:r>
            <w:r>
              <w:rPr>
                <w:b w:val="0"/>
                <w:color w:val="FF0000"/>
                <w:sz w:val="24"/>
              </w:rPr>
              <w:t>года</w:t>
            </w:r>
            <w:r>
              <w:rPr>
                <w:b w:val="0"/>
                <w:sz w:val="24"/>
              </w:rPr>
              <w:t>.</w:t>
            </w:r>
          </w:p>
        </w:tc>
      </w:tr>
      <w:tr>
        <w:tc>
          <w:tcPr>
            <w:tcW w:type="dxa" w:w="14560"/>
            <w:gridSpan w:val="2"/>
          </w:tcPr>
          <w:p>
            <w:pPr>
              <w:jc w:val="center"/>
            </w:pPr>
            <w:r/>
            <w:r>
              <w:rPr>
                <w:b/>
                <w:sz w:val="24"/>
              </w:rPr>
              <w:t>6.4. Особые меры предосторожности при хранении</w:t>
            </w:r>
          </w:p>
        </w:tc>
      </w:tr>
      <w:tr>
        <w:tc>
          <w:tcPr>
            <w:tcW w:type="dxa" w:w="7280"/>
            <w:shd w:val="clear" w:color="auto" w:fill="FF9999"/>
          </w:tcPr>
          <w:p>
            <w:pPr>
              <w:jc w:val="center"/>
            </w:pPr>
            <w:r/>
            <w:r>
              <w:rPr>
                <w:b/>
                <w:sz w:val="24"/>
              </w:rPr>
              <w:t>6.4 Особые меры предосторожности при хранении</w:t>
            </w:r>
          </w:p>
        </w:tc>
        <w:tc>
          <w:tcPr>
            <w:tcW w:type="dxa" w:w="7280"/>
          </w:tcPr>
          <w:p>
            <w:pPr>
              <w:jc w:val="center"/>
            </w:pPr>
            <w:r/>
            <w:r>
              <w:rPr>
                <w:b/>
                <w:sz w:val="24"/>
              </w:rPr>
              <w:t>6.4. Особые меры предосторожности при хранении</w:t>
            </w:r>
          </w:p>
        </w:tc>
      </w:tr>
      <w:tr>
        <w:tc>
          <w:tcPr>
            <w:tcW w:type="dxa" w:w="7280"/>
          </w:tcPr>
          <w:p>
            <w:r/>
            <w:r>
              <w:rPr>
                <w:b w:val="0"/>
                <w:sz w:val="24"/>
              </w:rPr>
              <w:t>Хранить</w:t>
            </w:r>
            <w:r>
              <w:rPr>
                <w:b w:val="0"/>
                <w:color w:val="008000"/>
                <w:sz w:val="24"/>
              </w:rPr>
              <w:t xml:space="preserve"> блистер в картонной пачке для защиты от света</w:t>
            </w:r>
            <w:r>
              <w:rPr>
                <w:b w:val="0"/>
                <w:sz w:val="24"/>
              </w:rPr>
              <w:t xml:space="preserve"> при температуре не выше 25 </w:t>
            </w:r>
            <w:r>
              <w:rPr>
                <w:b w:val="0"/>
                <w:color w:val="008000"/>
                <w:sz w:val="24"/>
              </w:rPr>
              <w:t>oС</w:t>
            </w:r>
            <w:r>
              <w:rPr>
                <w:b w:val="0"/>
                <w:sz w:val="24"/>
              </w:rPr>
              <w:t>.</w:t>
            </w:r>
          </w:p>
        </w:tc>
        <w:tc>
          <w:tcPr>
            <w:tcW w:type="dxa" w:w="7280"/>
          </w:tcPr>
          <w:p>
            <w:r/>
            <w:r>
              <w:rPr>
                <w:b w:val="0"/>
                <w:sz w:val="24"/>
              </w:rPr>
              <w:t>Хранить</w:t>
            </w:r>
            <w:r>
              <w:rPr>
                <w:b w:val="0"/>
                <w:sz w:val="24"/>
              </w:rPr>
              <w:t xml:space="preserve"> при температуре не выше 25 </w:t>
            </w:r>
            <w:r>
              <w:rPr>
                <w:b w:val="0"/>
                <w:color w:val="FF0000"/>
                <w:sz w:val="24"/>
              </w:rPr>
              <w:t>°C</w:t>
            </w:r>
            <w:r>
              <w:rPr>
                <w:b w:val="0"/>
                <w:sz w:val="24"/>
              </w:rPr>
              <w:t>.</w:t>
            </w:r>
          </w:p>
        </w:tc>
      </w:tr>
      <w:tr>
        <w:tc>
          <w:tcPr>
            <w:tcW w:type="dxa" w:w="14560"/>
            <w:gridSpan w:val="2"/>
          </w:tcPr>
          <w:p>
            <w:pPr>
              <w:jc w:val="center"/>
            </w:pPr>
            <w:r/>
            <w:r>
              <w:rPr>
                <w:b/>
                <w:sz w:val="24"/>
              </w:rPr>
              <w:t>6.5. Характер и содержание упаковки</w:t>
            </w:r>
          </w:p>
        </w:tc>
      </w:tr>
      <w:tr>
        <w:tc>
          <w:tcPr>
            <w:tcW w:type="dxa" w:w="7280"/>
            <w:shd w:val="clear" w:color="auto" w:fill="FF9999"/>
          </w:tcPr>
          <w:p>
            <w:pPr>
              <w:jc w:val="center"/>
            </w:pPr>
            <w:r/>
            <w:r>
              <w:rPr>
                <w:b/>
                <w:sz w:val="24"/>
              </w:rPr>
              <w:t>6.5 Характер и содержание упаковки</w:t>
            </w:r>
          </w:p>
        </w:tc>
        <w:tc>
          <w:tcPr>
            <w:tcW w:type="dxa" w:w="7280"/>
          </w:tcPr>
          <w:p>
            <w:pPr>
              <w:jc w:val="center"/>
            </w:pPr>
            <w:r/>
            <w:r>
              <w:rPr>
                <w:b/>
                <w:sz w:val="24"/>
              </w:rPr>
              <w:t>6.5. Характер и содержание упаковки</w:t>
            </w:r>
          </w:p>
        </w:tc>
      </w:tr>
      <w:tr>
        <w:tc>
          <w:tcPr>
            <w:tcW w:type="dxa" w:w="7280"/>
          </w:tcPr>
          <w:p>
            <w:r/>
            <w:r>
              <w:rPr>
                <w:b w:val="0"/>
                <w:color w:val="008000"/>
                <w:sz w:val="24"/>
              </w:rPr>
              <w:t xml:space="preserve">Таблетки. </w:t>
            </w:r>
            <w:r>
              <w:rPr>
                <w:b w:val="0"/>
                <w:sz w:val="24"/>
              </w:rPr>
              <w:t xml:space="preserve">По </w:t>
            </w:r>
            <w:r>
              <w:rPr>
                <w:b w:val="0"/>
                <w:color w:val="008000"/>
                <w:sz w:val="24"/>
              </w:rPr>
              <w:t>5</w:t>
            </w:r>
            <w:r>
              <w:rPr>
                <w:b w:val="0"/>
                <w:sz w:val="24"/>
              </w:rPr>
              <w:t xml:space="preserve"> или </w:t>
            </w:r>
            <w:r>
              <w:rPr>
                <w:b w:val="0"/>
                <w:color w:val="008000"/>
                <w:sz w:val="24"/>
              </w:rPr>
              <w:t>1</w:t>
            </w:r>
            <w:r>
              <w:rPr>
                <w:b w:val="0"/>
                <w:sz w:val="24"/>
              </w:rPr>
              <w:t xml:space="preserve">0 таблеток в </w:t>
            </w:r>
            <w:r>
              <w:rPr>
                <w:b w:val="0"/>
                <w:color w:val="008000"/>
                <w:sz w:val="24"/>
              </w:rPr>
              <w:t>ПВХ/А</w:t>
            </w:r>
            <w:r>
              <w:rPr>
                <w:b w:val="0"/>
                <w:sz w:val="24"/>
              </w:rPr>
              <w:t>л</w:t>
            </w:r>
            <w:r>
              <w:rPr>
                <w:b w:val="0"/>
                <w:sz w:val="24"/>
              </w:rPr>
              <w:t xml:space="preserve"> </w:t>
            </w:r>
            <w:r>
              <w:rPr>
                <w:b w:val="0"/>
                <w:color w:val="008000"/>
                <w:sz w:val="24"/>
              </w:rPr>
              <w:t>б</w:t>
            </w:r>
            <w:r>
              <w:rPr>
                <w:b w:val="0"/>
                <w:sz w:val="24"/>
              </w:rPr>
              <w:t>ли</w:t>
            </w:r>
            <w:r>
              <w:rPr>
                <w:b w:val="0"/>
                <w:color w:val="008000"/>
                <w:sz w:val="24"/>
              </w:rPr>
              <w:t>стере. Од</w:t>
            </w:r>
            <w:r>
              <w:rPr>
                <w:b w:val="0"/>
                <w:sz w:val="24"/>
              </w:rPr>
              <w:t>ин</w:t>
            </w:r>
            <w:r>
              <w:rPr>
                <w:b w:val="0"/>
                <w:sz w:val="24"/>
              </w:rPr>
              <w:t xml:space="preserve"> </w:t>
            </w:r>
            <w:r>
              <w:rPr>
                <w:b w:val="0"/>
                <w:color w:val="008000"/>
                <w:sz w:val="24"/>
              </w:rPr>
              <w:t>б</w:t>
            </w:r>
            <w:r>
              <w:rPr>
                <w:b w:val="0"/>
                <w:sz w:val="24"/>
              </w:rPr>
              <w:t>ли</w:t>
            </w:r>
            <w:r>
              <w:rPr>
                <w:b w:val="0"/>
                <w:color w:val="008000"/>
                <w:sz w:val="24"/>
              </w:rPr>
              <w:t>с</w:t>
            </w:r>
            <w:r>
              <w:rPr>
                <w:b w:val="0"/>
                <w:sz w:val="24"/>
              </w:rPr>
              <w:t>т</w:t>
            </w:r>
            <w:r>
              <w:rPr>
                <w:b w:val="0"/>
                <w:sz w:val="24"/>
              </w:rPr>
              <w:t>е</w:t>
            </w:r>
            <w:r>
              <w:rPr>
                <w:b w:val="0"/>
                <w:color w:val="008000"/>
                <w:sz w:val="24"/>
              </w:rPr>
              <w:t>р</w:t>
            </w:r>
            <w:r>
              <w:rPr>
                <w:b w:val="0"/>
                <w:sz w:val="24"/>
              </w:rPr>
              <w:t xml:space="preserve"> вместе с листком-вкладышем помещают в </w:t>
            </w:r>
            <w:r>
              <w:rPr>
                <w:b w:val="0"/>
                <w:sz w:val="24"/>
              </w:rPr>
              <w:t>картон</w:t>
            </w:r>
            <w:r>
              <w:rPr>
                <w:b w:val="0"/>
                <w:color w:val="008000"/>
                <w:sz w:val="24"/>
              </w:rPr>
              <w:t>ную п</w:t>
            </w:r>
            <w:r>
              <w:rPr>
                <w:b w:val="0"/>
                <w:sz w:val="24"/>
              </w:rPr>
              <w:t>а</w:t>
            </w:r>
            <w:r>
              <w:rPr>
                <w:b w:val="0"/>
                <w:color w:val="008000"/>
                <w:sz w:val="24"/>
              </w:rPr>
              <w:t>чку</w:t>
            </w:r>
            <w:r>
              <w:rPr>
                <w:b w:val="0"/>
                <w:sz w:val="24"/>
              </w:rPr>
              <w:t>.</w:t>
            </w:r>
          </w:p>
        </w:tc>
        <w:tc>
          <w:tcPr>
            <w:tcW w:type="dxa" w:w="7280"/>
          </w:tcPr>
          <w:p>
            <w:r/>
            <w:r>
              <w:rPr>
                <w:b w:val="0"/>
                <w:sz w:val="24"/>
              </w:rPr>
              <w:t xml:space="preserve">По </w:t>
            </w:r>
            <w:r>
              <w:rPr>
                <w:b w:val="0"/>
                <w:color w:val="FF0000"/>
                <w:sz w:val="24"/>
              </w:rPr>
              <w:t>10</w:t>
            </w:r>
            <w:r>
              <w:rPr>
                <w:b w:val="0"/>
                <w:sz w:val="24"/>
              </w:rPr>
              <w:t xml:space="preserve"> или </w:t>
            </w:r>
            <w:r>
              <w:rPr>
                <w:b w:val="0"/>
                <w:color w:val="FF0000"/>
                <w:sz w:val="24"/>
              </w:rPr>
              <w:t>2</w:t>
            </w:r>
            <w:r>
              <w:rPr>
                <w:b w:val="0"/>
                <w:sz w:val="24"/>
              </w:rPr>
              <w:t xml:space="preserve">0 таблеток в </w:t>
            </w:r>
            <w:r>
              <w:rPr>
                <w:b w:val="0"/>
                <w:color w:val="FF0000"/>
                <w:sz w:val="24"/>
              </w:rPr>
              <w:t>контурную ячейковую упаковку из п</w:t>
            </w:r>
            <w:r>
              <w:rPr>
                <w:b w:val="0"/>
                <w:sz w:val="24"/>
              </w:rPr>
              <w:t>л</w:t>
            </w:r>
            <w:r>
              <w:rPr>
                <w:b w:val="0"/>
                <w:color w:val="FF0000"/>
                <w:sz w:val="24"/>
              </w:rPr>
              <w:t>енки</w:t>
            </w:r>
            <w:r>
              <w:rPr>
                <w:b w:val="0"/>
                <w:sz w:val="24"/>
              </w:rPr>
              <w:t xml:space="preserve"> </w:t>
            </w:r>
            <w:r>
              <w:rPr>
                <w:b w:val="0"/>
                <w:color w:val="FF0000"/>
                <w:sz w:val="24"/>
              </w:rPr>
              <w:t>по</w:t>
            </w:r>
            <w:r>
              <w:rPr>
                <w:b w:val="0"/>
                <w:sz w:val="24"/>
              </w:rPr>
              <w:t>ли</w:t>
            </w:r>
            <w:r>
              <w:rPr>
                <w:b w:val="0"/>
                <w:color w:val="FF0000"/>
                <w:sz w:val="24"/>
              </w:rPr>
              <w:t>в</w:t>
            </w:r>
            <w:r>
              <w:rPr>
                <w:b w:val="0"/>
                <w:sz w:val="24"/>
              </w:rPr>
              <w:t>ин</w:t>
            </w:r>
            <w:r>
              <w:rPr>
                <w:b w:val="0"/>
                <w:color w:val="FF0000"/>
                <w:sz w:val="24"/>
              </w:rPr>
              <w:t>илхлоридной</w:t>
            </w:r>
            <w:r>
              <w:rPr>
                <w:b w:val="0"/>
                <w:sz w:val="24"/>
              </w:rPr>
              <w:t xml:space="preserve"> </w:t>
            </w:r>
            <w:r>
              <w:rPr>
                <w:b w:val="0"/>
                <w:color w:val="FF0000"/>
                <w:sz w:val="24"/>
              </w:rPr>
              <w:t>и фольги алюминиевой.</w:t>
              <w:br/>
              <w:t>1 и</w:t>
            </w:r>
            <w:r>
              <w:rPr>
                <w:b w:val="0"/>
                <w:sz w:val="24"/>
              </w:rPr>
              <w:t>ли</w:t>
            </w:r>
            <w:r>
              <w:rPr>
                <w:b w:val="0"/>
                <w:color w:val="FF0000"/>
                <w:sz w:val="24"/>
              </w:rPr>
              <w:t xml:space="preserve"> 2 кон</w:t>
            </w:r>
            <w:r>
              <w:rPr>
                <w:b w:val="0"/>
                <w:sz w:val="24"/>
              </w:rPr>
              <w:t>т</w:t>
            </w:r>
            <w:r>
              <w:rPr>
                <w:b w:val="0"/>
                <w:color w:val="FF0000"/>
                <w:sz w:val="24"/>
              </w:rPr>
              <w:t>урны</w:t>
            </w:r>
            <w:r>
              <w:rPr>
                <w:b w:val="0"/>
                <w:sz w:val="24"/>
              </w:rPr>
              <w:t>е</w:t>
            </w:r>
            <w:r>
              <w:rPr>
                <w:b w:val="0"/>
                <w:color w:val="FF0000"/>
                <w:sz w:val="24"/>
              </w:rPr>
              <w:t xml:space="preserve"> ячейковые упаковки</w:t>
            </w:r>
            <w:r>
              <w:rPr>
                <w:b w:val="0"/>
                <w:sz w:val="24"/>
              </w:rPr>
              <w:t xml:space="preserve"> вместе с листком-вкладышем помещают в </w:t>
            </w:r>
            <w:r>
              <w:rPr>
                <w:b w:val="0"/>
                <w:color w:val="FF0000"/>
                <w:sz w:val="24"/>
              </w:rPr>
              <w:t xml:space="preserve">пачку из </w:t>
            </w:r>
            <w:r>
              <w:rPr>
                <w:b w:val="0"/>
                <w:sz w:val="24"/>
              </w:rPr>
              <w:t>картон</w:t>
            </w:r>
            <w:r>
              <w:rPr>
                <w:b w:val="0"/>
                <w:sz w:val="24"/>
              </w:rPr>
              <w:t>а</w:t>
            </w:r>
            <w:r>
              <w:rPr>
                <w:b w:val="0"/>
                <w:sz w:val="24"/>
              </w:rPr>
              <w:t>.</w:t>
            </w:r>
          </w:p>
        </w:tc>
      </w:tr>
      <w:tr>
        <w:tc>
          <w:tcPr>
            <w:tcW w:type="dxa" w:w="14560"/>
            <w:gridSpan w:val="2"/>
          </w:tcPr>
          <w:p>
            <w:pPr>
              <w:jc w:val="center"/>
            </w:pPr>
            <w:r/>
            <w:r>
              <w:rPr>
                <w:b/>
                <w:sz w:val="24"/>
              </w:rPr>
              <w:t>6.6. Особые меры предосторожности при утилизации использованного лекарственного препарата или отходов, полученных после применения лекарственного препарата, и другие манипуляции с препаратом</w:t>
            </w:r>
          </w:p>
        </w:tc>
      </w:tr>
      <w:tr>
        <w:tc>
          <w:tcPr>
            <w:tcW w:type="dxa" w:w="7280"/>
            <w:shd w:val="clear" w:color="auto" w:fill="FF9999"/>
          </w:tcPr>
          <w:p>
            <w:pPr>
              <w:jc w:val="center"/>
            </w:pPr>
            <w:r/>
            <w:r>
              <w:rPr>
                <w:b/>
                <w:sz w:val="24"/>
              </w:rPr>
              <w:t>6.6 Особые меры предосторожности при утилизации использованного лекарственного препарата или отходов, полученных после применения препарата, и другие манипуляции с препаратом</w:t>
            </w:r>
          </w:p>
        </w:tc>
        <w:tc>
          <w:tcPr>
            <w:tcW w:type="dxa" w:w="7280"/>
          </w:tcPr>
          <w:p>
            <w:pPr>
              <w:jc w:val="center"/>
            </w:pPr>
            <w:r/>
            <w:r>
              <w:rPr>
                <w:b/>
                <w:sz w:val="24"/>
              </w:rPr>
              <w:t>6.6. Особые меры предосторожности при утилизации использованного лекарственного препарата или отходов, полученных после применения лекарственного препарата, и другие манипуляции с препаратом</w:t>
            </w:r>
          </w:p>
        </w:tc>
      </w:tr>
      <w:tr>
        <w:tc>
          <w:tcPr>
            <w:tcW w:type="dxa" w:w="7280"/>
          </w:tcPr>
          <w:p>
            <w:r/>
            <w:r>
              <w:rPr>
                <w:b w:val="0"/>
                <w:color w:val="008000"/>
                <w:sz w:val="24"/>
              </w:rPr>
              <w:t>Лю</w:t>
            </w:r>
            <w:r>
              <w:rPr>
                <w:b w:val="0"/>
                <w:sz w:val="24"/>
              </w:rPr>
              <w:t>б</w:t>
            </w:r>
            <w:r>
              <w:rPr>
                <w:b w:val="0"/>
                <w:color w:val="008000"/>
                <w:sz w:val="24"/>
              </w:rPr>
              <w:t>ой</w:t>
            </w:r>
            <w:r>
              <w:rPr>
                <w:b w:val="0"/>
                <w:sz w:val="24"/>
              </w:rPr>
              <w:t xml:space="preserve"> </w:t>
            </w:r>
            <w:r>
              <w:rPr>
                <w:b w:val="0"/>
                <w:color w:val="008000"/>
                <w:sz w:val="24"/>
              </w:rPr>
              <w:t>н</w:t>
            </w:r>
            <w:r>
              <w:rPr>
                <w:b w:val="0"/>
                <w:sz w:val="24"/>
              </w:rPr>
              <w:t>е</w:t>
            </w:r>
            <w:r>
              <w:rPr>
                <w:b w:val="0"/>
                <w:color w:val="008000"/>
                <w:sz w:val="24"/>
              </w:rPr>
              <w:t>использ</w:t>
            </w:r>
            <w:r>
              <w:rPr>
                <w:b w:val="0"/>
                <w:sz w:val="24"/>
              </w:rPr>
              <w:t>ован</w:t>
            </w:r>
            <w:r>
              <w:rPr>
                <w:b w:val="0"/>
                <w:color w:val="008000"/>
                <w:sz w:val="24"/>
              </w:rPr>
              <w:t>ный</w:t>
            </w:r>
            <w:r>
              <w:rPr>
                <w:b w:val="0"/>
                <w:sz w:val="24"/>
              </w:rPr>
              <w:t xml:space="preserve"> </w:t>
            </w:r>
            <w:r>
              <w:rPr>
                <w:b w:val="0"/>
                <w:color w:val="008000"/>
                <w:sz w:val="24"/>
              </w:rPr>
              <w:t>лекар</w:t>
            </w:r>
            <w:r>
              <w:rPr>
                <w:b w:val="0"/>
                <w:sz w:val="24"/>
              </w:rPr>
              <w:t>ств</w:t>
            </w:r>
            <w:r>
              <w:rPr>
                <w:b w:val="0"/>
                <w:color w:val="008000"/>
                <w:sz w:val="24"/>
              </w:rPr>
              <w:t>енный препара</w:t>
            </w:r>
            <w:r>
              <w:rPr>
                <w:b w:val="0"/>
                <w:sz w:val="24"/>
              </w:rPr>
              <w:t>т</w:t>
            </w:r>
            <w:r>
              <w:rPr>
                <w:b w:val="0"/>
                <w:color w:val="008000"/>
                <w:sz w:val="24"/>
              </w:rPr>
              <w:t xml:space="preserve"> или отходы следует утилизировать в установленном порядке</w:t>
            </w:r>
            <w:r>
              <w:rPr>
                <w:b w:val="0"/>
                <w:sz w:val="24"/>
              </w:rPr>
              <w:t>.</w:t>
            </w:r>
          </w:p>
        </w:tc>
        <w:tc>
          <w:tcPr>
            <w:tcW w:type="dxa" w:w="7280"/>
          </w:tcPr>
          <w:p>
            <w:r/>
            <w:r>
              <w:rPr>
                <w:b w:val="0"/>
                <w:color w:val="FF0000"/>
                <w:sz w:val="24"/>
              </w:rPr>
              <w:t>Осо</w:t>
            </w:r>
            <w:r>
              <w:rPr>
                <w:b w:val="0"/>
                <w:sz w:val="24"/>
              </w:rPr>
              <w:t>б</w:t>
            </w:r>
            <w:r>
              <w:rPr>
                <w:b w:val="0"/>
                <w:color w:val="FF0000"/>
                <w:sz w:val="24"/>
              </w:rPr>
              <w:t>ые</w:t>
            </w:r>
            <w:r>
              <w:rPr>
                <w:b w:val="0"/>
                <w:sz w:val="24"/>
              </w:rPr>
              <w:t xml:space="preserve"> </w:t>
            </w:r>
            <w:r>
              <w:rPr>
                <w:b w:val="0"/>
                <w:color w:val="FF0000"/>
                <w:sz w:val="24"/>
              </w:rPr>
              <w:t>тр</w:t>
            </w:r>
            <w:r>
              <w:rPr>
                <w:b w:val="0"/>
                <w:sz w:val="24"/>
              </w:rPr>
              <w:t>е</w:t>
            </w:r>
            <w:r>
              <w:rPr>
                <w:b w:val="0"/>
                <w:color w:val="FF0000"/>
                <w:sz w:val="24"/>
              </w:rPr>
              <w:t>б</w:t>
            </w:r>
            <w:r>
              <w:rPr>
                <w:b w:val="0"/>
                <w:sz w:val="24"/>
              </w:rPr>
              <w:t>ован</w:t>
            </w:r>
            <w:r>
              <w:rPr>
                <w:b w:val="0"/>
                <w:color w:val="FF0000"/>
                <w:sz w:val="24"/>
              </w:rPr>
              <w:t>ия</w:t>
            </w:r>
            <w:r>
              <w:rPr>
                <w:b w:val="0"/>
                <w:sz w:val="24"/>
              </w:rPr>
              <w:t xml:space="preserve"> </w:t>
            </w:r>
            <w:r>
              <w:rPr>
                <w:b w:val="0"/>
                <w:color w:val="FF0000"/>
                <w:sz w:val="24"/>
              </w:rPr>
              <w:t>отсут</w:t>
            </w:r>
            <w:r>
              <w:rPr>
                <w:b w:val="0"/>
                <w:sz w:val="24"/>
              </w:rPr>
              <w:t>ств</w:t>
            </w:r>
            <w:r>
              <w:rPr>
                <w:b w:val="0"/>
                <w:color w:val="FF0000"/>
                <w:sz w:val="24"/>
              </w:rPr>
              <w:t>ую</w:t>
            </w:r>
            <w:r>
              <w:rPr>
                <w:b w:val="0"/>
                <w:sz w:val="24"/>
              </w:rPr>
              <w:t>т</w:t>
            </w:r>
            <w:r>
              <w:rPr>
                <w:b w:val="0"/>
                <w:sz w:val="24"/>
              </w:rPr>
              <w:t>.</w:t>
            </w:r>
          </w:p>
        </w:tc>
      </w:tr>
      <w:tr>
        <w:tc>
          <w:tcPr>
            <w:tcW w:type="dxa" w:w="14560"/>
            <w:gridSpan w:val="2"/>
          </w:tcPr>
          <w:p>
            <w:pPr>
              <w:jc w:val="center"/>
            </w:pPr>
            <w:r/>
            <w:r>
              <w:rPr>
                <w:b/>
                <w:sz w:val="24"/>
              </w:rPr>
              <w:t>7. ДЕРЖАТЕЛЬ РЕГИСТРАЦИОННОГО УДОСТОВЕРЕНИЯ</w:t>
            </w:r>
          </w:p>
        </w:tc>
      </w:tr>
      <w:tr>
        <w:tc>
          <w:tcPr>
            <w:tcW w:type="dxa" w:w="7280"/>
            <w:shd w:val="clear" w:color="auto" w:fill="FF9999"/>
          </w:tcPr>
          <w:p>
            <w:pPr>
              <w:jc w:val="center"/>
            </w:pPr>
            <w:r/>
            <w:r>
              <w:rPr>
                <w:b/>
                <w:sz w:val="24"/>
              </w:rPr>
              <w:t>7 ДЕРЖАТЕЛЬ РЕГИСТРАЦИОННОГО УДОСТОВЕРЕНИЯ</w:t>
            </w:r>
          </w:p>
        </w:tc>
        <w:tc>
          <w:tcPr>
            <w:tcW w:type="dxa" w:w="7280"/>
          </w:tcPr>
          <w:p>
            <w:pPr>
              <w:jc w:val="center"/>
            </w:pPr>
            <w:r/>
            <w:r>
              <w:rPr>
                <w:b/>
                <w:sz w:val="24"/>
              </w:rPr>
              <w:t>7. ДЕРЖАТЕЛЬ РЕГИСТРАЦИОННОГО УДОСТОВЕРЕНИЯ</w:t>
            </w:r>
          </w:p>
        </w:tc>
      </w:tr>
      <w:tr>
        <w:tc>
          <w:tcPr>
            <w:tcW w:type="dxa" w:w="7280"/>
          </w:tcPr>
          <w:p>
            <w:r/>
            <w:r>
              <w:rPr>
                <w:b w:val="0"/>
                <w:color w:val="008000"/>
                <w:sz w:val="24"/>
              </w:rPr>
              <w:t>Х</w:t>
            </w:r>
            <w:r>
              <w:rPr>
                <w:b w:val="0"/>
                <w:sz w:val="24"/>
              </w:rPr>
              <w:t>о</w:t>
            </w:r>
            <w:r>
              <w:rPr>
                <w:b w:val="0"/>
                <w:sz w:val="24"/>
              </w:rPr>
              <w:t>р</w:t>
            </w:r>
            <w:r>
              <w:rPr>
                <w:b w:val="0"/>
                <w:color w:val="008000"/>
                <w:sz w:val="24"/>
              </w:rPr>
              <w:t>в</w:t>
            </w:r>
            <w:r>
              <w:rPr>
                <w:b w:val="0"/>
                <w:sz w:val="24"/>
              </w:rPr>
              <w:t>а</w:t>
            </w:r>
            <w:r>
              <w:rPr>
                <w:b w:val="0"/>
                <w:color w:val="008000"/>
                <w:sz w:val="24"/>
              </w:rPr>
              <w:t>т</w:t>
            </w:r>
            <w:r>
              <w:rPr>
                <w:b w:val="0"/>
                <w:sz w:val="24"/>
              </w:rPr>
              <w:t>ия</w:t>
              <w:br/>
            </w:r>
            <w:r>
              <w:rPr>
                <w:b w:val="0"/>
                <w:color w:val="008000"/>
                <w:sz w:val="24"/>
              </w:rPr>
              <w:t>ЯДРАН-ГАЛЕНС</w:t>
            </w:r>
            <w:r>
              <w:rPr>
                <w:b w:val="0"/>
                <w:sz w:val="24"/>
              </w:rPr>
              <w:t>К</w:t>
            </w:r>
            <w:r>
              <w:rPr>
                <w:b w:val="0"/>
                <w:color w:val="008000"/>
                <w:sz w:val="24"/>
              </w:rPr>
              <w:t xml:space="preserve">И ЛАБОРАТОРИЙ </w:t>
            </w:r>
            <w:r>
              <w:rPr>
                <w:b w:val="0"/>
                <w:sz w:val="24"/>
              </w:rPr>
              <w:t>а</w:t>
            </w:r>
            <w:r>
              <w:rPr>
                <w:b w:val="0"/>
                <w:color w:val="008000"/>
                <w:sz w:val="24"/>
              </w:rPr>
              <w:t>.о.</w:t>
              <w:br/>
              <w:t>Свил</w:t>
            </w:r>
            <w:r>
              <w:rPr>
                <w:b w:val="0"/>
                <w:sz w:val="24"/>
              </w:rPr>
              <w:t>но</w:t>
            </w:r>
            <w:r>
              <w:rPr>
                <w:b w:val="0"/>
                <w:sz w:val="24"/>
              </w:rPr>
              <w:t xml:space="preserve"> </w:t>
            </w:r>
            <w:r>
              <w:rPr>
                <w:b w:val="0"/>
                <w:color w:val="008000"/>
                <w:sz w:val="24"/>
              </w:rPr>
              <w:t>20</w:t>
            </w:r>
            <w:r>
              <w:rPr>
                <w:b w:val="0"/>
                <w:sz w:val="24"/>
              </w:rPr>
              <w:t xml:space="preserve">, </w:t>
            </w:r>
            <w:r>
              <w:rPr>
                <w:b w:val="0"/>
                <w:color w:val="008000"/>
                <w:sz w:val="24"/>
              </w:rPr>
              <w:t>51000</w:t>
            </w:r>
            <w:r>
              <w:rPr>
                <w:b w:val="0"/>
                <w:sz w:val="24"/>
              </w:rPr>
              <w:t xml:space="preserve"> </w:t>
            </w:r>
            <w:r>
              <w:rPr>
                <w:b w:val="0"/>
                <w:color w:val="008000"/>
                <w:sz w:val="24"/>
              </w:rPr>
              <w:t>Р</w:t>
            </w:r>
            <w:r>
              <w:rPr>
                <w:b w:val="0"/>
                <w:sz w:val="24"/>
              </w:rPr>
              <w:t>и</w:t>
            </w:r>
            <w:r>
              <w:rPr>
                <w:b w:val="0"/>
                <w:color w:val="008000"/>
                <w:sz w:val="24"/>
              </w:rPr>
              <w:t>е</w:t>
            </w:r>
            <w:r>
              <w:rPr>
                <w:b w:val="0"/>
                <w:sz w:val="24"/>
              </w:rPr>
              <w:t>ка</w:t>
            </w:r>
            <w:r>
              <w:rPr>
                <w:b w:val="0"/>
                <w:color w:val="008000"/>
                <w:sz w:val="24"/>
              </w:rPr>
              <w:br/>
              <w:t>А</w:t>
            </w:r>
            <w:r>
              <w:rPr>
                <w:b w:val="0"/>
                <w:sz w:val="24"/>
              </w:rPr>
              <w:t>д</w:t>
            </w:r>
            <w:r>
              <w:rPr>
                <w:b w:val="0"/>
                <w:color w:val="008000"/>
                <w:sz w:val="24"/>
              </w:rPr>
              <w:t>рес</w:t>
            </w:r>
            <w:r>
              <w:rPr>
                <w:b w:val="0"/>
                <w:sz w:val="24"/>
              </w:rPr>
              <w:t xml:space="preserve"> </w:t>
            </w:r>
            <w:r>
              <w:rPr>
                <w:b w:val="0"/>
                <w:color w:val="008000"/>
                <w:sz w:val="24"/>
              </w:rPr>
              <w:t>электронной почты: jgl@jglpharma</w:t>
            </w:r>
            <w:r>
              <w:rPr>
                <w:b w:val="0"/>
                <w:sz w:val="24"/>
              </w:rPr>
              <w:t>.</w:t>
            </w:r>
            <w:r>
              <w:rPr>
                <w:b w:val="0"/>
                <w:color w:val="008000"/>
                <w:sz w:val="24"/>
              </w:rPr>
              <w:t>com</w:t>
            </w:r>
          </w:p>
        </w:tc>
        <w:tc>
          <w:tcPr>
            <w:tcW w:type="dxa" w:w="7280"/>
          </w:tcPr>
          <w:p>
            <w:r/>
            <w:r>
              <w:rPr>
                <w:b w:val="0"/>
                <w:color w:val="FF0000"/>
                <w:sz w:val="24"/>
              </w:rPr>
              <w:t>Р</w:t>
            </w:r>
            <w:r>
              <w:rPr>
                <w:b w:val="0"/>
                <w:sz w:val="24"/>
              </w:rPr>
              <w:t>о</w:t>
            </w:r>
            <w:r>
              <w:rPr>
                <w:b w:val="0"/>
                <w:color w:val="FF0000"/>
                <w:sz w:val="24"/>
              </w:rPr>
              <w:t>ссийская Феде</w:t>
            </w:r>
            <w:r>
              <w:rPr>
                <w:b w:val="0"/>
                <w:sz w:val="24"/>
              </w:rPr>
              <w:t>р</w:t>
            </w:r>
            <w:r>
              <w:rPr>
                <w:b w:val="0"/>
                <w:sz w:val="24"/>
              </w:rPr>
              <w:t>а</w:t>
            </w:r>
            <w:r>
              <w:rPr>
                <w:b w:val="0"/>
                <w:color w:val="FF0000"/>
                <w:sz w:val="24"/>
              </w:rPr>
              <w:t>ц</w:t>
            </w:r>
            <w:r>
              <w:rPr>
                <w:b w:val="0"/>
                <w:sz w:val="24"/>
              </w:rPr>
              <w:t>ия</w:t>
              <w:br/>
            </w:r>
            <w:r>
              <w:rPr>
                <w:b w:val="0"/>
                <w:color w:val="FF0000"/>
                <w:sz w:val="24"/>
              </w:rPr>
              <w:t>ООО «ЮжФарм»</w:t>
              <w:br/>
              <w:t xml:space="preserve">353821, </w:t>
            </w:r>
            <w:r>
              <w:rPr>
                <w:b w:val="0"/>
                <w:sz w:val="24"/>
              </w:rPr>
              <w:t>К</w:t>
            </w:r>
            <w:r>
              <w:rPr>
                <w:b w:val="0"/>
                <w:color w:val="FF0000"/>
                <w:sz w:val="24"/>
              </w:rPr>
              <w:t>р</w:t>
            </w:r>
            <w:r>
              <w:rPr>
                <w:b w:val="0"/>
                <w:sz w:val="24"/>
              </w:rPr>
              <w:t>а</w:t>
            </w:r>
            <w:r>
              <w:rPr>
                <w:b w:val="0"/>
                <w:color w:val="FF0000"/>
                <w:sz w:val="24"/>
              </w:rPr>
              <w:t>с</w:t>
            </w:r>
            <w:r>
              <w:rPr>
                <w:b w:val="0"/>
                <w:sz w:val="24"/>
              </w:rPr>
              <w:t>но</w:t>
            </w:r>
            <w:r>
              <w:rPr>
                <w:b w:val="0"/>
                <w:color w:val="FF0000"/>
                <w:sz w:val="24"/>
              </w:rPr>
              <w:t>дарский</w:t>
            </w:r>
            <w:r>
              <w:rPr>
                <w:b w:val="0"/>
                <w:sz w:val="24"/>
              </w:rPr>
              <w:t xml:space="preserve"> </w:t>
            </w:r>
            <w:r>
              <w:rPr>
                <w:b w:val="0"/>
                <w:color w:val="FF0000"/>
                <w:sz w:val="24"/>
              </w:rPr>
              <w:t>край</w:t>
            </w:r>
            <w:r>
              <w:rPr>
                <w:b w:val="0"/>
                <w:sz w:val="24"/>
              </w:rPr>
              <w:t xml:space="preserve">, </w:t>
            </w:r>
            <w:r>
              <w:rPr>
                <w:b w:val="0"/>
                <w:color w:val="FF0000"/>
                <w:sz w:val="24"/>
              </w:rPr>
              <w:t>район</w:t>
            </w:r>
            <w:r>
              <w:rPr>
                <w:b w:val="0"/>
                <w:sz w:val="24"/>
              </w:rPr>
              <w:t xml:space="preserve"> </w:t>
            </w:r>
            <w:r>
              <w:rPr>
                <w:b w:val="0"/>
                <w:color w:val="FF0000"/>
                <w:sz w:val="24"/>
              </w:rPr>
              <w:t>Красноармейск</w:t>
            </w:r>
            <w:r>
              <w:rPr>
                <w:b w:val="0"/>
                <w:sz w:val="24"/>
              </w:rPr>
              <w:t>и</w:t>
            </w:r>
            <w:r>
              <w:rPr>
                <w:b w:val="0"/>
                <w:color w:val="FF0000"/>
                <w:sz w:val="24"/>
              </w:rPr>
              <w:t>й, ст-ца Ивановс</w:t>
            </w:r>
            <w:r>
              <w:rPr>
                <w:b w:val="0"/>
                <w:sz w:val="24"/>
              </w:rPr>
              <w:t>ка</w:t>
            </w:r>
            <w:r>
              <w:rPr>
                <w:b w:val="0"/>
                <w:color w:val="FF0000"/>
                <w:sz w:val="24"/>
              </w:rPr>
              <w:t xml:space="preserve">я, ул. Дубинская, </w:t>
            </w:r>
            <w:r>
              <w:rPr>
                <w:b w:val="0"/>
                <w:sz w:val="24"/>
              </w:rPr>
              <w:t>д</w:t>
            </w:r>
            <w:r>
              <w:rPr>
                <w:b w:val="0"/>
                <w:color w:val="FF0000"/>
                <w:sz w:val="24"/>
              </w:rPr>
              <w:t>.</w:t>
            </w:r>
            <w:r>
              <w:rPr>
                <w:b w:val="0"/>
                <w:sz w:val="24"/>
              </w:rPr>
              <w:t xml:space="preserve"> </w:t>
            </w:r>
            <w:r>
              <w:rPr>
                <w:b w:val="0"/>
                <w:color w:val="FF0000"/>
                <w:sz w:val="24"/>
              </w:rPr>
              <w:t>65</w:t>
            </w:r>
            <w:r>
              <w:rPr>
                <w:b w:val="0"/>
                <w:sz w:val="24"/>
              </w:rPr>
              <w:t>.</w:t>
            </w:r>
          </w:p>
        </w:tc>
      </w:tr>
      <w:tr>
        <w:tc>
          <w:tcPr>
            <w:tcW w:type="dxa" w:w="14560"/>
            <w:gridSpan w:val="2"/>
          </w:tcPr>
          <w:p>
            <w:pPr>
              <w:jc w:val="center"/>
            </w:pPr>
            <w:r/>
            <w:r>
              <w:rPr>
                <w:b/>
                <w:sz w:val="24"/>
              </w:rPr>
              <w:t>7.1. Представитель держателя регистрационного удостоверения</w:t>
            </w:r>
          </w:p>
        </w:tc>
      </w:tr>
      <w:tr>
        <w:tc>
          <w:tcPr>
            <w:tcW w:type="dxa" w:w="7280"/>
            <w:shd w:val="clear" w:color="auto" w:fill="FF9999"/>
          </w:tcPr>
          <w:p>
            <w:pPr>
              <w:jc w:val="center"/>
            </w:pPr>
            <w:r/>
            <w:r>
              <w:rPr>
                <w:b/>
                <w:sz w:val="24"/>
              </w:rPr>
              <w:t>7.1 Представитель держателя регистрационного удостоверения</w:t>
            </w:r>
          </w:p>
        </w:tc>
        <w:tc>
          <w:tcPr>
            <w:tcW w:type="dxa" w:w="7280"/>
          </w:tcPr>
          <w:p>
            <w:pPr>
              <w:jc w:val="center"/>
            </w:pPr>
            <w:r/>
            <w:r>
              <w:rPr>
                <w:b/>
                <w:sz w:val="24"/>
              </w:rPr>
              <w:t>7.1. Представитель держателя регистрационного удостоверения</w:t>
            </w:r>
          </w:p>
        </w:tc>
      </w:tr>
      <w:tr>
        <w:tc>
          <w:tcPr>
            <w:tcW w:type="dxa" w:w="7280"/>
          </w:tcPr>
          <w:p>
            <w:r/>
            <w:r>
              <w:rPr>
                <w:b w:val="0"/>
                <w:sz w:val="24"/>
              </w:rPr>
              <w:t>Претензии потребителей направлять по адресу:</w:t>
              <w:br/>
              <w:t>Российская Федерация</w:t>
              <w:br/>
              <w:t>ООО «</w:t>
            </w:r>
            <w:r>
              <w:rPr>
                <w:b w:val="0"/>
                <w:color w:val="008000"/>
                <w:sz w:val="24"/>
              </w:rPr>
              <w:t>Я</w:t>
            </w:r>
            <w:r>
              <w:rPr>
                <w:b w:val="0"/>
                <w:sz w:val="24"/>
              </w:rPr>
              <w:t>Д</w:t>
            </w:r>
            <w:r>
              <w:rPr>
                <w:b w:val="0"/>
                <w:color w:val="008000"/>
                <w:sz w:val="24"/>
              </w:rPr>
              <w:t>РАН»</w:t>
              <w:br/>
              <w:t xml:space="preserve">Адрес: 125196, г. Москва, </w:t>
            </w:r>
            <w:r>
              <w:rPr>
                <w:b w:val="0"/>
                <w:sz w:val="24"/>
              </w:rPr>
              <w:t>у</w:t>
            </w:r>
            <w:r>
              <w:rPr>
                <w:b w:val="0"/>
                <w:color w:val="008000"/>
                <w:sz w:val="24"/>
              </w:rPr>
              <w:t>л. Лесная, д. 9, здание «Б»</w:t>
            </w:r>
            <w:r>
              <w:rPr>
                <w:b w:val="0"/>
                <w:sz w:val="24"/>
              </w:rPr>
              <w:t>.</w:t>
              <w:br/>
              <w:t>Тел</w:t>
            </w:r>
            <w:r>
              <w:rPr>
                <w:b w:val="0"/>
                <w:color w:val="008000"/>
                <w:sz w:val="24"/>
              </w:rPr>
              <w:t>ефон</w:t>
            </w:r>
            <w:r>
              <w:rPr>
                <w:b w:val="0"/>
                <w:sz w:val="24"/>
              </w:rPr>
              <w:t>: +7 (</w:t>
            </w:r>
            <w:r>
              <w:rPr>
                <w:b w:val="0"/>
                <w:color w:val="008000"/>
                <w:sz w:val="24"/>
              </w:rPr>
              <w:t>495</w:t>
            </w:r>
            <w:r>
              <w:rPr>
                <w:b w:val="0"/>
                <w:sz w:val="24"/>
              </w:rPr>
              <w:t xml:space="preserve">) </w:t>
            </w:r>
            <w:r>
              <w:rPr>
                <w:b w:val="0"/>
                <w:color w:val="008000"/>
                <w:sz w:val="24"/>
              </w:rPr>
              <w:t>970-18-82</w:t>
              <w:br/>
              <w:t>Адрес электронной почты: jadran@jgl.ru</w:t>
              <w:br/>
              <w:t>Республика Казахстан</w:t>
              <w:br/>
              <w:t>ТОО «JADRAN Kazakhstan» (ЯДРАН Казахстан)</w:t>
              <w:br/>
              <w:t>Адрес: 050040, г. Алматы, ул. Маркова, дом 61/1, н.п. 122</w:t>
              <w:br/>
              <w:t>Телефон</w:t>
            </w:r>
            <w:r>
              <w:rPr>
                <w:b w:val="0"/>
                <w:sz w:val="24"/>
              </w:rPr>
              <w:t>: +7</w:t>
            </w:r>
            <w:r>
              <w:rPr>
                <w:b w:val="0"/>
                <w:color w:val="008000"/>
                <w:sz w:val="24"/>
              </w:rPr>
              <w:br/>
            </w:r>
            <w:r>
              <w:rPr>
                <w:b w:val="0"/>
                <w:sz w:val="24"/>
              </w:rPr>
              <w:t>(</w:t>
            </w:r>
            <w:r>
              <w:rPr>
                <w:b w:val="0"/>
                <w:color w:val="008000"/>
                <w:sz w:val="24"/>
              </w:rPr>
              <w:t>727</w:t>
            </w:r>
            <w:r>
              <w:rPr>
                <w:b w:val="0"/>
                <w:sz w:val="24"/>
              </w:rPr>
              <w:t xml:space="preserve">) </w:t>
            </w:r>
            <w:r>
              <w:rPr>
                <w:b w:val="0"/>
                <w:color w:val="008000"/>
                <w:sz w:val="24"/>
              </w:rPr>
              <w:t>313 20 51</w:t>
              <w:br/>
              <w:t>Адрес электронной почты: Regu</w:t>
            </w:r>
            <w:r>
              <w:rPr>
                <w:b w:val="0"/>
                <w:sz w:val="24"/>
              </w:rPr>
              <w:t>l</w:t>
            </w:r>
            <w:r>
              <w:rPr>
                <w:b w:val="0"/>
                <w:color w:val="008000"/>
                <w:sz w:val="24"/>
              </w:rPr>
              <w:t>atory</w:t>
              <w:br/>
              <w:t>• KZ@jgl.ru</w:t>
              <w:br/>
              <w:t>Республика Беларусь</w:t>
              <w:br/>
              <w:t>Акционерное общество «JADRAN-GALENSKI LАBORATORIJ d.d.» Республика Хорватия, действующее через Представительство акционерного общества «JADRAN-GALENSKI LАBORATORIJ d.d.» (Республика Хорватия) в Республике</w:t>
              <w:br/>
              <w:t>Беларусь</w:t>
              <w:br/>
              <w:t>Адрес:</w:t>
              <w:br/>
              <w:t>220062, г. Минск, пр. Победителей, д.104, помещение 6</w:t>
              <w:br/>
              <w:t>Телефон: + 375 29 166 71 25</w:t>
              <w:br/>
              <w:t>Адрес электронной почты:</w:t>
              <w:br/>
            </w:r>
            <w:r>
              <w:rPr>
                <w:b w:val="0"/>
                <w:sz w:val="24"/>
              </w:rPr>
              <w:t>info</w:t>
            </w:r>
            <w:r>
              <w:rPr>
                <w:b w:val="0"/>
                <w:color w:val="008000"/>
                <w:sz w:val="24"/>
              </w:rPr>
              <w:t>Bel</w:t>
            </w:r>
            <w:r>
              <w:rPr>
                <w:b w:val="0"/>
                <w:sz w:val="24"/>
              </w:rPr>
              <w:t>@</w:t>
            </w:r>
            <w:r>
              <w:rPr>
                <w:b w:val="0"/>
                <w:color w:val="008000"/>
                <w:sz w:val="24"/>
              </w:rPr>
              <w:t>jgl</w:t>
            </w:r>
            <w:r>
              <w:rPr>
                <w:b w:val="0"/>
                <w:sz w:val="24"/>
              </w:rPr>
              <w:t>pharm</w:t>
            </w:r>
            <w:r>
              <w:rPr>
                <w:b w:val="0"/>
                <w:color w:val="008000"/>
                <w:sz w:val="24"/>
              </w:rPr>
              <w:t>a.com</w:t>
              <w:br/>
              <w:t>Кыргызская Республика</w:t>
              <w:br/>
              <w:t>ОсОО «ДАСМЕД»</w:t>
              <w:br/>
              <w:t>Адрес: 720043,</w:t>
              <w:br/>
              <w:t>г. Бишкек, ул. Садыгалиева, 1 в</w:t>
              <w:br/>
              <w:t>Телефон:</w:t>
              <w:br/>
              <w:t>+996 312 35 75 42, +996 556 699 466</w:t>
              <w:br/>
              <w:t>Адрес электронной почты:</w:t>
              <w:br/>
              <w:t>pv@dasmed.kg</w:t>
              <w:br/>
              <w:t>Республика Армения</w:t>
              <w:br/>
              <w:t>ООО «ФАРМ ТРАСТ»</w:t>
              <w:br/>
              <w:t>Адрес: 0029, г. Ереван, квартал Силикян, 2-я улица, 25/1</w:t>
              <w:br/>
              <w:t>Телефон: (+374 10) 333414</w:t>
              <w:br/>
              <w:t>ООО «ФАРМ ТРАСТ»</w:t>
              <w:br/>
              <w:t>Адрес: 0029, г. Ереван, квартал Силикян, 2-я улица, 25/1</w:t>
              <w:br/>
              <w:t>Телефон: (+374 10) 333414</w:t>
              <w:br/>
              <w:t>Адрес электронной почты:</w:t>
              <w:br/>
              <w:t>pharmt</w:t>
            </w:r>
            <w:r>
              <w:rPr>
                <w:b w:val="0"/>
                <w:sz w:val="24"/>
              </w:rPr>
              <w:t>ru</w:t>
            </w:r>
            <w:r>
              <w:rPr>
                <w:b w:val="0"/>
                <w:color w:val="008000"/>
                <w:sz w:val="24"/>
              </w:rPr>
              <w:t>st @ yandex.ru</w:t>
            </w:r>
          </w:p>
        </w:tc>
        <w:tc>
          <w:tcPr>
            <w:tcW w:type="dxa" w:w="7280"/>
          </w:tcPr>
          <w:p>
            <w:r/>
            <w:r>
              <w:rPr>
                <w:b w:val="0"/>
                <w:sz w:val="24"/>
              </w:rPr>
              <w:t>Претензии потребителей направлять по адресу:</w:t>
              <w:br/>
              <w:t>Российская Федерация</w:t>
              <w:br/>
              <w:t>ООО «</w:t>
            </w:r>
            <w:r>
              <w:rPr>
                <w:b w:val="0"/>
                <w:color w:val="FF0000"/>
                <w:sz w:val="24"/>
              </w:rPr>
              <w:t>ЮжФарм»</w:t>
              <w:br/>
              <w:t xml:space="preserve">353821, Краснодарский край, район Красноармейский, ст-ца Ивановская, ул. </w:t>
            </w:r>
            <w:r>
              <w:rPr>
                <w:b w:val="0"/>
                <w:sz w:val="24"/>
              </w:rPr>
              <w:t>Д</w:t>
            </w:r>
            <w:r>
              <w:rPr>
                <w:b w:val="0"/>
                <w:sz w:val="24"/>
              </w:rPr>
              <w:t>у</w:t>
            </w:r>
            <w:r>
              <w:rPr>
                <w:b w:val="0"/>
                <w:color w:val="FF0000"/>
                <w:sz w:val="24"/>
              </w:rPr>
              <w:t>бинская, д. 65</w:t>
            </w:r>
            <w:r>
              <w:rPr>
                <w:b w:val="0"/>
                <w:sz w:val="24"/>
              </w:rPr>
              <w:t>.</w:t>
              <w:br/>
              <w:t>Тел</w:t>
            </w:r>
            <w:r>
              <w:rPr>
                <w:b w:val="0"/>
                <w:color w:val="FF0000"/>
                <w:sz w:val="24"/>
              </w:rPr>
              <w:t>.</w:t>
            </w:r>
            <w:r>
              <w:rPr>
                <w:b w:val="0"/>
                <w:sz w:val="24"/>
              </w:rPr>
              <w:t>: +7 (</w:t>
            </w:r>
            <w:r>
              <w:rPr>
                <w:b w:val="0"/>
                <w:color w:val="FF0000"/>
                <w:sz w:val="24"/>
              </w:rPr>
              <w:t>86131</w:t>
            </w:r>
            <w:r>
              <w:rPr>
                <w:b w:val="0"/>
                <w:sz w:val="24"/>
              </w:rPr>
              <w:t xml:space="preserve">) </w:t>
            </w:r>
            <w:r>
              <w:rPr>
                <w:b w:val="0"/>
                <w:color w:val="FF0000"/>
                <w:sz w:val="24"/>
              </w:rPr>
              <w:t>5-35-65</w:t>
              <w:br/>
              <w:t>Факс</w:t>
            </w:r>
            <w:r>
              <w:rPr>
                <w:b w:val="0"/>
                <w:sz w:val="24"/>
              </w:rPr>
              <w:t>: +7</w:t>
            </w:r>
            <w:r>
              <w:rPr>
                <w:b w:val="0"/>
                <w:color w:val="FF0000"/>
                <w:sz w:val="24"/>
              </w:rPr>
              <w:t xml:space="preserve"> </w:t>
            </w:r>
            <w:r>
              <w:rPr>
                <w:b w:val="0"/>
                <w:sz w:val="24"/>
              </w:rPr>
              <w:t>(</w:t>
            </w:r>
            <w:r>
              <w:rPr>
                <w:b w:val="0"/>
                <w:color w:val="FF0000"/>
                <w:sz w:val="24"/>
              </w:rPr>
              <w:t>86131</w:t>
            </w:r>
            <w:r>
              <w:rPr>
                <w:b w:val="0"/>
                <w:sz w:val="24"/>
              </w:rPr>
              <w:t xml:space="preserve">) </w:t>
            </w:r>
            <w:r>
              <w:rPr>
                <w:b w:val="0"/>
                <w:color w:val="FF0000"/>
                <w:sz w:val="24"/>
              </w:rPr>
              <w:t>2-28-28</w:t>
              <w:br/>
              <w:t>E-mai</w:t>
            </w:r>
            <w:r>
              <w:rPr>
                <w:b w:val="0"/>
                <w:sz w:val="24"/>
              </w:rPr>
              <w:t>l</w:t>
            </w:r>
            <w:r>
              <w:rPr>
                <w:b w:val="0"/>
                <w:color w:val="FF0000"/>
                <w:sz w:val="24"/>
              </w:rPr>
              <w:t xml:space="preserve">: </w:t>
            </w:r>
            <w:r>
              <w:rPr>
                <w:b w:val="0"/>
                <w:sz w:val="24"/>
              </w:rPr>
              <w:t>info</w:t>
            </w:r>
            <w:r>
              <w:rPr>
                <w:b w:val="0"/>
                <w:sz w:val="24"/>
              </w:rPr>
              <w:t>@</w:t>
            </w:r>
            <w:r>
              <w:rPr>
                <w:b w:val="0"/>
                <w:color w:val="FF0000"/>
                <w:sz w:val="24"/>
              </w:rPr>
              <w:t>yuzh</w:t>
            </w:r>
            <w:r>
              <w:rPr>
                <w:b w:val="0"/>
                <w:sz w:val="24"/>
              </w:rPr>
              <w:t>pharm</w:t>
            </w:r>
            <w:r>
              <w:rPr>
                <w:b w:val="0"/>
                <w:color w:val="FF0000"/>
                <w:sz w:val="24"/>
              </w:rPr>
              <w:t>.</w:t>
            </w:r>
            <w:r>
              <w:rPr>
                <w:b w:val="0"/>
                <w:sz w:val="24"/>
              </w:rPr>
              <w:t>ru</w:t>
            </w:r>
          </w:p>
        </w:tc>
      </w:tr>
      <w:tr>
        <w:tc>
          <w:tcPr>
            <w:tcW w:type="dxa" w:w="14560"/>
            <w:gridSpan w:val="2"/>
          </w:tcPr>
          <w:p>
            <w:pPr>
              <w:jc w:val="center"/>
            </w:pPr>
            <w:r/>
            <w:r>
              <w:rPr>
                <w:b/>
                <w:sz w:val="24"/>
              </w:rPr>
              <w:t>8. НОМЕР (НОМЕРА) РЕГИСТРАЦИОННОГО УДОСТОВЕРЕНИЯ</w:t>
            </w:r>
          </w:p>
        </w:tc>
      </w:tr>
      <w:tr>
        <w:tc>
          <w:tcPr>
            <w:tcW w:type="dxa" w:w="7280"/>
            <w:shd w:val="clear" w:color="auto" w:fill="FF9999"/>
          </w:tcPr>
          <w:p>
            <w:pPr>
              <w:jc w:val="center"/>
            </w:pPr>
            <w:r/>
            <w:r>
              <w:rPr>
                <w:b/>
                <w:sz w:val="24"/>
              </w:rPr>
              <w:t>8 НОМЕР (НОМЕРА) РЕГИСТРАЦИОННОГО УДОСТОВЕРЕНИЯ</w:t>
            </w:r>
          </w:p>
        </w:tc>
        <w:tc>
          <w:tcPr>
            <w:tcW w:type="dxa" w:w="7280"/>
            <w:shd w:val="clear" w:color="auto" w:fill="FF9999"/>
          </w:tcPr>
          <w:p>
            <w:pPr>
              <w:jc w:val="center"/>
            </w:pPr>
            <w:r/>
            <w:r>
              <w:rPr>
                <w:b/>
                <w:sz w:val="24"/>
              </w:rPr>
              <w:t>8. НОМЕР (НОМЕРА) РЕГИСТРАЦИОННЫХ УДОСТОВЕРЕНИЙ</w:t>
            </w:r>
          </w:p>
        </w:tc>
      </w:tr>
      <w:tr>
        <w:tc>
          <w:tcPr>
            <w:tcW w:type="dxa" w:w="7280"/>
          </w:tcPr>
          <w:p>
            <w:r/>
          </w:p>
        </w:tc>
        <w:tc>
          <w:tcPr>
            <w:tcW w:type="dxa" w:w="7280"/>
          </w:tcPr>
          <w:p>
            <w:r/>
          </w:p>
        </w:tc>
      </w:tr>
      <w:tr>
        <w:tc>
          <w:tcPr>
            <w:tcW w:type="dxa" w:w="14560"/>
            <w:gridSpan w:val="2"/>
          </w:tcPr>
          <w:p>
            <w:pPr>
              <w:jc w:val="center"/>
            </w:pPr>
            <w:r/>
            <w:r>
              <w:rPr>
                <w:b/>
                <w:sz w:val="24"/>
              </w:rPr>
              <w:t>9. КАТЕГОРИЯ ОТПУСКА ЛЕКАРСТВЕННОГО ПРЕПАРАТА</w:t>
            </w:r>
          </w:p>
        </w:tc>
      </w:tr>
      <w:tr>
        <w:tc>
          <w:tcPr>
            <w:tcW w:type="dxa" w:w="7280"/>
            <w:shd w:val="clear" w:color="auto" w:fill="FF9999"/>
          </w:tcPr>
          <w:p>
            <w:pPr>
              <w:jc w:val="center"/>
            </w:pPr>
            <w:r/>
            <w:r>
              <w:rPr>
                <w:b/>
                <w:sz w:val="24"/>
              </w:rPr>
              <w:t>9 КАТЕГОРИЯ ОТПУСКА ЛЕКАРСТВЕННОГО ПРЕПАРАТА</w:t>
            </w:r>
          </w:p>
        </w:tc>
        <w:tc>
          <w:tcPr>
            <w:tcW w:type="dxa" w:w="7280"/>
          </w:tcPr>
          <w:p>
            <w:pPr>
              <w:jc w:val="center"/>
            </w:pPr>
            <w:r/>
            <w:r>
              <w:rPr>
                <w:b/>
                <w:sz w:val="24"/>
              </w:rPr>
              <w:t>9. КАТЕГОРИЯ ОТПУСКА ЛЕКАРСТВЕННОГО ПРЕПАРАТА</w:t>
            </w:r>
          </w:p>
        </w:tc>
      </w:tr>
      <w:tr>
        <w:tc>
          <w:tcPr>
            <w:tcW w:type="dxa" w:w="7280"/>
          </w:tcPr>
          <w:p>
            <w:r/>
            <w:r>
              <w:rPr>
                <w:b w:val="0"/>
                <w:sz w:val="24"/>
              </w:rPr>
              <w:t>Лекарственный препарат относится к категории отпуска без рецепта.</w:t>
              <w:br/>
              <w:t xml:space="preserve">Общая характеристика лекарственного препарата </w:t>
            </w:r>
            <w:r>
              <w:rPr>
                <w:b w:val="0"/>
                <w:color w:val="008000"/>
                <w:sz w:val="24"/>
              </w:rPr>
              <w:t>Драмина</w:t>
            </w:r>
            <w:r>
              <w:rPr>
                <w:b w:val="0"/>
                <w:sz w:val="24"/>
              </w:rPr>
              <w:t xml:space="preserve"> доступна в едином реестре зарегистрированных лекарственных средств Евразийского экономического</w:t>
            </w:r>
            <w:r>
              <w:rPr>
                <w:b w:val="0"/>
                <w:color w:val="008000"/>
                <w:sz w:val="24"/>
              </w:rPr>
              <w:br/>
            </w:r>
            <w:r>
              <w:rPr>
                <w:b w:val="0"/>
                <w:sz w:val="24"/>
              </w:rPr>
              <w:t>союза и на официальном сайте уполномоченного органа (экспертной организации)</w:t>
            </w:r>
            <w:r>
              <w:rPr>
                <w:b w:val="0"/>
                <w:color w:val="008000"/>
                <w:sz w:val="24"/>
              </w:rPr>
              <w:br/>
              <w:t>(</w:t>
            </w:r>
            <w:r>
              <w:rPr>
                <w:b w:val="0"/>
                <w:sz w:val="24"/>
              </w:rPr>
              <w:t>https:</w:t>
            </w:r>
            <w:r>
              <w:rPr>
                <w:b w:val="0"/>
                <w:color w:val="008000"/>
                <w:sz w:val="24"/>
              </w:rPr>
              <w:t xml:space="preserve"> </w:t>
            </w:r>
            <w:r>
              <w:rPr>
                <w:b w:val="0"/>
                <w:sz w:val="24"/>
              </w:rPr>
              <w:t>//</w:t>
            </w:r>
            <w:r>
              <w:rPr>
                <w:b w:val="0"/>
                <w:color w:val="008000"/>
                <w:sz w:val="24"/>
              </w:rPr>
              <w:t>lk</w:t>
            </w:r>
            <w:r>
              <w:rPr>
                <w:b w:val="0"/>
                <w:sz w:val="24"/>
              </w:rPr>
              <w:t>.regmed.ru/</w:t>
            </w:r>
            <w:r>
              <w:rPr>
                <w:b w:val="0"/>
                <w:color w:val="008000"/>
                <w:sz w:val="24"/>
              </w:rPr>
              <w:t>Register/EAEU \_</w:t>
              <w:br/>
              <w:t>SmPC)</w:t>
            </w:r>
            <w:r>
              <w:rPr>
                <w:b w:val="0"/>
                <w:sz w:val="24"/>
              </w:rPr>
              <w:t>.</w:t>
            </w:r>
          </w:p>
        </w:tc>
        <w:tc>
          <w:tcPr>
            <w:tcW w:type="dxa" w:w="7280"/>
          </w:tcPr>
          <w:p>
            <w:r/>
            <w:r>
              <w:rPr>
                <w:b w:val="0"/>
                <w:sz w:val="24"/>
              </w:rPr>
              <w:t>Лекарственный препарат относится к категории отпуска без рецепта.</w:t>
              <w:br/>
              <w:t xml:space="preserve">Общая характеристика лекарственного препарата </w:t>
            </w:r>
            <w:r>
              <w:rPr>
                <w:b w:val="0"/>
                <w:color w:val="FF0000"/>
                <w:sz w:val="24"/>
              </w:rPr>
              <w:t>ТРЭВЕЛИН</w:t>
            </w:r>
            <w:r>
              <w:rPr>
                <w:b w:val="0"/>
                <w:sz w:val="24"/>
              </w:rPr>
              <w:t xml:space="preserve"> доступна в едином реестре зарегистрированных лекарственных средств Евразийского экономического</w:t>
            </w:r>
            <w:r>
              <w:rPr>
                <w:b w:val="0"/>
                <w:color w:val="FF0000"/>
                <w:sz w:val="24"/>
              </w:rPr>
              <w:t xml:space="preserve"> </w:t>
            </w:r>
            <w:r>
              <w:rPr>
                <w:b w:val="0"/>
                <w:sz w:val="24"/>
              </w:rPr>
              <w:t>союза и на официальном сайте уполномоченного органа (экспертной организации)</w:t>
            </w:r>
            <w:r>
              <w:rPr>
                <w:b w:val="0"/>
                <w:color w:val="FF0000"/>
                <w:sz w:val="24"/>
              </w:rPr>
              <w:t xml:space="preserve"> </w:t>
            </w:r>
            <w:r>
              <w:rPr>
                <w:b w:val="0"/>
                <w:sz w:val="24"/>
              </w:rPr>
              <w:t>https:</w:t>
            </w:r>
            <w:r>
              <w:rPr>
                <w:b w:val="0"/>
                <w:sz w:val="24"/>
              </w:rPr>
              <w:t>//</w:t>
            </w:r>
            <w:r>
              <w:rPr>
                <w:b w:val="0"/>
                <w:color w:val="FF0000"/>
                <w:sz w:val="24"/>
              </w:rPr>
              <w:t>www</w:t>
            </w:r>
            <w:r>
              <w:rPr>
                <w:b w:val="0"/>
                <w:sz w:val="24"/>
              </w:rPr>
              <w:t>.regmed.ru/</w:t>
            </w:r>
            <w:r>
              <w:rPr>
                <w:b w:val="0"/>
                <w:sz w:val="24"/>
              </w:rPr>
              <w:t>.</w:t>
            </w:r>
          </w:p>
        </w:tc>
      </w:tr>
      <w:tr>
        <w:tc>
          <w:tcPr>
            <w:tcW w:type="dxa" w:w="14560"/>
            <w:gridSpan w:val="2"/>
          </w:tcPr>
          <w:p>
            <w:pPr>
              <w:jc w:val="center"/>
            </w:pPr>
            <w:r/>
            <w:r>
              <w:rPr>
                <w:b/>
                <w:sz w:val="24"/>
              </w:rPr>
              <w:t>&lt;10. ДОЗИМЕТРИЯ&gt; (если применимо)</w:t>
            </w:r>
          </w:p>
        </w:tc>
      </w:tr>
      <w:tr>
        <w:tc>
          <w:tcPr>
            <w:tcW w:type="dxa" w:w="7280"/>
            <w:shd w:val="clear" w:color="auto" w:fill="FF9999"/>
          </w:tcPr>
          <w:p>
            <w:pPr>
              <w:jc w:val="center"/>
            </w:pPr>
            <w:r/>
          </w:p>
        </w:tc>
        <w:tc>
          <w:tcPr>
            <w:tcW w:type="dxa" w:w="7280"/>
            <w:shd w:val="clear" w:color="auto" w:fill="FF9999"/>
          </w:tcPr>
          <w:p>
            <w:pPr>
              <w:jc w:val="center"/>
            </w:pPr>
            <w:r/>
          </w:p>
        </w:tc>
      </w:tr>
      <w:tr>
        <w:tc>
          <w:tcPr>
            <w:tcW w:type="dxa" w:w="7280"/>
          </w:tcPr>
          <w:p>
            <w:r/>
          </w:p>
        </w:tc>
        <w:tc>
          <w:tcPr>
            <w:tcW w:type="dxa" w:w="7280"/>
          </w:tcPr>
          <w:p>
            <w:r/>
          </w:p>
        </w:tc>
      </w:tr>
      <w:tr>
        <w:tc>
          <w:tcPr>
            <w:tcW w:type="dxa" w:w="14560"/>
            <w:gridSpan w:val="2"/>
          </w:tcPr>
          <w:p>
            <w:pPr>
              <w:jc w:val="center"/>
            </w:pPr>
            <w:r/>
            <w:r>
              <w:rPr>
                <w:b/>
                <w:sz w:val="24"/>
              </w:rPr>
              <w:t>&lt;11. ИНСТРУКЦИИ ПО ПРИГОТОВЛЕНИЮ РАДИОФАРМАЦЕВТИЧЕСКИХ ПРЕПАРАТОВ&gt; (заполняется при необходимости)</w:t>
            </w:r>
          </w:p>
        </w:tc>
      </w:tr>
      <w:tr>
        <w:tc>
          <w:tcPr>
            <w:tcW w:type="dxa" w:w="7280"/>
            <w:shd w:val="clear" w:color="auto" w:fill="FF9999"/>
          </w:tcPr>
          <w:p>
            <w:pPr>
              <w:jc w:val="center"/>
            </w:pPr>
            <w:r/>
          </w:p>
        </w:tc>
        <w:tc>
          <w:tcPr>
            <w:tcW w:type="dxa" w:w="7280"/>
            <w:shd w:val="clear" w:color="auto" w:fill="FF9999"/>
          </w:tcPr>
          <w:p>
            <w:pPr>
              <w:jc w:val="center"/>
            </w:pPr>
            <w:r/>
          </w:p>
        </w:tc>
      </w:tr>
      <w:tr>
        <w:tc>
          <w:tcPr>
            <w:tcW w:type="dxa" w:w="7280"/>
          </w:tcPr>
          <w:p>
            <w:r/>
          </w:p>
        </w:tc>
        <w:tc>
          <w:tcPr>
            <w:tcW w:type="dxa" w:w="7280"/>
          </w:tcPr>
          <w:p>
            <w:r/>
          </w:p>
        </w:tc>
      </w:tr>
      <w:tr>
        <w:tc>
          <w:tcPr>
            <w:tcW w:type="dxa" w:w="14560"/>
            <w:gridSpan w:val="2"/>
          </w:tcPr>
          <w:p>
            <w:pPr>
              <w:jc w:val="center"/>
            </w:pPr>
            <w:r/>
            <w:r>
              <w:rPr>
                <w:b/>
                <w:sz w:val="24"/>
              </w:rPr>
              <w:t>&lt;12. УСТАНОВЛЕНИЕ ПОСТРЕГИСТРАЦИОННЫХ МЕР&gt; (заполняется при необходимости)</w:t>
            </w:r>
          </w:p>
        </w:tc>
      </w:tr>
      <w:tr>
        <w:tc>
          <w:tcPr>
            <w:tcW w:type="dxa" w:w="7280"/>
            <w:shd w:val="clear" w:color="auto" w:fill="FF9999"/>
          </w:tcPr>
          <w:p>
            <w:pPr>
              <w:jc w:val="center"/>
            </w:pPr>
            <w:r/>
          </w:p>
        </w:tc>
        <w:tc>
          <w:tcPr>
            <w:tcW w:type="dxa" w:w="7280"/>
            <w:shd w:val="clear" w:color="auto" w:fill="FF9999"/>
          </w:tcPr>
          <w:p>
            <w:pPr>
              <w:jc w:val="center"/>
            </w:pPr>
            <w:r/>
          </w:p>
        </w:tc>
      </w:tr>
      <w:tr>
        <w:tc>
          <w:tcPr>
            <w:tcW w:type="dxa" w:w="7280"/>
          </w:tcPr>
          <w:p>
            <w:r/>
          </w:p>
        </w:tc>
        <w:tc>
          <w:tcPr>
            <w:tcW w:type="dxa" w:w="7280"/>
          </w:tcPr>
          <w:p>
            <w:r/>
          </w:p>
        </w:tc>
      </w:tr>
    </w:tbl>
    <w:p w14:paraId="33A5440C" w14:textId="77777777" w:rsidR="00FB11A4" w:rsidRDefault="00FB11A4" w:rsidP="000774F1">
      <w:pPr>
        <w:autoSpaceDE w:val="0"/>
        <w:autoSpaceDN w:val="0"/>
        <w:adjustRightInd w:val="0"/>
        <w:ind w:firstLine="567"/>
        <w:jc w:val="both"/>
        <w:rPr>
          <w:iCs/>
          <w:sz w:val="28"/>
          <w:szCs w:val="28"/>
        </w:rPr>
      </w:pPr>
    </w:p>
    <w:p w14:paraId="7CF395D3" w14:textId="77777777" w:rsidR="000774F1" w:rsidRPr="000774F1" w:rsidRDefault="000774F1" w:rsidP="000774F1">
      <w:pPr>
        <w:tabs>
          <w:tab w:val="left" w:pos="1047"/>
        </w:tabs>
        <w:jc w:val="center"/>
        <w:rPr>
          <w:b/>
          <w:bCs/>
          <w:sz w:val="20"/>
        </w:rPr>
      </w:pPr>
    </w:p>
    <w:sectPr w:rsidR="000774F1" w:rsidRPr="000774F1" w:rsidSect="00345710">
      <w:pgSz w:w="16838" w:h="11906" w:orient="landscape"/>
      <w:pgMar w:top="1134" w:right="1134" w:bottom="851" w:left="1134" w:header="709" w:footer="11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366E80" w14:textId="77777777" w:rsidR="00BA5DE9" w:rsidRDefault="00BA5DE9" w:rsidP="00C74AE5">
      <w:r>
        <w:separator/>
      </w:r>
    </w:p>
  </w:endnote>
  <w:endnote w:type="continuationSeparator" w:id="0">
    <w:p w14:paraId="192D6BD4" w14:textId="77777777" w:rsidR="00BA5DE9" w:rsidRDefault="00BA5DE9" w:rsidP="00C74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4C1377" w14:textId="77777777" w:rsidR="00BA5DE9" w:rsidRDefault="00BA5DE9" w:rsidP="00C74AE5">
      <w:r>
        <w:separator/>
      </w:r>
    </w:p>
  </w:footnote>
  <w:footnote w:type="continuationSeparator" w:id="0">
    <w:p w14:paraId="54D8FE42" w14:textId="77777777" w:rsidR="00BA5DE9" w:rsidRDefault="00BA5DE9" w:rsidP="00C74A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8E6FA" w14:textId="77777777" w:rsidR="00BF4506" w:rsidRPr="00C46EDD" w:rsidRDefault="001B0ECA">
    <w:pPr>
      <w:pStyle w:val="ae"/>
      <w:jc w:val="center"/>
      <w:rPr>
        <w:sz w:val="28"/>
        <w:szCs w:val="28"/>
      </w:rPr>
    </w:pPr>
    <w:r w:rsidRPr="00C46EDD">
      <w:rPr>
        <w:sz w:val="28"/>
        <w:szCs w:val="28"/>
      </w:rPr>
      <w:fldChar w:fldCharType="begin"/>
    </w:r>
    <w:r w:rsidRPr="00C46EDD">
      <w:rPr>
        <w:sz w:val="28"/>
        <w:szCs w:val="28"/>
      </w:rPr>
      <w:instrText xml:space="preserve"> PAGE   \* MERGEFORMAT </w:instrText>
    </w:r>
    <w:r w:rsidRPr="00C46EDD">
      <w:rPr>
        <w:sz w:val="28"/>
        <w:szCs w:val="28"/>
      </w:rPr>
      <w:fldChar w:fldCharType="separate"/>
    </w:r>
    <w:r>
      <w:rPr>
        <w:noProof/>
        <w:sz w:val="28"/>
        <w:szCs w:val="28"/>
      </w:rPr>
      <w:t>2</w:t>
    </w:r>
    <w:r w:rsidRPr="00C46EDD">
      <w:rPr>
        <w:sz w:val="28"/>
        <w:szCs w:val="28"/>
      </w:rPr>
      <w:fldChar w:fldCharType="end"/>
    </w:r>
  </w:p>
  <w:p w14:paraId="54B20206" w14:textId="77777777" w:rsidR="00BF4506" w:rsidRDefault="00BF4506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94218"/>
    <w:multiLevelType w:val="multilevel"/>
    <w:tmpl w:val="B80074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128368A9"/>
    <w:multiLevelType w:val="multilevel"/>
    <w:tmpl w:val="B80074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85B0734"/>
    <w:multiLevelType w:val="hybridMultilevel"/>
    <w:tmpl w:val="0318E9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923F18"/>
    <w:multiLevelType w:val="hybridMultilevel"/>
    <w:tmpl w:val="BB543FF8"/>
    <w:lvl w:ilvl="0" w:tplc="BE3C9586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" w15:restartNumberingAfterBreak="0">
    <w:nsid w:val="22AD0D45"/>
    <w:multiLevelType w:val="hybridMultilevel"/>
    <w:tmpl w:val="E5D47B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B85E7C"/>
    <w:multiLevelType w:val="multilevel"/>
    <w:tmpl w:val="F6C0C77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B1B66F8"/>
    <w:multiLevelType w:val="hybridMultilevel"/>
    <w:tmpl w:val="DEC002AA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540030"/>
    <w:multiLevelType w:val="hybridMultilevel"/>
    <w:tmpl w:val="468A91E4"/>
    <w:lvl w:ilvl="0" w:tplc="D81C24FC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8" w15:restartNumberingAfterBreak="0">
    <w:nsid w:val="67F624F6"/>
    <w:multiLevelType w:val="hybridMultilevel"/>
    <w:tmpl w:val="DFAC8AFE"/>
    <w:lvl w:ilvl="0" w:tplc="041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DA5D33"/>
    <w:multiLevelType w:val="hybridMultilevel"/>
    <w:tmpl w:val="B0E252BA"/>
    <w:lvl w:ilvl="0" w:tplc="5506545C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0" w15:restartNumberingAfterBreak="0">
    <w:nsid w:val="6F211C8F"/>
    <w:multiLevelType w:val="hybridMultilevel"/>
    <w:tmpl w:val="CAD4C2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D67FD0"/>
    <w:multiLevelType w:val="multilevel"/>
    <w:tmpl w:val="47669D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7FA95858"/>
    <w:multiLevelType w:val="hybridMultilevel"/>
    <w:tmpl w:val="1F9C1E60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5"/>
  </w:num>
  <w:num w:numId="5">
    <w:abstractNumId w:val="12"/>
  </w:num>
  <w:num w:numId="6">
    <w:abstractNumId w:val="6"/>
  </w:num>
  <w:num w:numId="7">
    <w:abstractNumId w:val="8"/>
  </w:num>
  <w:num w:numId="8">
    <w:abstractNumId w:val="11"/>
  </w:num>
  <w:num w:numId="9">
    <w:abstractNumId w:val="1"/>
  </w:num>
  <w:num w:numId="10">
    <w:abstractNumId w:val="2"/>
  </w:num>
  <w:num w:numId="11">
    <w:abstractNumId w:val="4"/>
  </w:num>
  <w:num w:numId="12">
    <w:abstractNumId w:val="7"/>
  </w:num>
  <w:num w:numId="13">
    <w:abstractNumId w:val="3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B12"/>
    <w:rsid w:val="000529AD"/>
    <w:rsid w:val="0006497D"/>
    <w:rsid w:val="0007116C"/>
    <w:rsid w:val="000774F1"/>
    <w:rsid w:val="000B1B12"/>
    <w:rsid w:val="000C78F6"/>
    <w:rsid w:val="00173FF2"/>
    <w:rsid w:val="001B0ECA"/>
    <w:rsid w:val="00205CF6"/>
    <w:rsid w:val="00226950"/>
    <w:rsid w:val="00246528"/>
    <w:rsid w:val="003319CA"/>
    <w:rsid w:val="00345710"/>
    <w:rsid w:val="00371EFA"/>
    <w:rsid w:val="003720D7"/>
    <w:rsid w:val="00376F9C"/>
    <w:rsid w:val="003807DE"/>
    <w:rsid w:val="003D6C68"/>
    <w:rsid w:val="004B7813"/>
    <w:rsid w:val="005361E5"/>
    <w:rsid w:val="00562D5A"/>
    <w:rsid w:val="00577D01"/>
    <w:rsid w:val="005D25A2"/>
    <w:rsid w:val="00606AEF"/>
    <w:rsid w:val="00622B6B"/>
    <w:rsid w:val="00674B2F"/>
    <w:rsid w:val="006C0B77"/>
    <w:rsid w:val="00714AA5"/>
    <w:rsid w:val="00724547"/>
    <w:rsid w:val="007835D3"/>
    <w:rsid w:val="007B1FD4"/>
    <w:rsid w:val="008232B2"/>
    <w:rsid w:val="008242FF"/>
    <w:rsid w:val="008648E4"/>
    <w:rsid w:val="00870751"/>
    <w:rsid w:val="00922C48"/>
    <w:rsid w:val="00932124"/>
    <w:rsid w:val="009D7283"/>
    <w:rsid w:val="00A14556"/>
    <w:rsid w:val="00A16227"/>
    <w:rsid w:val="00AC3A98"/>
    <w:rsid w:val="00AD16C2"/>
    <w:rsid w:val="00AE40AD"/>
    <w:rsid w:val="00B22FDF"/>
    <w:rsid w:val="00B32A72"/>
    <w:rsid w:val="00B915B7"/>
    <w:rsid w:val="00B92EF4"/>
    <w:rsid w:val="00BA5DE9"/>
    <w:rsid w:val="00BD06FB"/>
    <w:rsid w:val="00BF4506"/>
    <w:rsid w:val="00C13B68"/>
    <w:rsid w:val="00C17D40"/>
    <w:rsid w:val="00C74AE5"/>
    <w:rsid w:val="00C86F15"/>
    <w:rsid w:val="00C96E55"/>
    <w:rsid w:val="00D01840"/>
    <w:rsid w:val="00D4319B"/>
    <w:rsid w:val="00D86F35"/>
    <w:rsid w:val="00DC262A"/>
    <w:rsid w:val="00E52579"/>
    <w:rsid w:val="00E52DCB"/>
    <w:rsid w:val="00E64A95"/>
    <w:rsid w:val="00EA59DF"/>
    <w:rsid w:val="00EB200F"/>
    <w:rsid w:val="00EE17ED"/>
    <w:rsid w:val="00EE4070"/>
    <w:rsid w:val="00F12C76"/>
    <w:rsid w:val="00F84A5E"/>
    <w:rsid w:val="00F85B35"/>
    <w:rsid w:val="00FB11A4"/>
    <w:rsid w:val="00FD2C3D"/>
    <w:rsid w:val="00FF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49E4E"/>
  <w15:chartTrackingRefBased/>
  <w15:docId w15:val="{A4ACFEB1-A37F-4B5D-BCA9-7D6E8A473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3B68"/>
    <w:pPr>
      <w:spacing w:after="0" w:line="240" w:lineRule="auto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B1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1B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1B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1B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1B1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1B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1B1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1B1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1B1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1B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1B1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1B1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B1B1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B1B1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B1B1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B1B1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B1B1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B1B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1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1B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1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1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1B1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B1B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1B1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1B1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1B1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B1B12"/>
    <w:rPr>
      <w:b/>
      <w:bCs/>
      <w:smallCaps/>
      <w:color w:val="2E74B5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C74AE5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C74AE5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ae">
    <w:name w:val="header"/>
    <w:basedOn w:val="a"/>
    <w:link w:val="af"/>
    <w:uiPriority w:val="99"/>
    <w:unhideWhenUsed/>
    <w:rsid w:val="00C74AE5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C74AE5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af0">
    <w:name w:val="Normal (Web)"/>
    <w:basedOn w:val="a"/>
    <w:uiPriority w:val="99"/>
    <w:semiHidden/>
    <w:unhideWhenUsed/>
    <w:rsid w:val="00C74AE5"/>
    <w:pPr>
      <w:spacing w:before="100" w:beforeAutospacing="1" w:after="100" w:afterAutospacing="1"/>
    </w:pPr>
    <w:rPr>
      <w:sz w:val="24"/>
      <w:szCs w:val="24"/>
    </w:rPr>
  </w:style>
  <w:style w:type="paragraph" w:customStyle="1" w:styleId="Default">
    <w:name w:val="Default"/>
    <w:rsid w:val="00C74AE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table" w:styleId="af1">
    <w:name w:val="Table Grid"/>
    <w:basedOn w:val="a1"/>
    <w:uiPriority w:val="39"/>
    <w:rsid w:val="00FB11A4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FB11A4"/>
    <w:rPr>
      <w:color w:val="0563C1" w:themeColor="hyperlink"/>
      <w:u w:val="single"/>
    </w:rPr>
  </w:style>
  <w:style w:type="character" w:styleId="af3">
    <w:name w:val="FollowedHyperlink"/>
    <w:basedOn w:val="a0"/>
    <w:uiPriority w:val="99"/>
    <w:semiHidden/>
    <w:unhideWhenUsed/>
    <w:rsid w:val="00FB11A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2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0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2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GKO</dc:creator>
  <cp:keywords/>
  <dc:description/>
  <cp:lastModifiedBy>Professional</cp:lastModifiedBy>
  <cp:revision>37</cp:revision>
  <dcterms:created xsi:type="dcterms:W3CDTF">2025-04-18T13:16:00Z</dcterms:created>
  <dcterms:modified xsi:type="dcterms:W3CDTF">2025-10-06T19:36:00Z</dcterms:modified>
</cp:coreProperties>
</file>