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tblLook w:val="01E0" w:firstRow="1" w:lastRow="1" w:firstColumn="1" w:lastColumn="1" w:noHBand="0" w:noVBand="0"/>
      </w:tblPr>
      <w:tblGrid>
        <w:gridCol w:w="4928"/>
        <w:gridCol w:w="964"/>
        <w:gridCol w:w="4564"/>
      </w:tblGrid>
      <w:tr w:rsidR="00C74AE5" w:rsidRPr="005C3BF9" w14:paraId="487E81A4" w14:textId="77777777" w:rsidTr="005D00F9">
        <w:trPr>
          <w:trHeight w:val="1985"/>
        </w:trPr>
        <w:tc>
          <w:tcPr>
            <w:tcW w:w="4928" w:type="dxa"/>
          </w:tcPr>
          <w:p w14:paraId="4A87BC0B" w14:textId="77777777" w:rsidR="00C74AE5" w:rsidRPr="00B03496" w:rsidRDefault="00C74AE5" w:rsidP="005D00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4" w:type="dxa"/>
          </w:tcPr>
          <w:p w14:paraId="5445D56D" w14:textId="77777777" w:rsidR="00C74AE5" w:rsidRPr="009731EF" w:rsidRDefault="00C74AE5" w:rsidP="005D00F9"/>
        </w:tc>
        <w:tc>
          <w:tcPr>
            <w:tcW w:w="4564" w:type="dxa"/>
          </w:tcPr>
          <w:p w14:paraId="161991DD" w14:textId="77777777" w:rsidR="00C74AE5" w:rsidRPr="00F53ADD" w:rsidRDefault="00C74AE5" w:rsidP="005D00F9">
            <w:pPr>
              <w:rPr>
                <w:sz w:val="28"/>
                <w:szCs w:val="28"/>
              </w:rPr>
            </w:pPr>
            <w:r w:rsidRPr="00F53ADD">
              <w:rPr>
                <w:sz w:val="28"/>
                <w:szCs w:val="28"/>
              </w:rPr>
              <w:t xml:space="preserve">Заместителю генерального </w:t>
            </w:r>
            <w:proofErr w:type="gramStart"/>
            <w:r w:rsidRPr="00F53ADD">
              <w:rPr>
                <w:sz w:val="28"/>
                <w:szCs w:val="28"/>
              </w:rPr>
              <w:t xml:space="preserve">директора  </w:t>
            </w:r>
            <w:r>
              <w:rPr>
                <w:sz w:val="28"/>
                <w:szCs w:val="28"/>
              </w:rPr>
              <w:t>ФГБУ</w:t>
            </w:r>
            <w:proofErr w:type="gramEnd"/>
            <w:r>
              <w:rPr>
                <w:sz w:val="28"/>
                <w:szCs w:val="28"/>
              </w:rPr>
              <w:t xml:space="preserve"> «НЦЭСМП» Минздрава России</w:t>
            </w:r>
          </w:p>
          <w:p w14:paraId="6DFD87E6" w14:textId="77777777" w:rsidR="00C74AE5" w:rsidRDefault="00C74AE5" w:rsidP="005D00F9">
            <w:pPr>
              <w:rPr>
                <w:sz w:val="28"/>
                <w:szCs w:val="28"/>
              </w:rPr>
            </w:pPr>
          </w:p>
          <w:p w14:paraId="325380BC" w14:textId="7E8610C3" w:rsidR="00C74AE5" w:rsidRPr="00246528" w:rsidRDefault="00246528" w:rsidP="005D00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</w:t>
            </w:r>
          </w:p>
        </w:tc>
      </w:tr>
      <w:tr w:rsidR="00C74AE5" w:rsidRPr="005C3BF9" w14:paraId="7BD22904" w14:textId="77777777" w:rsidTr="005D00F9">
        <w:trPr>
          <w:trHeight w:val="853"/>
        </w:trPr>
        <w:tc>
          <w:tcPr>
            <w:tcW w:w="4928" w:type="dxa"/>
          </w:tcPr>
          <w:p w14:paraId="38404626" w14:textId="77777777" w:rsidR="00C74AE5" w:rsidRPr="007716D1" w:rsidRDefault="00C74AE5" w:rsidP="005D00F9">
            <w:pPr>
              <w:outlineLvl w:val="0"/>
              <w:rPr>
                <w:b/>
                <w:sz w:val="22"/>
                <w:szCs w:val="22"/>
              </w:rPr>
            </w:pPr>
          </w:p>
          <w:p w14:paraId="14CFE3EB" w14:textId="67D88C00" w:rsidR="00C74AE5" w:rsidRPr="00F53ADD" w:rsidRDefault="00C74AE5" w:rsidP="005D00F9">
            <w:pPr>
              <w:outlineLvl w:val="0"/>
              <w:rPr>
                <w:b/>
                <w:sz w:val="22"/>
                <w:szCs w:val="22"/>
              </w:rPr>
            </w:pPr>
            <w:r w:rsidRPr="00E2620B">
              <w:rPr>
                <w:b/>
                <w:sz w:val="22"/>
                <w:szCs w:val="22"/>
              </w:rPr>
              <w:t xml:space="preserve">Задание </w:t>
            </w:r>
            <w:r w:rsidRPr="00F53ADD">
              <w:rPr>
                <w:b/>
                <w:sz w:val="22"/>
                <w:szCs w:val="22"/>
              </w:rPr>
              <w:t>от</w:t>
            </w:r>
            <w:r>
              <w:rPr>
                <w:b/>
                <w:sz w:val="22"/>
                <w:szCs w:val="22"/>
                <w:lang w:val="en-US"/>
              </w:rPr>
              <w:t> </w:t>
            </w:r>
            <w:r>
              <w:rPr>
                <w:b/>
                <w:sz w:val="22"/>
                <w:szCs w:val="22"/>
              </w:rPr>
              <w:t>____________</w:t>
            </w:r>
            <w:r w:rsidRPr="00F53ADD">
              <w:rPr>
                <w:b/>
                <w:sz w:val="22"/>
                <w:szCs w:val="22"/>
              </w:rPr>
              <w:t>. № 25-5-4280804/</w:t>
            </w:r>
            <w:proofErr w:type="spellStart"/>
            <w:r w:rsidRPr="00F53ADD">
              <w:rPr>
                <w:b/>
                <w:sz w:val="22"/>
                <w:szCs w:val="22"/>
              </w:rPr>
              <w:t>ПРеф</w:t>
            </w:r>
            <w:proofErr w:type="spellEnd"/>
            <w:r w:rsidRPr="00F53ADD">
              <w:rPr>
                <w:b/>
                <w:sz w:val="22"/>
                <w:szCs w:val="22"/>
              </w:rPr>
              <w:t>/ЗД/Э</w:t>
            </w:r>
          </w:p>
        </w:tc>
        <w:tc>
          <w:tcPr>
            <w:tcW w:w="964" w:type="dxa"/>
          </w:tcPr>
          <w:p w14:paraId="0667661F" w14:textId="77777777" w:rsidR="00C74AE5" w:rsidRPr="005C3BF9" w:rsidRDefault="00C74AE5" w:rsidP="005D00F9"/>
        </w:tc>
        <w:tc>
          <w:tcPr>
            <w:tcW w:w="4564" w:type="dxa"/>
          </w:tcPr>
          <w:p w14:paraId="47C56C22" w14:textId="77777777" w:rsidR="00C74AE5" w:rsidRPr="005C3BF9" w:rsidRDefault="00C74AE5" w:rsidP="005D00F9"/>
        </w:tc>
      </w:tr>
    </w:tbl>
    <w:p w14:paraId="487C8865" w14:textId="77777777" w:rsidR="00C74AE5" w:rsidRDefault="00C74AE5" w:rsidP="00C74AE5">
      <w:pPr>
        <w:ind w:left="142" w:firstLine="567"/>
        <w:jc w:val="both"/>
        <w:rPr>
          <w:sz w:val="28"/>
          <w:szCs w:val="28"/>
        </w:rPr>
      </w:pPr>
    </w:p>
    <w:p w14:paraId="6C8973F7" w14:textId="77777777" w:rsidR="00C74AE5" w:rsidRDefault="00C74AE5" w:rsidP="00C74AE5">
      <w:pPr>
        <w:ind w:left="142" w:firstLine="567"/>
        <w:jc w:val="center"/>
        <w:rPr>
          <w:sz w:val="28"/>
          <w:szCs w:val="28"/>
        </w:rPr>
      </w:pPr>
    </w:p>
    <w:p w14:paraId="7032AC6F" w14:textId="77961395" w:rsidR="00C74AE5" w:rsidRPr="00C852A8" w:rsidRDefault="00C74AE5" w:rsidP="00C74AE5">
      <w:pPr>
        <w:ind w:lef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Уважаемая </w:t>
      </w:r>
      <w:r w:rsidR="00205CF6" w:rsidRPr="00F84A5E">
        <w:rPr>
          <w:sz w:val="28"/>
          <w:szCs w:val="28"/>
        </w:rPr>
        <w:t>_____________________</w:t>
      </w:r>
      <w:r>
        <w:rPr>
          <w:sz w:val="28"/>
          <w:szCs w:val="28"/>
        </w:rPr>
        <w:t>!</w:t>
      </w:r>
    </w:p>
    <w:p w14:paraId="630E1921" w14:textId="77777777" w:rsidR="00C74AE5" w:rsidRPr="00C852A8" w:rsidRDefault="00C74AE5" w:rsidP="00C74AE5">
      <w:pPr>
        <w:ind w:left="142" w:firstLine="567"/>
        <w:jc w:val="both"/>
        <w:rPr>
          <w:sz w:val="28"/>
          <w:szCs w:val="28"/>
        </w:rPr>
      </w:pPr>
    </w:p>
    <w:p w14:paraId="2EE6FC1A" w14:textId="4E7E488B" w:rsidR="00C74AE5" w:rsidRPr="00684BE2" w:rsidRDefault="00C74AE5" w:rsidP="00C74AE5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684BE2">
        <w:rPr>
          <w:sz w:val="28"/>
          <w:szCs w:val="28"/>
        </w:rPr>
      </w:r>
      <w:r w:rsidR="00E52579" w:rsidRPr="00E52579">
        <w:rPr>
          <w:color w:val="FF0000"/>
          <w:sz w:val="28"/>
          <w:szCs w:val="28"/>
        </w:rPr>
      </w:r>
      <w:r w:rsidR="00BD06FB">
        <w:rPr>
          <w:color w:val="FF0000"/>
          <w:sz w:val="28"/>
          <w:szCs w:val="28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E52579" w:rsidRPr="00E52579">
        <w:rPr>
          <w:rFonts w:eastAsiaTheme="minorEastAsia"/>
          <w:color w:val="FF0000"/>
          <w:sz w:val="28"/>
          <w:szCs w:val="28"/>
          <w:lang w:eastAsia="zh-CN"/>
        </w:rPr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</w:r>
      <w:r w:rsidR="00BD06FB">
        <w:rPr>
          <w:rFonts w:eastAsiaTheme="minorEastAsia"/>
          <w:color w:val="FF0000"/>
          <w:sz w:val="28"/>
          <w:szCs w:val="28"/>
          <w:lang w:eastAsia="zh-CN"/>
        </w:rPr>
      </w:r>
      <w:r w:rsidR="00E52579" w:rsidRPr="00E52579">
        <w:rPr>
          <w:color w:val="FF0000"/>
          <w:sz w:val="28"/>
          <w:szCs w:val="28"/>
        </w:rPr>
      </w:r>
      <w:r w:rsidRPr="0045721A">
        <w:rPr>
          <w:sz w:val="28"/>
          <w:szCs w:val="28"/>
        </w:rPr>
      </w:r>
      <w:r w:rsidRPr="00684BE2">
        <w:rPr>
          <w:sz w:val="28"/>
          <w:szCs w:val="28"/>
        </w:rPr>
      </w:r>
      <w:r w:rsidR="00E52579"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 w:rsidR="00F85B35">
        <w:rPr>
          <w:sz w:val="28"/>
          <w:szCs w:val="28"/>
        </w:rPr>
      </w:r>
      <w:r>
        <w:rPr>
          <w:sz w:val="28"/>
          <w:szCs w:val="28"/>
        </w:rPr>
      </w:r>
      <w:r w:rsidR="00F85B35">
        <w:rPr>
          <w:sz w:val="28"/>
          <w:szCs w:val="28"/>
        </w:rPr>
      </w:r>
      <w:r>
        <w:rPr>
          <w:sz w:val="28"/>
          <w:szCs w:val="28"/>
        </w:rPr>
      </w:r>
      <w:r w:rsidRPr="00A71848"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>
        <w:rPr>
          <w:rFonts w:eastAsia="Calibri"/>
          <w:sz w:val="28"/>
          <w:szCs w:val="28"/>
        </w:rPr>
      </w:r>
      <w:r w:rsidRPr="009B7DD8">
        <w:rPr>
          <w:rFonts w:eastAsia="Calibri"/>
          <w:sz w:val="28"/>
          <w:szCs w:val="28"/>
        </w:rPr>
      </w:r>
      <w:r>
        <w:rPr>
          <w:rFonts w:eastAsia="Calibri"/>
          <w:sz w:val="28"/>
          <w:szCs w:val="28"/>
        </w:rPr>
      </w:r>
      <w:r>
        <w:t>При проведении экспертизы лекарственного средства Примовист ® , 0,25 ммоль/мл, раствор для внутривенного введения, мною, экспертом, входящим в состав комиссии экспертов по заданию от _____. № _____________, выданному Минздравом России экспертному учреждению в соответствии с положениями Решения Совета ЕЭК от 03.11.2016 N 78 «О Правилах регистрации и экспертизы лекарственных средств для медицинского применения» (далее – Правила) выявлена необходимость направления заявителю запроса о представлении дополнительной информации, необходимых уточнений, касающихся представленных документов и данных регистрационного досье лекарственного препарата.</w:t>
      </w:r>
    </w:p>
    <w:p w14:paraId="3FCE1F39" w14:textId="132DA94F" w:rsidR="00F84A5E" w:rsidRDefault="00C74AE5" w:rsidP="00F84A5E">
      <w:pPr>
        <w:ind w:right="-143" w:firstLine="53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 целях подготовки всесторонне обоснованного и объективного экспертного отчета</w:t>
      </w:r>
      <w:r w:rsidRPr="00C852A8"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необходимо предоставление следующей информации:</w:t>
      </w:r>
    </w:p>
    <w:p w14:paraId="06EEAA4B" w14:textId="77777777" w:rsidR="00FD2C3D" w:rsidRPr="00FD2C3D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Необходимо в разделе 1.3.1. регистрационного досье в форме общего технического документа (в электронном досье с учетом соответствующего кода видов документов) представить проект общей характеристики лекарственного препарата (ОХЛП), который требуется привести в соответствие с учетом Требований, утвержденных Решением Совета ЕЭК от 03.11.2016 № 88:</w:t>
      </w:r>
    </w:p>
    <w:p w14:paraId="0D07B4AC" w14:textId="4A3C9D59" w:rsidR="00FD2C3D" w:rsidRPr="000C78F6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При подготовке ответа на запрос рекомендуется учитывать «Рекомендации по составлению проекта общей характеристики лекарственного препарата (ОХЛП)», размещенные на сайте ФГБУ «НЦЭСМП» Минздрава России в разделе «Экспертиза», в подразделе «Заявителям», в рубрике «Библиотека документов» (далее – Рекомендации к ОХЛП)</w:t>
      </w:r>
      <w:r w:rsidR="000C78F6" w:rsidRPr="000C78F6">
        <w:rPr>
          <w:sz w:val="28"/>
          <w:szCs w:val="28"/>
        </w:rPr>
        <w:t>.</w:t>
      </w:r>
    </w:p>
    <w:p w14:paraId="23CCA299" w14:textId="7EAC27F7" w:rsidR="00F84A5E" w:rsidRPr="00F84A5E" w:rsidRDefault="00F84A5E" w:rsidP="00F84A5E">
      <w:pPr>
        <w:ind w:right="-143" w:firstLine="539"/>
        <w:jc w:val="both"/>
        <w:rPr>
          <w:iCs/>
          <w:sz w:val="28"/>
          <w:szCs w:val="28"/>
        </w:rPr>
      </w:pPr>
      <w:r/>
    </w:p>
    <w:p w14:paraId="799EE8C6" w14:textId="77777777" w:rsidR="00C74AE5" w:rsidRPr="00C852A8" w:rsidRDefault="00C74AE5" w:rsidP="00C74AE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page" w:tblpX="1198" w:tblpY="217"/>
        <w:tblW w:w="10065" w:type="dxa"/>
        <w:tblLook w:val="01E0" w:firstRow="1" w:lastRow="1" w:firstColumn="1" w:lastColumn="1" w:noHBand="0" w:noVBand="0"/>
      </w:tblPr>
      <w:tblGrid>
        <w:gridCol w:w="5920"/>
        <w:gridCol w:w="4145"/>
      </w:tblGrid>
      <w:tr w:rsidR="00C74AE5" w:rsidRPr="004575A1" w14:paraId="6C2863F2" w14:textId="77777777" w:rsidTr="005D00F9">
        <w:tc>
          <w:tcPr>
            <w:tcW w:w="5920" w:type="dxa"/>
          </w:tcPr>
          <w:p w14:paraId="6055001E" w14:textId="77777777" w:rsidR="00C74AE5" w:rsidRPr="004575A1" w:rsidRDefault="00C74AE5" w:rsidP="00D018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37F27968" w14:textId="77777777" w:rsidR="00C74AE5" w:rsidRPr="004575A1" w:rsidRDefault="00C74AE5" w:rsidP="005D00F9">
            <w:pPr>
              <w:ind w:left="540" w:hanging="180"/>
              <w:jc w:val="right"/>
              <w:rPr>
                <w:sz w:val="28"/>
                <w:szCs w:val="28"/>
              </w:rPr>
            </w:pPr>
          </w:p>
        </w:tc>
      </w:tr>
      <w:tr w:rsidR="00C74AE5" w:rsidRPr="00AD3A1A" w14:paraId="46F478C0" w14:textId="77777777" w:rsidTr="005D00F9">
        <w:tc>
          <w:tcPr>
            <w:tcW w:w="5920" w:type="dxa"/>
          </w:tcPr>
          <w:p w14:paraId="648F1A98" w14:textId="77777777" w:rsidR="00C74AE5" w:rsidRPr="00237EC2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  <w:vAlign w:val="bottom"/>
          </w:tcPr>
          <w:p w14:paraId="60FC37C5" w14:textId="77777777" w:rsidR="00C74AE5" w:rsidRPr="00237EC2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B0721C1" w14:textId="77777777" w:rsidTr="005D00F9">
        <w:tc>
          <w:tcPr>
            <w:tcW w:w="5920" w:type="dxa"/>
          </w:tcPr>
          <w:p w14:paraId="2BC94514" w14:textId="77777777" w:rsidR="00C74AE5" w:rsidRPr="002A6E2B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636BD63F" w14:textId="77777777" w:rsidR="00C74AE5" w:rsidRPr="002A6E2B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3005AF5" w14:textId="77777777" w:rsidTr="005D00F9">
        <w:tc>
          <w:tcPr>
            <w:tcW w:w="5920" w:type="dxa"/>
          </w:tcPr>
          <w:p w14:paraId="1BA6AE0D" w14:textId="6EC8306F" w:rsidR="00C74AE5" w:rsidRPr="00C74AE5" w:rsidRDefault="00C74AE5" w:rsidP="00D018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Эксперт</w:t>
            </w:r>
            <w:r>
              <w:rPr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4145" w:type="dxa"/>
            <w:vAlign w:val="bottom"/>
          </w:tcPr>
          <w:p w14:paraId="646FE064" w14:textId="7379FD6E" w:rsidR="00C74AE5" w:rsidRPr="00C74AE5" w:rsidRDefault="00C74AE5" w:rsidP="005D00F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</w:tbl>
    <w:p w14:paraId="2FAE41CC" w14:textId="78859152" w:rsidR="00C74AE5" w:rsidRDefault="00E52DCB" w:rsidP="00C74AE5">
      <w:pPr>
        <w:rPr>
          <w:sz w:val="20"/>
        </w:rPr>
      </w:pPr>
      <w:r w:rsidRPr="00B22FDF">
        <w:rPr>
          <w:color w:val="FF0000"/>
          <w:sz w:val="28"/>
          <w:szCs w:val="28"/>
          <w:lang w:val="en-US"/>
        </w:rPr>
      </w:r>
      <w:r>
        <w:rPr>
          <w:color w:val="FF0000"/>
          <w:sz w:val="28"/>
          <w:szCs w:val="28"/>
        </w:rPr>
      </w:r>
      <w:r w:rsidRPr="00B22FDF">
        <w:rPr>
          <w:color w:val="FF0000"/>
          <w:sz w:val="28"/>
          <w:szCs w:val="28"/>
          <w:lang w:val="en-US"/>
        </w:rPr>
      </w:r>
      <w:r>
        <w:rPr>
          <w:color w:val="FF0000"/>
          <w:sz w:val="28"/>
          <w:szCs w:val="28"/>
        </w:rPr>
      </w:r>
      <w:r w:rsidRPr="00B22FDF">
        <w:rPr>
          <w:color w:val="FF0000"/>
          <w:sz w:val="28"/>
          <w:szCs w:val="28"/>
          <w:lang w:val="en-US"/>
        </w:rPr>
      </w:r>
      <w:r>
        <w:t>01.08.2025 г.</w:t>
      </w:r>
    </w:p>
    <w:p w14:paraId="475E3D8D" w14:textId="056C1DC6" w:rsidR="00345710" w:rsidRPr="00345710" w:rsidRDefault="00345710" w:rsidP="00345710">
      <w:pPr>
        <w:rPr>
          <w:sz w:val="20"/>
        </w:rPr>
      </w:pPr>
    </w:p>
    <w:p w14:paraId="6CCC11C5" w14:textId="77777777" w:rsidR="00345710" w:rsidRDefault="00345710" w:rsidP="00345710">
      <w:pPr>
        <w:tabs>
          <w:tab w:val="left" w:pos="1047"/>
        </w:tabs>
        <w:rPr>
          <w:sz w:val="20"/>
        </w:rPr>
        <w:sectPr w:rsidR="00345710" w:rsidSect="00C74AE5">
          <w:headerReference w:type="default" r:id="rId7"/>
          <w:pgSz w:w="11906" w:h="16838"/>
          <w:pgMar w:top="1134" w:right="851" w:bottom="1134" w:left="1134" w:header="709" w:footer="1134" w:gutter="0"/>
          <w:cols w:space="708"/>
          <w:titlePg/>
          <w:docGrid w:linePitch="360"/>
        </w:sectPr>
      </w:pPr>
      <w:r>
        <w:rPr>
          <w:sz w:val="20"/>
        </w:rPr>
        <w:tab/>
      </w:r>
    </w:p>
    <w:p w14:paraId="1F7FC7E8" w14:textId="6759D956" w:rsidR="00345710" w:rsidRPr="000774F1" w:rsidRDefault="000774F1" w:rsidP="000774F1">
      <w:pPr>
        <w:tabs>
          <w:tab w:val="left" w:pos="1047"/>
        </w:tabs>
        <w:jc w:val="right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lastRenderedPageBreak/>
        <w:t>Приложение 1</w:t>
      </w:r>
    </w:p>
    <w:p w14:paraId="3D5BFC84" w14:textId="77777777" w:rsidR="000774F1" w:rsidRPr="000774F1" w:rsidRDefault="000774F1" w:rsidP="000774F1">
      <w:pPr>
        <w:jc w:val="center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t>ПРОТОКОЛ АНАЛИЗА РАЗЛИЧИЙ ДОКУМЕНТОВ</w:t>
      </w:r>
    </w:p>
    <w:p w14:paraId="0CF31F1C" w14:textId="77777777" w:rsidR="000774F1" w:rsidRDefault="000774F1" w:rsidP="000774F1">
      <w:pPr>
        <w:jc w:val="both"/>
        <w:rPr>
          <w:sz w:val="28"/>
          <w:szCs w:val="28"/>
        </w:rPr>
      </w:pPr>
    </w:p>
    <w:p w14:paraId="65FD2FC4" w14:textId="6E6760A9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  <w:r>
        <w:rPr>
          <w:sz w:val="28"/>
          <w:szCs w:val="28"/>
        </w:rPr>
      </w:r>
      <w:r>
        <w:rPr>
          <w:color w:val="FF0000"/>
          <w:sz w:val="28"/>
          <w:szCs w:val="28"/>
        </w:rPr>
      </w:r>
      <w:r w:rsidR="00BD06FB">
        <w:rPr>
          <w:color w:val="FF0000"/>
          <w:sz w:val="28"/>
          <w:szCs w:val="28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D4319B" w:rsidRPr="00D4319B">
        <w:rPr>
          <w:rFonts w:eastAsiaTheme="minorEastAsia"/>
          <w:color w:val="FF0000"/>
          <w:sz w:val="28"/>
          <w:szCs w:val="28"/>
          <w:lang w:eastAsia="zh-CN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BD06FB">
        <w:rPr>
          <w:rFonts w:eastAsiaTheme="minorEastAsia"/>
          <w:color w:val="FF0000"/>
          <w:sz w:val="28"/>
          <w:szCs w:val="28"/>
          <w:lang w:eastAsia="zh-CN"/>
        </w:rPr>
      </w:r>
      <w:r>
        <w:rPr>
          <w:color w:val="FF0000"/>
          <w:sz w:val="28"/>
          <w:szCs w:val="28"/>
        </w:rPr>
      </w:r>
      <w:r>
        <w:rPr>
          <w:sz w:val="28"/>
          <w:szCs w:val="28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color w:val="FF0000"/>
          <w:sz w:val="28"/>
          <w:szCs w:val="28"/>
          <w:lang w:val="en-US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color w:val="FF0000"/>
          <w:sz w:val="28"/>
          <w:szCs w:val="28"/>
          <w:lang w:val="en-US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sz w:val="28"/>
          <w:szCs w:val="28"/>
        </w:rPr>
      </w:r>
      <w:r>
        <w:rPr>
          <w:sz w:val="28"/>
          <w:szCs w:val="28"/>
        </w:rPr>
      </w:r>
      <w:r>
        <w:rPr>
          <w:iCs/>
          <w:sz w:val="28"/>
          <w:szCs w:val="28"/>
        </w:rPr>
      </w:r>
      <w:r>
        <w:t>При проведении сравнения инструкции лекарственного средства Примовист ® , 0,25 ммоль/мл, раствор для внутривенного введения с эталоном  выявлены следующие различия:</w:t>
      </w:r>
    </w:p>
    <w:p w14:paraId="4E9750D2" w14:textId="1F9F0C3D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FB11A4" w14:paraId="6E603230" w14:textId="77777777" w:rsidTr="00E94612">
        <w:tc>
          <w:tcPr>
            <w:tcW w:w="7280" w:type="dxa"/>
          </w:tcPr>
          <w:p w14:paraId="66304990" w14:textId="38911545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</w:r>
            <w:proofErr w:type="gramStart"/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sz w:val="28"/>
                <w:szCs w:val="28"/>
              </w:rPr>
            </w:r>
            <w:r w:rsidRPr="00932124">
              <w:rPr>
                <w:b/>
                <w:bCs/>
              </w:rPr>
            </w:r>
            <w:proofErr w:type="gramEnd"/>
            <w:r w:rsidRPr="00932124">
              <w:rPr>
                <w:b/>
                <w:bCs/>
              </w:rPr>
            </w:r>
            <w:r>
              <w:t xml:space="preserve">  (референтный)</w:t>
            </w:r>
          </w:p>
        </w:tc>
        <w:tc>
          <w:tcPr>
            <w:tcW w:w="7280" w:type="dxa"/>
          </w:tcPr>
          <w:p w14:paraId="658304E8" w14:textId="451B4C57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</w:r>
            <w:proofErr w:type="gramStart"/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sz w:val="28"/>
                <w:szCs w:val="28"/>
              </w:rPr>
            </w:r>
            <w:r w:rsidRPr="00932124">
              <w:rPr>
                <w:b/>
                <w:bCs/>
              </w:rPr>
            </w:r>
            <w:proofErr w:type="gramEnd"/>
            <w:r w:rsidRPr="00932124">
              <w:rPr>
                <w:b/>
                <w:bCs/>
              </w:rPr>
            </w:r>
            <w:r>
              <w:t>Примовист ® , 0,25 ммоль/мл, раствор для внутривенного введения  (оцениваемый)</w:t>
            </w:r>
          </w:p>
        </w:tc>
      </w:tr>
      <w:tr w:rsidR="00732AD7" w14:paraId="3A09161D" w14:textId="77777777" w:rsidTr="00E94612">
        <w:tc>
          <w:tcPr>
            <w:tcW w:w="7280" w:type="dxa"/>
          </w:tcPr>
          <w:p w14:paraId="57279A0E" w14:textId="6DE45E94" w:rsidR="00732AD7" w:rsidRPr="00732AD7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833151">
              <w:rPr>
                <w:b/>
                <w:spacing w:val="1"/>
                <w:sz w:val="24"/>
                <w:szCs w:val="24"/>
              </w:rPr>
              <w:t>1. Что из себя представляет препарат Х, и для чего его применяют</w:t>
            </w:r>
          </w:p>
          <w:p/>
        </w:tc>
        <w:tc>
          <w:tcPr>
            <w:tcW w:w="7280" w:type="dxa"/>
          </w:tcPr>
          <w:p w14:paraId="254DF051" w14:textId="6D0D40A2" w:rsidR="00732AD7" w:rsidRPr="00732AD7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833151">
              <w:rPr>
                <w:b/>
                <w:spacing w:val="1"/>
                <w:sz w:val="24"/>
                <w:szCs w:val="24"/>
              </w:rPr>
              <w:t>1. Что из себя представляет препарат Х, и для чего его применяют</w:t>
            </w:r>
          </w:p>
          <w:p/>
        </w:tc>
      </w:tr>
      <w:tr w:rsidR="0007116C" w14:paraId="5B7B95CC" w14:textId="77777777" w:rsidTr="00E94612">
        <w:tc>
          <w:tcPr>
            <w:tcW w:w="7280" w:type="dxa"/>
          </w:tcPr>
          <w:p w14:paraId="0ADF122E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2. О чем следует знать перед &lt;приемом&gt; &lt;применением&gt; препарата Х</w:t>
            </w:r>
          </w:p>
          <w:p w14:paraId="318750F7" w14:textId="51415A5F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008000"/>
              </w:rPr>
              <w:t>Противопоказания</w:t>
              <w:br/>
              <w:t xml:space="preserve"> Не применяйте препарат Примовист ®, если:</w:t>
              <w:br/>
              <w:br/>
              <w:t>у Вас аллергия на гадоксетовую кислоту или любые другие препараты, содержащие гадолиний, или любые другие компоненты препарата (перечисленные в разделе 6 листка-вкладыша).</w:t>
              <w:br/>
              <w:t>Ваш возраст менее 18 лет.</w:t>
              <w:br/>
              <w:t xml:space="preserve"> Особые указания и меры предосторожности</w:t>
              <w:br/>
              <w:t xml:space="preserve"> Перед применением препарата Примовист ® проконсультируйтесь с Вашим лечащим врачом. Обязательно проинформируйте врача, если у Вас установлен кардиостимулятор или металлический (ферромагнитный) имплант-это обстоятельства, при которых МРТ не проводится.</w:t>
              <w:br/>
              <w:t xml:space="preserve"> До введения Вам препарата Примовист ® обязательно сообщите врачу:</w:t>
              <w:br/>
              <w:br/>
              <w:t>если у Вас бронхиальная астма, аллергия или если ранее возникали аллергические реакции на введение контрастных средств;</w:t>
              <w:br/>
              <w:t>если у Вас нарушена функция почек (почечная недостаточность) или если Вы готовитесь к операции по пересадке печени или недавно перенесли такую операцию. В этом случае применение препарата возможно только после тщательной оценки соотношения риск/польза и в случае того, если информация, полученная при проведении МРТ с контрастным усилением, имеет решающее диагностическое значение и недоступна при проведении МРТ без контрастирования;</w:t>
              <w:br/>
              <w:t>если у Вас тяжелые сердечно-сосудистые заболевания;</w:t>
              <w:br/>
              <w:t>если у Вас нарушение проводимости сердца (синдром удлиненного интервала QT );</w:t>
              <w:br/>
              <w:t>если у Вас ранее наблюдались изменения сердечного ритма после приема препаратов;</w:t>
              <w:br/>
              <w:t>если Ваш возраст 65 лет и старше, Вы должны обращать внимание на определенные симптомы, которые чаще всего наблюдаются, когда Вам вводят препарат Примовист ®: головная боль, тошнота. Сообщите врачу, если у Вас появились данные симптомы. Более подробную информацию о возможных нежелательных реакциях при применении препарата Примовист ® смотрите в разделе 4 листка-вкладыша.</w:t>
              <w:br/>
              <w:t xml:space="preserve"> Аллергические реакции</w:t>
              <w:br/>
              <w:t xml:space="preserve"> После применения препарата Примовист ® могут возникать отсроченные аллергические реакции,</w:t>
              <w:br/>
              <w:br/>
              <w:t>которые проявляются через несколько часов или дней (см. раздел 4 «Возможные нежелательные реакции»).</w:t>
              <w:br/>
              <w:t xml:space="preserve"> Накопление в организме</w:t>
              <w:br/>
              <w:t xml:space="preserve"> Действие препарата Примовист ® обусловлено содержанием в нем металла под названием гадолиний. Исследования показали, что после проведения обследования небольшое количество гадолиния может оставаться в организме, в том числе в головном мозге. Нежелательных реакций из-за того, что гадолиний остается в головном мозге, не</w:t>
              <w:br/>
              <w:br/>
              <w:t>наблюдалось.</w:t>
              <w:br/>
              <w:t xml:space="preserve"> Лабораторно-инструментальные исследования</w:t>
              <w:br/>
              <w:t xml:space="preserve"> Применение препарата Примовист ® может влиять на результаты определения уровня сывороточного железа в крови в течение 24 часов после проведения исследования. Сообщите об этом лечащему врачу, если Вам необходимо сделать анализ крови.</w:t>
              <w:br/>
              <w:t xml:space="preserve"> Вскоре после введения препарата Примовист ® у Вас могут наблюдаться изменения лабораторных показателей. Сообщите Вашему лечащему врачу, если Вам недавно вводили Примовист ®, при сдаче анализа крови или мочи.</w:t>
              <w:br/>
              <w:t xml:space="preserve"> Дети и подростки</w:t>
              <w:br/>
              <w:t xml:space="preserve"> Не применяйте препарат Примовист ® у детей в возрасте от 0 до 18 лет вследствие недостаточности данных об эффективности и безопасности.</w:t>
              <w:br/>
              <w:t xml:space="preserve"> Другие препараты и препарат Примовист ®</w:t>
              <w:br/>
              <w:t xml:space="preserve"> Сообщите Вашему лечащему врачу о том, что Вы принимаете, недавно принимали или можете начать принимать какие-либо другие лекарственные препараты.</w:t>
              <w:br/>
              <w:t xml:space="preserve"> Особенно важно сообщить о следующих препаратах:</w:t>
              <w:br/>
              <w:br/>
              <w:t>препараты для лечения высокого артериального давления или других сердечных заболеваний (бета-адреноблокаторы);</w:t>
              <w:br/>
              <w:t>препараты, которые изменяют ритм или частоту сердечных сокращений;</w:t>
              <w:br/>
              <w:t>рифампицин-препарат для лечения туберкулеза или некоторых других инфекций.</w:t>
              <w:br/>
              <w:t xml:space="preserve"> Препарат Примовист ® с пищей и напитками</w:t>
              <w:br/>
              <w:t xml:space="preserve"> Воздержитесь от приема пищи в течение 2-х часов до введения препарата, в связи с возможностью появления тошноты и рвоты при использовании контрастных средств для МРТ.</w:t>
              <w:br/>
              <w:t xml:space="preserve"> Беременность и грудное вскармливание</w:t>
              <w:br/>
              <w:t xml:space="preserve"> Если Вы беременны или кормите грудью, думаете, что забеременели, или планируете</w:t>
              <w:br/>
              <w:br/>
              <w:t>беременность, перед началом применения препарата проконсультируйтесь с</w:t>
              <w:br/>
              <w:br/>
              <w:t>лечащим врачом.</w:t>
              <w:br/>
              <w:t xml:space="preserve"> Беременность</w:t>
              <w:br/>
              <w:t xml:space="preserve"> Вы должны сообщить Вашему лечащему врачу, если Вы подозреваете, что беременны или можете забеременеть, так как не следует проводить обследования с применением препарата Примовист ® во время беременности, кроме случаев крайней необходимости.</w:t>
              <w:br/>
              <w:t xml:space="preserve"> Грудное вскармливание</w:t>
              <w:br/>
              <w:t xml:space="preserve"> Сообщите Вашему лечащему врачу, если Вы кормите грудью или собираетесь начать грудное вскармливание. Ваш лечащий врач после проведения исследования даст Вам рекомендацию прервать грудное вскармливание и не возобновлять в течение 24 часов после введения препарата Примовист ®.</w:t>
              <w:br/>
              <w:t xml:space="preserve"> Управление транспортными средствами и работа с механизмами</w:t>
              <w:br/>
              <w:t xml:space="preserve"> Неизвестно.</w:t>
              <w:br/>
              <w:t xml:space="preserve"> Препарат Примовист ® содержит натрий</w:t>
              <w:br/>
              <w:t xml:space="preserve"> Данный препарат содержит 3,6 ммоль (или 82 мг) натрия на дозу, рассчитанную на человека с массой тела 70 кг (эквивалентно 4,1% от рекомендуемого для взрослого человека максимального ежедневного поступления соли с пищей). Это необходимо учитывать, если Вы находитесь на диете с ограничением поступления натрия.</w:t>
            </w:r>
          </w:p>
        </w:tc>
        <w:tc>
          <w:tcPr>
            <w:tcW w:w="7280" w:type="dxa"/>
          </w:tcPr>
          <w:p w14:paraId="02CC16F9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2. О чем следует знать перед &lt;приемом&gt; &lt;применением&gt; препарата Х</w:t>
            </w:r>
          </w:p>
          <w:p w14:paraId="2F39E7BA" w14:textId="24CFC18F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/>
        </w:tc>
      </w:tr>
      <w:tr w:rsidR="0007116C" w14:paraId="1E094F75" w14:textId="77777777" w:rsidTr="00E94612">
        <w:tc>
          <w:tcPr>
            <w:tcW w:w="7280" w:type="dxa"/>
          </w:tcPr>
          <w:p w14:paraId="275DBAC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3. &lt;Прием&gt; &lt;Применение&gt; препарата Х</w:t>
            </w:r>
          </w:p>
          <w:p w14:paraId="2373621D" w14:textId="2E1052AD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008000"/>
              </w:rPr>
              <w:t>Препарат</w:t>
            </w:r>
            <w:r>
              <w:t xml:space="preserve"> </w:t>
            </w:r>
            <w:r>
              <w:rPr>
                <w:color w:val="008000"/>
              </w:rPr>
              <w:t>Примовист</w:t>
            </w:r>
            <w:r>
              <w:t xml:space="preserve"> </w:t>
            </w:r>
            <w:r>
              <w:rPr>
                <w:color w:val="008000"/>
              </w:rPr>
              <w:t>®</w:t>
            </w:r>
            <w:r>
              <w:t xml:space="preserve"> </w:t>
            </w:r>
            <w:r>
              <w:rPr>
                <w:color w:val="008000"/>
              </w:rPr>
              <w:t>вводит</w:t>
            </w:r>
            <w:r>
              <w:t xml:space="preserve"> </w:t>
            </w:r>
            <w:r>
              <w:rPr>
                <w:color w:val="008000"/>
              </w:rPr>
              <w:t>врач или медицинская сестра. При появлении сомнений посоветуйтесь с лечащим врачом.</w:t>
              <w:br/>
              <w:t xml:space="preserve"> Рекомендуемая доза</w:t>
            </w:r>
            <w:r>
              <w:br/>
              <w:t xml:space="preserve"> В</w:t>
            </w:r>
            <w:r>
              <w:rPr>
                <w:color w:val="008000"/>
              </w:rPr>
              <w:t>рач определит подходящую дозу препарата в зависимости от массы тела, области сканирования, возраста, состояния Вашего здоровья.</w:t>
              <w:br/>
              <w:t xml:space="preserve"> Особые группы пациентов</w:t>
              <w:br/>
              <w:t xml:space="preserve"> Пациенты с почечной и печеночной недостаточностью</w:t>
              <w:br/>
              <w:t xml:space="preserve"> Применение препарата Примовист ® не рекомендуется пациентам с тяжелыми заболеваниями почек и пациентам, которым недавно была проведена или в ближайшее время будет проведена пересадка (трансплантация) печени. Однако, если применение необходимо, Вам должны ввести одну дозу препарата Примовист ® во время томографии. Повторное в</w:t>
            </w:r>
            <w:r>
              <w:t xml:space="preserve">ведение </w:t>
            </w:r>
            <w:r>
              <w:rPr>
                <w:color w:val="008000"/>
              </w:rPr>
              <w:t>не должно о</w:t>
            </w:r>
            <w:r>
              <w:t>с</w:t>
            </w:r>
            <w:r>
              <w:rPr>
                <w:color w:val="008000"/>
              </w:rPr>
              <w:t>уществляться в течение как минимум 7 дней.</w:t>
              <w:br/>
              <w:t xml:space="preserve"> Пациенты</w:t>
            </w:r>
            <w:r>
              <w:t xml:space="preserve"> по</w:t>
            </w:r>
            <w:r>
              <w:rPr>
                <w:color w:val="008000"/>
              </w:rPr>
              <w:t>жилого возраста</w:t>
              <w:br/>
              <w:t xml:space="preserve"> Нет необходи</w:t>
            </w:r>
            <w:r>
              <w:t>мо</w:t>
            </w:r>
            <w:r>
              <w:rPr>
                <w:color w:val="008000"/>
              </w:rPr>
              <w:t>сти корректировать дозу, если Ваш возраст 65 лет или больше.</w:t>
              <w:br/>
              <w:t xml:space="preserve"> Путь и (или) способ введения</w:t>
              <w:br/>
              <w:t xml:space="preserve"> Препарат Примовист ® вводится внутривенно. Воздержитесь от приема пи</w:t>
            </w:r>
            <w:r>
              <w:t>щ</w:t>
            </w:r>
            <w:r>
              <w:rPr>
                <w:color w:val="008000"/>
              </w:rPr>
              <w:t>и в течение 2-х часов до введения препарата в связи с возможност</w:t>
            </w:r>
            <w:r>
              <w:t xml:space="preserve">ью </w:t>
            </w:r>
            <w:r>
              <w:rPr>
                <w:color w:val="008000"/>
              </w:rPr>
              <w:t>поя</w:t>
            </w:r>
            <w:r>
              <w:t>в</w:t>
            </w:r>
            <w:r>
              <w:rPr>
                <w:color w:val="008000"/>
              </w:rPr>
              <w:t xml:space="preserve">ления </w:t>
            </w:r>
            <w:r>
              <w:t>то</w:t>
            </w:r>
            <w:r>
              <w:rPr>
                <w:color w:val="008000"/>
              </w:rPr>
              <w:t>шноты и рвоты при использовании контрастных средств для МРТ. Если воз</w:t>
            </w:r>
            <w:r>
              <w:t>м</w:t>
            </w:r>
            <w:r>
              <w:rPr>
                <w:color w:val="008000"/>
              </w:rPr>
              <w:t>ожно, перед введением препарата примите горизонтальное положение. После введения препарата Ваш лечащий врач или медсестра должны наблюдать за Вашим состоянием как минимум в течение получаса, поскольку большая часть нежелательных реакций развивается именно в этот период времени. При наличии вопросов по применению препарата обр</w:t>
            </w:r>
            <w:r>
              <w:t>ати</w:t>
            </w:r>
            <w:r>
              <w:rPr>
                <w:color w:val="008000"/>
              </w:rPr>
              <w:t>т</w:t>
            </w:r>
            <w:r>
              <w:t>е</w:t>
            </w:r>
            <w:r>
              <w:rPr>
                <w:color w:val="008000"/>
              </w:rPr>
              <w:t>сь к лечащему врачу или медицин</w:t>
            </w:r>
            <w:r>
              <w:t xml:space="preserve">ской </w:t>
            </w:r>
            <w:r>
              <w:t>с</w:t>
            </w:r>
            <w:r>
              <w:rPr>
                <w:color w:val="008000"/>
              </w:rPr>
              <w:t>естре.</w:t>
              <w:br/>
              <w:t xml:space="preserve"> Если Вы получили препарата Примов</w:t>
            </w:r>
            <w:r>
              <w:t>ист</w:t>
            </w:r>
            <w:r>
              <w:rPr>
                <w:color w:val="008000"/>
              </w:rPr>
              <w:t xml:space="preserve"> ® больше, ч</w:t>
            </w:r>
            <w:r>
              <w:t>ем</w:t>
            </w:r>
            <w:r>
              <w:t xml:space="preserve"> </w:t>
            </w:r>
            <w:r>
              <w:rPr>
                <w:color w:val="008000"/>
              </w:rPr>
              <w:t>следовало</w:t>
            </w:r>
            <w:r>
              <w:br/>
            </w:r>
            <w:r>
              <w:t xml:space="preserve"> </w:t>
            </w:r>
            <w:r>
              <w:rPr>
                <w:color w:val="008000"/>
              </w:rPr>
              <w:t>Маловероятно,</w:t>
            </w:r>
            <w:r>
              <w:t xml:space="preserve"> </w:t>
            </w:r>
            <w:r>
              <w:rPr>
                <w:color w:val="008000"/>
              </w:rPr>
              <w:t>что</w:t>
            </w:r>
            <w:r>
              <w:t xml:space="preserve"> </w:t>
            </w:r>
            <w:r>
              <w:rPr>
                <w:color w:val="008000"/>
              </w:rPr>
              <w:t>Вы</w:t>
            </w:r>
            <w:r>
              <w:t xml:space="preserve"> </w:t>
            </w:r>
            <w:r>
              <w:rPr>
                <w:color w:val="008000"/>
              </w:rPr>
              <w:t>получите</w:t>
            </w:r>
            <w:r>
              <w:t xml:space="preserve"> </w:t>
            </w:r>
            <w:r>
              <w:rPr>
                <w:color w:val="008000"/>
              </w:rPr>
              <w:t>препарата</w:t>
            </w:r>
            <w:r>
              <w:t xml:space="preserve"> </w:t>
            </w:r>
            <w:r>
              <w:rPr>
                <w:color w:val="008000"/>
              </w:rPr>
              <w:t>Примовист ® больше, чем следует. Однако, если это произойдет, Ваш лечащий врач должен контролировать любые последующие симптомы.</w:t>
              <w:br/>
              <w:t xml:space="preserve"> При наличии вопросов по применению препарата обратитесь к Вашему лечащему врачу.</w:t>
            </w:r>
          </w:p>
        </w:tc>
        <w:tc>
          <w:tcPr>
            <w:tcW w:w="7280" w:type="dxa"/>
          </w:tcPr>
          <w:p w14:paraId="68DAD98E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3. &lt;Прием&gt; &lt;Применение&gt; препарата Х</w:t>
            </w:r>
          </w:p>
          <w:p w14:paraId="1C87BA78" w14:textId="5334DD08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FF0000"/>
              </w:rPr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  <w:br/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</w:r>
            <w:r>
              <w:br/>
              <w:t xml:space="preserve"> В</w:t>
            </w:r>
            <w:r>
              <w:t xml:space="preserve">ведение </w:t>
            </w:r>
            <w:r>
              <w:t>с</w:t>
            </w:r>
            <w:r>
              <w:t xml:space="preserve"> по</w:t>
            </w:r>
            <w:r>
              <w:t>мо</w:t>
            </w:r>
            <w:r>
              <w:t>щ</w:t>
            </w:r>
            <w:r>
              <w:t xml:space="preserve">ью </w:t>
            </w:r>
            <w:r>
              <w:rPr>
                <w:color w:val="FF0000"/>
              </w:rPr>
              <w:t>а</w:t>
            </w:r>
            <w:r>
              <w:t>в</w:t>
            </w:r>
            <w:r>
              <w:t>то</w:t>
            </w:r>
            <w:r>
              <w:t>м</w:t>
            </w:r>
            <w:r>
              <w:t>ати</w:t>
            </w:r>
            <w:r>
              <w:rPr>
                <w:color w:val="FF0000"/>
              </w:rPr>
              <w:t>ч</w:t>
            </w:r>
            <w:r>
              <w:t>е</w:t>
            </w:r>
            <w:r>
              <w:t xml:space="preserve">ской </w:t>
            </w:r>
            <w:r>
              <w:rPr>
                <w:color w:val="FF0000"/>
              </w:rPr>
              <w:t xml:space="preserve">инъекционной </w:t>
            </w:r>
            <w:r>
              <w:t>с</w:t>
            </w:r>
            <w:r>
              <w:t>ист</w:t>
            </w:r>
            <w:r>
              <w:t>ем</w:t>
            </w:r>
            <w:r>
              <w:rPr>
                <w:color w:val="FF0000"/>
              </w:rPr>
              <w:t>ы</w:t>
              <w:br/>
              <w:t>&lt;!--</w:t>
            </w:r>
            <w:r>
              <w:t xml:space="preserve"> </w:t>
            </w:r>
            <w:r>
              <w:rPr>
                <w:color w:val="FF0000"/>
              </w:rPr>
              <w:t>image --&gt;</w:t>
            </w:r>
            <w:r>
              <w:br/>
            </w:r>
            <w:r>
              <w:rPr>
                <w:color w:val="FF0000"/>
              </w:rPr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  <w:br/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  <w:br/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</w:r>
          </w:p>
        </w:tc>
      </w:tr>
      <w:tr w:rsidR="00732AD7" w14:paraId="4FE185C9" w14:textId="77777777" w:rsidTr="00E94612">
        <w:tc>
          <w:tcPr>
            <w:tcW w:w="7280" w:type="dxa"/>
          </w:tcPr>
          <w:p w14:paraId="19D65D91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4. Возможные нежелательные реакции</w:t>
            </w:r>
          </w:p>
          <w:p w14:paraId="5ECF6D2F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008000"/>
              </w:rPr>
              <w:t>Подобно другим лекарственным препаратам препарат Примовист ® может вызывать нежелательные реакции, однако возникают они не у всех.</w:t>
              <w:br/>
              <w:t xml:space="preserve"> В случае возникновения нежелательных реакций немедленно свяжитесь с Вашим лечащим врачом.</w:t>
              <w:br/>
              <w:t xml:space="preserve"> После применения препарата Примовист ® могут возникнуть отсроченные реакции, которые проявляются через несколько часов или дней.</w:t>
              <w:br/>
              <w:t xml:space="preserve"> Немедленно сообщите Вашему врачу, если Вы испытываете какие-либо из следующих признаков серьезной нежелательной реакции-анафилактического шока:</w:t>
              <w:br/>
              <w:br/>
              <w:t>предобморочное состояние или потеря сознания;</w:t>
              <w:br/>
              <w:t>резкое снижение артериального давления;</w:t>
              <w:br/>
              <w:t>нарушение дыхания;</w:t>
              <w:br/>
              <w:t>бледно-синюшная, холодная, влажная кожа.</w:t>
              <w:br/>
              <w:t xml:space="preserve"> Другие возможные нежелательные реакции, которые могут наблюдаться при применении препарата Примовист ® в зависимости от частоты их возникновения:</w:t>
              <w:br/>
              <w:t xml:space="preserve"> Часто (могут возникать не более чем у 1 человека из 10)</w:t>
              <w:br/>
              <w:br/>
              <w:t>головная боль</w:t>
              <w:br/>
              <w:br/>
              <w:t>тошнота</w:t>
              <w:br/>
              <w:t xml:space="preserve"> Нечасто (могут возникать не более чем у 1 человека из 10 0 )</w:t>
              <w:br/>
              <w:br/>
              <w:t>головокружение</w:t>
              <w:br/>
              <w:t>онемение или покалывание</w:t>
              <w:br/>
              <w:t>снижение способности ощущать вкус или запахи</w:t>
              <w:br/>
              <w:t>повышение артериального давления</w:t>
              <w:br/>
              <w:t>приливы</w:t>
              <w:br/>
              <w:t>нарушения дыхания</w:t>
              <w:br/>
              <w:t>рвота</w:t>
              <w:br/>
              <w:t>сухость во рту</w:t>
              <w:br/>
              <w:t>кожная сыпь</w:t>
              <w:br/>
              <w:t>сильный зуд, распространяющийся на все тело или глаза</w:t>
              <w:br/>
              <w:t>боль в спине, боль в груди</w:t>
              <w:br/>
              <w:t>реакции в месте инъекции, такие как жжение, холод, раздражение, боль</w:t>
              <w:br/>
              <w:t>ощущение жара</w:t>
              <w:br/>
              <w:t>озноб</w:t>
              <w:br/>
              <w:t>утомляемость</w:t>
              <w:br/>
              <w:t>плохое самочувствие</w:t>
              <w:br/>
              <w:t xml:space="preserve"> Редко (могут возникать не более чем у 1 человека из 1000)</w:t>
              <w:br/>
              <w:br/>
              <w:t>двигательное беспокойство (акатизия)</w:t>
              <w:br/>
              <w:t>неконтролируемое дрожание (тремор)</w:t>
              <w:br/>
              <w:t>ощущение учащенного сердцебиения</w:t>
              <w:br/>
              <w:t>нерегулярное сердцебиение (признаки блокады сердца)</w:t>
              <w:br/>
              <w:t>дискомфорт во рту, повышенная выработка слюны</w:t>
              <w:br/>
              <w:t>кожная сыпь красного цвета с пузырьками или пятнами</w:t>
              <w:br/>
              <w:t>повышенное потоотделение</w:t>
              <w:br/>
              <w:t>чувство дискомфорта, общее чувство недомогания</w:t>
              <w:br/>
              <w:t xml:space="preserve"> Частота неизвестна (исходя из имеющихся данных частоту возникновения определить</w:t>
              <w:br/>
              <w:br/>
              <w:t>невозможно)</w:t>
              <w:br/>
              <w:br/>
              <w:t>отек гортани и глотки, кожные высыпания (крапивница), отек лица, ринит, конъюнктивит, боль в животе, нарушение чувствительности (гипестезия), чихание, кашель</w:t>
              <w:br/>
              <w:t>быстрое сердцебиение (тахикардия)</w:t>
              <w:br/>
              <w:br/>
              <w:t>· двигательное беспокойство</w:t>
              <w:br/>
              <w:t xml:space="preserve"> Имеются сообщения о развитии нефрогенного системного фиброза (заболевания, которое вызывает уплотнение кожи и может поражать также мягкие ткани и внутренние органы), связанного с применением других гадолинийсодержащих контрастных средств.</w:t>
              <w:br/>
              <w:t xml:space="preserve"> В случае возникновения какой-либо нежелательной реакции свяжитесь с Вашим лечащим врачом. Это касается любой нежелательной реакции, включая не перечисленные выше.</w:t>
              <w:br/>
              <w:t xml:space="preserve"> Сообщение о нежелательных реакциях</w:t>
              <w:br/>
              <w:t xml:space="preserve"> Если у Вас возникают какие-либо нежелательные реакции, проконсультируйтесь с лечащим врачом. Данная рекомендация распространяется на любые возможные нежелательные реакции, в том числе на не перечисленные в листке-вкладыше. Вы также можете сообщить о нежелательных реакциях напрямую (см. ниже). Сообщая о нежелательных реакциях, Вы помогаете получить больше сведений о безопасности лекарственного препарата.</w:t>
              <w:br/>
              <w:t xml:space="preserve"> Российская Федерация</w:t>
              <w:br/>
              <w:t xml:space="preserve"> Федеральная служба по надзору в сфере здравоохранения (Росздравнадзор)</w:t>
              <w:br/>
              <w:t xml:space="preserve"> Адрес: 109012, Москва, Славянская площадь, д. 4, стр. 1</w:t>
              <w:br/>
              <w:t xml:space="preserve"> Телефон: +7 800 550 99 03</w:t>
              <w:br/>
              <w:t xml:space="preserve"> Электронная почта: pharm@roszdravnadzor.gov.ru</w:t>
              <w:br/>
              <w:t xml:space="preserve"> https://roszdravnadzor.gov.ru</w:t>
              <w:br/>
              <w:t xml:space="preserve"> Республика Казахстан</w:t>
              <w:br/>
              <w:br/>
              <w:t>«Национальный центр экспертизы лекарственных средств и медицинских изделий» Комитета медицинского и фармацевтического контроля Министерства здравоохранения Республики</w:t>
              <w:br/>
              <w:t xml:space="preserve"> Казахстан</w:t>
              <w:br/>
              <w:t xml:space="preserve"> Адрес: 010000, г. Астана, район Байконыр, ул. А. Иманова, 13 (БЦ «Нурсаулет 2»)</w:t>
              <w:br/>
              <w:t xml:space="preserve"> Телефон:</w:t>
              <w:br/>
              <w:br/>
              <w:t>+7 7172 23 51 35</w:t>
              <w:br/>
              <w:t xml:space="preserve"> Электронная почта: farm@dari.kz http://www.ndda.kz</w:t>
              <w:br/>
              <w:t xml:space="preserve"> Республика Беларусь</w:t>
              <w:br/>
              <w:t xml:space="preserve"> РУП «Центр экспертиз и испытаний в здравоохранении»</w:t>
              <w:br/>
              <w:t xml:space="preserve"> Адрес: 220037, г. Минск, Товарищеский пер., 2а</w:t>
              <w:br/>
              <w:t xml:space="preserve"> Телефон: +375 17 242 00 29</w:t>
              <w:br/>
              <w:t xml:space="preserve"> Электронная почта: rcpl@rceth.by</w:t>
              <w:br/>
              <w:t xml:space="preserve"> http://www.rceth.by</w:t>
            </w:r>
          </w:p>
        </w:tc>
        <w:tc>
          <w:tcPr>
            <w:tcW w:w="7280" w:type="dxa"/>
          </w:tcPr>
          <w:p w14:paraId="569C93DE" w14:textId="2F1A0BCC" w:rsidR="00732AD7" w:rsidRPr="00732AD7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4. Возможные нежелательные реакции</w:t>
            </w:r>
          </w:p>
          <w:p/>
        </w:tc>
      </w:tr>
      <w:tr w:rsidR="00732AD7" w14:paraId="6BD0AEF6" w14:textId="77777777" w:rsidTr="00E94612">
        <w:tc>
          <w:tcPr>
            <w:tcW w:w="7280" w:type="dxa"/>
          </w:tcPr>
          <w:p w14:paraId="031D32BE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5. Хранение препарата Х</w:t>
            </w:r>
          </w:p>
          <w:p w14:paraId="6EE2026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t>&lt;!-- image --&gt;</w:t>
            </w:r>
            <w:r>
              <w:rPr>
                <w:color w:val="008000"/>
              </w:rPr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</w:r>
          </w:p>
        </w:tc>
        <w:tc>
          <w:tcPr>
            <w:tcW w:w="7280" w:type="dxa"/>
          </w:tcPr>
          <w:p w14:paraId="7467DDE2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5. Хранение препарата Х</w:t>
            </w:r>
          </w:p>
          <w:p w14:paraId="6F8210F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t>&lt;!-- image --&gt;</w:t>
            </w:r>
          </w:p>
        </w:tc>
      </w:tr>
      <w:tr w:rsidR="00732AD7" w14:paraId="41BDF0A8" w14:textId="77777777" w:rsidTr="00E94612">
        <w:tc>
          <w:tcPr>
            <w:tcW w:w="7280" w:type="dxa"/>
          </w:tcPr>
          <w:p w14:paraId="1B7F9296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6. Содержимое упаковки и дополнительные сведения</w:t>
            </w:r>
          </w:p>
          <w:p w14:paraId="4F8E6836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008000"/>
              </w:rPr>
              <w:t>Препарат</w:t>
            </w:r>
            <w:r>
              <w:t xml:space="preserve"> </w:t>
            </w:r>
            <w:r>
              <w:rPr>
                <w:color w:val="008000"/>
              </w:rPr>
              <w:t>Примовист ® содержит</w:t>
              <w:br/>
              <w:t xml:space="preserve"> Действующим веществом является гадоксетовая кислота.</w:t>
              <w:br/>
              <w:t xml:space="preserve"> 1 мл раствора содержит 0,25 ммоль (181,430 мг) гадоксетовой кислоты (в виде динатриевой соли).</w:t>
              <w:br/>
              <w:t xml:space="preserve"> Каждый шприц 7,5 мл содержит 1361 мг гадоксетовой кислоты (в виде динатриевой соли).</w:t>
              <w:br/>
              <w:t xml:space="preserve"> Каждый шприц 10 мл содержит 1814 мг гадоксетовой кислоты (в виде динатриевой соли).</w:t>
              <w:br/>
              <w:t xml:space="preserve"> Прочими вспомогательными веществами являются:</w:t>
              <w:br/>
              <w:br/>
              <w:t>калоксетовой кислоты тринатриевая соль</w:t>
              <w:br/>
              <w:t>трометамол</w:t>
              <w:br/>
              <w:t>хлористоводородная кислота 3,6 %</w:t>
              <w:br/>
              <w:t>натрия гидроксид</w:t>
              <w:br/>
              <w:t>вода для инъекций</w:t>
              <w:br/>
              <w:t xml:space="preserve"> Для получения дополнительной информации смотрите раздел 2, подраздел «Препарат Примовист ® содержит натрий».</w:t>
              <w:br/>
              <w:t xml:space="preserve"> Внешний вид препарата Примовист ® и содержимое упаковки</w:t>
              <w:br/>
              <w:t xml:space="preserve"> Раствор для внутривенного введения.</w:t>
              <w:br/>
              <w:t xml:space="preserve"> Препарат Примовист ® представляет собой прозрачный, от бесцветного до светло-желтого или коричневатого, или слегка коричневато-желтого, или слегка зеленовато-желтого цвета, раствор, свободный от механических включений.</w:t>
              <w:br/>
              <w:t xml:space="preserve"> Предварительно наполненные по 7,5 мл или 10 мл шприцы из бесцветного стекла типа 1 или</w:t>
              <w:br/>
              <w:br/>
              <w:t>бесцветные прозрачные шприцы из циклоолефинового полимера.</w:t>
              <w:br/>
              <w:t xml:space="preserve"> Каждый шприц помещают в специальный герметичный контейнер из ПВХ.</w:t>
              <w:br/>
              <w:t xml:space="preserve"> По 1 шприцу в контейнере вместе с листком-вкладышем помещают в картонную пачку, снабженную контролем первого вскрытия.</w:t>
              <w:br/>
              <w:t xml:space="preserve"> Держатель регистрационного удостоверения</w:t>
              <w:br/>
              <w:t xml:space="preserve"> Байер АГ, Кайзер-Вильгельм-Аллее, 1, 51373 Леверкузен, Германия</w:t>
              <w:br/>
              <w:t xml:space="preserve"> Bayer AG, Ka</w:t>
            </w:r>
            <w:r>
              <w:t>i</w:t>
            </w:r>
            <w:r>
              <w:rPr>
                <w:color w:val="008000"/>
              </w:rPr>
              <w:t>ser-Wilhelm-Allee, 1, 51373 Leverkusen, Ger</w:t>
            </w:r>
            <w:r>
              <w:t>ma</w:t>
            </w:r>
            <w:r>
              <w:rPr>
                <w:color w:val="008000"/>
              </w:rPr>
              <w:t>ny</w:t>
              <w:br/>
              <w:t xml:space="preserve"> Производитель</w:t>
              <w:br/>
              <w:t xml:space="preserve"> Байер АГ, Мюллерштрассе 178, 13353 Берлин, Германия</w:t>
              <w:br/>
              <w:t xml:space="preserve"> Bayer AG, Mullerstrass</w:t>
            </w:r>
            <w:r>
              <w:t xml:space="preserve">e </w:t>
            </w:r>
            <w:r>
              <w:rPr>
                <w:color w:val="008000"/>
              </w:rPr>
              <w:t>178, 13353 Berlin, Germany</w:t>
              <w:br/>
              <w:t xml:space="preserve"> За любой информацией о препарате, а также в случаях возникновения претензий следует обращаться к местному представителю держателя регистрационного удостоверения:</w:t>
              <w:br/>
              <w:t xml:space="preserve"> Российская Федерация</w:t>
              <w:br/>
              <w:t xml:space="preserve"> АО «БАЙЕР»</w:t>
              <w:br/>
              <w:t xml:space="preserve"> 107113 Москва, 3</w:t>
            </w:r>
            <w:r>
              <w:t>-</w:t>
            </w:r>
            <w:r>
              <w:rPr>
                <w:color w:val="008000"/>
              </w:rPr>
              <w:t>я Рыбинская ул., д. 18, стр. 2, Россия</w:t>
              <w:br/>
              <w:t xml:space="preserve"> Тел.: +7 (495) 231 12 00</w:t>
              <w:br/>
              <w:t xml:space="preserve"> www.bayer.ru</w:t>
              <w:br/>
              <w:t xml:space="preserve"> Республика Казахстан</w:t>
              <w:br/>
              <w:t xml:space="preserve"> ТОО «Байер КАЗ»</w:t>
              <w:br/>
              <w:t xml:space="preserve"> 050057 Алматы, ул. Тимирязева, 42, пав. 15, офис 301, Казахстан</w:t>
              <w:br/>
              <w:br/>
              <w:t>тел. +7</w:t>
              <w:br/>
              <w:t xml:space="preserve"> 727 258 80 40</w:t>
              <w:br/>
              <w:t xml:space="preserve"> www.bayer.ru</w:t>
              <w:br/>
              <w:t xml:space="preserve"> В случаях возникновения претензий на территории Республики Беларусь следует обращаться:</w:t>
              <w:br/>
              <w:t xml:space="preserve"> Республика Беларусь</w:t>
              <w:br/>
              <w:t xml:space="preserve"> 220089 г. Минск, пр. Дзержинского 57, помещение 54, Беларусь</w:t>
              <w:br/>
              <w:t xml:space="preserve"> Тел.: +375 17 239 54 20</w:t>
              <w:br/>
              <w:t xml:space="preserve"> www.bayer.ru</w:t>
              <w:br/>
              <w:t xml:space="preserve"> Листок</w:t>
            </w:r>
            <w:r>
              <w:t>-</w:t>
            </w:r>
            <w:r>
              <w:rPr>
                <w:color w:val="008000"/>
              </w:rPr>
              <w:t>вкладыш пересмотрен</w:t>
              <w:br/>
              <w:t xml:space="preserve"> Прочие источники информации</w:t>
            </w:r>
            <w:r>
              <w:br/>
              <w:t xml:space="preserve"> Под</w:t>
            </w:r>
            <w:r>
              <w:rPr>
                <w:color w:val="008000"/>
              </w:rPr>
              <w:t>робные сведения о данном препарате содержатся на веб-Союза https://eec.eaeunion.org.</w:t>
              <w:br/>
              <w:br/>
              <w:t>сайте Евразийско</w:t>
            </w:r>
            <w:r>
              <w:t>го</w:t>
            </w:r>
            <w:r>
              <w:rPr>
                <w:color w:val="008000"/>
              </w:rPr>
              <w:t xml:space="preserve"> Экономического</w:t>
              <w:br/>
              <w:t xml:space="preserve"> Следующие сведения предназначены исключительно для медицинских работников:</w:t>
              <w:br/>
              <w:t xml:space="preserve"> Режим дозирования и способ применения</w:t>
              <w:br/>
              <w:t xml:space="preserve"> Режим дозирования</w:t>
              <w:br/>
              <w:t xml:space="preserve"> 0,1 мл/кг препарата Примовист ® (что соответствует 25 мкмоль/кг массы тела).</w:t>
              <w:br/>
              <w:t xml:space="preserve"> Особые группы пациен</w:t>
            </w:r>
            <w:r>
              <w:t>тов</w:t>
            </w:r>
            <w:r>
              <w:rPr>
                <w:color w:val="008000"/>
              </w:rPr>
              <w:t>:</w:t>
              <w:br/>
              <w:t xml:space="preserve"> П</w:t>
            </w:r>
            <w:r>
              <w:t>а</w:t>
            </w:r>
            <w:r>
              <w:rPr>
                <w:color w:val="008000"/>
              </w:rPr>
              <w:t>циенты пожилого возраста</w:t>
              <w:br/>
              <w:t xml:space="preserve"> Коррекции дозы не требуется. Учитывая данные</w:t>
            </w:r>
            <w:r>
              <w:t xml:space="preserve"> к</w:t>
            </w:r>
            <w:r>
              <w:rPr>
                <w:color w:val="008000"/>
              </w:rPr>
              <w:t>линических исследований и опыт применения препарата в клинической практике, различий в эффективности и безопасности у молодых и пожилых (старше 65 лет) пациентов не выявлено.</w:t>
              <w:br/>
              <w:t xml:space="preserve"> Пациенты с нарушениями функции печени</w:t>
              <w:br/>
              <w:t xml:space="preserve"> Коррекции дозы не требуется. Учитывая данные клинических исследований и опыт применения препарата в клинической практике, различий в эффективности и безопасности у пациентов с нормальной и нарушенной функцией печени не выявлено.</w:t>
              <w:br/>
              <w:t xml:space="preserve"> Пациенты с нарушениями функции почек</w:t>
              <w:br/>
              <w:t xml:space="preserve"> В ходе клинических исследований различий в эффективности и безопасности применения препарата у пациентов с нормальной и нарушенной функцией почек обнаружено не было. У пациентов с нарушениями функции почек замедлено выведение гадоксетовой кислоты, однако для получения изображения высокого качества, коррекцию дозы проводить не следует.</w:t>
              <w:br/>
              <w:t xml:space="preserve"> Правила</w:t>
            </w:r>
            <w:r>
              <w:t xml:space="preserve"> использовани</w:t>
            </w:r>
            <w:r>
              <w:rPr>
                <w:color w:val="008000"/>
              </w:rPr>
              <w:t>я/обращения</w:t>
            </w:r>
            <w:r>
              <w:t xml:space="preserve"> </w:t>
            </w:r>
            <w:r>
              <w:rPr>
                <w:color w:val="008000"/>
              </w:rPr>
              <w:t xml:space="preserve">с </w:t>
            </w:r>
            <w:r>
              <w:t>п</w:t>
            </w:r>
            <w:r>
              <w:rPr>
                <w:color w:val="008000"/>
              </w:rPr>
              <w:t>репаратом</w:t>
              <w:br/>
              <w:t xml:space="preserve"> Визуальный осмотр</w:t>
              <w:br/>
              <w:t xml:space="preserve"> Лекарственный препарат необходимо тщательно осмотреть перед применением.</w:t>
              <w:br/>
              <w:t xml:space="preserve"> Препарат Примовист ® не следует применять в случае выраженного изменения цвета, появления механических включений и при наличии дефектов упаковки.</w:t>
              <w:br/>
              <w:t xml:space="preserve"> Предварительно наполненные шприцы</w:t>
              <w:br/>
              <w:t xml:space="preserve"> П</w:t>
            </w:r>
            <w:r>
              <w:t xml:space="preserve">редварительно наполненный шприц </w:t>
            </w:r>
            <w:r>
              <w:rPr>
                <w:color w:val="008000"/>
              </w:rPr>
              <w:t>с</w:t>
            </w:r>
            <w:r>
              <w:t>ле</w:t>
            </w:r>
            <w:r>
              <w:rPr>
                <w:color w:val="008000"/>
              </w:rPr>
              <w:t>дует вы</w:t>
            </w:r>
            <w:r>
              <w:t>н</w:t>
            </w:r>
            <w:r>
              <w:rPr>
                <w:color w:val="008000"/>
              </w:rPr>
              <w:t>уть из упак</w:t>
            </w:r>
            <w:r>
              <w:t>ов</w:t>
            </w:r>
            <w:r>
              <w:rPr>
                <w:color w:val="008000"/>
              </w:rPr>
              <w:t>ки и приготовить для инъекции непосредственно перед обследованием. Колпачок с наполненн</w:t>
            </w:r>
            <w:r>
              <w:t xml:space="preserve">ого </w:t>
            </w:r>
            <w:r>
              <w:rPr>
                <w:color w:val="008000"/>
              </w:rPr>
              <w:t>шприца следует снять непосредственно перед введением препарата.</w:t>
              <w:br/>
              <w:t xml:space="preserve"> Остаток неис</w:t>
            </w:r>
            <w:r>
              <w:t>пол</w:t>
            </w:r>
            <w:r>
              <w:rPr>
                <w:color w:val="008000"/>
              </w:rPr>
              <w:t>ьзованного контрастного средства следует уничтожить.</w:t>
              <w:br/>
              <w:t xml:space="preserve"> Способ применения</w:t>
              <w:br/>
              <w:t xml:space="preserve"> Препарат Примовист ® предназначен для внутривенного введения.</w:t>
              <w:br/>
              <w:t xml:space="preserve"> Доза вводится в неразведенном виде путем внутривенной болюсной инъекции.</w:t>
              <w:br/>
              <w:t xml:space="preserve"> После болюсной инъекции препарата Примовист ® динамическая визуализация в артериальной,</w:t>
              <w:br/>
              <w:br/>
              <w:t>портовенозной и равновесной фазах позволяет получить неодинаковую временную картину контрастирования разных типов поражений печени. Эта информация дает возможность классифицировать выявленные образования (доброкачественные/злокачественные) и описать их специфические характеристики. Данный метод исследования дополнительно улучшает визуализацию гиперваскулярных поражений печени.</w:t>
              <w:br/>
              <w:t xml:space="preserve"> Отсроченная (гепатоспецифическая) фаза начинается пр</w:t>
            </w:r>
            <w:r>
              <w:t>имер</w:t>
            </w:r>
            <w:r>
              <w:rPr>
                <w:color w:val="008000"/>
              </w:rPr>
              <w:t>но через 10 минут после инъекции (в подтвержд</w:t>
            </w:r>
            <w:r>
              <w:t>а</w:t>
            </w:r>
            <w:r>
              <w:rPr>
                <w:color w:val="008000"/>
              </w:rPr>
              <w:t>ющих исследованиях большинство данных были получены через 20 минут после инъекции</w:t>
            </w:r>
            <w:r>
              <w:t>)</w:t>
            </w:r>
            <w:r>
              <w:rPr>
                <w:color w:val="008000"/>
              </w:rPr>
              <w:t>, при этом период визуализации длится не менее 120 минут. У пациентов, которым требуется гемодиализ, а также у пациентов с повышенной концентрацией билирубина (&amp;gt; 3 мг/дл) период визуализации сокращается до 60 минут.</w:t>
              <w:br/>
              <w:t xml:space="preserve"> Выявление поражений улучшается при контрастировании паренхимы печени во время гепатоспецифической фазы, позволяя определить количество очагов поражения, их сегментарное расположение, визуализацию и границы. Различие поражений печени по характеру динамики контрастирования/вымывания контрастного средства позволяет получить дополнительную информацию.</w:t>
              <w:br/>
              <w:t xml:space="preserve"> Печеночная экскреция препарата Примовист ® обеспечивает контрастирование желчевыводящей системы.</w:t>
              <w:br/>
              <w:t xml:space="preserve"> Необходимо соблюдать общепринятые меры предосторожности при проведении магнитно-резонансной томографии. При наличии у пациента кардиостимулятора и ферромагнитного имплантируемого устройства не рекомендуется проведение магнитно-резонансной томографии.</w:t>
              <w:br/>
              <w:t xml:space="preserve"> В течение двух часов перед обследованием пациент должен воздерживаться от приема пищи для снижения риска аспирации, поскольку все контрастные средства могут вызывать такие побочные действия как тошнота и рвота.</w:t>
              <w:br/>
              <w:t xml:space="preserve"> По возможности, во время введения контрастного средства пациент должен находиться в горизонтальном положении.</w:t>
              <w:br/>
              <w:t xml:space="preserve"> Противопоказания</w:t>
              <w:br/>
              <w:t xml:space="preserve"> Гиперчувствительность к гадоксетовой кислоте или к любым другим лекарственным препаратам, содержащим гадолиний, или к любому из вспомогательных веществ.</w:t>
              <w:br/>
              <w:t>Препарат не рекомендован к применению у детей от 0 до 18 лет вследствие недостаточности</w:t>
              <w:br/>
              <w:br/>
              <w:t>данных об эффективности и безопасности.</w:t>
              <w:br/>
              <w:t xml:space="preserve"> Особые указания и меры предосторожности при применении</w:t>
              <w:br/>
              <w:t xml:space="preserve"> Препарат Примовист ® должен применяться только специалистами здравоохранения, имеющими клинический опыт проведения МРТ и использоваться только в том случае, когда необходимая диагностическая информация не может быть получена с помощью МРТ без усиления контрастности изображения. Применение препарата должно сопровождаться соблюдением общепринятых правил безопасности проведения магнитно-резонансных исследований (в т. ч., исключение использования ферромагнитных изделий, например, кардиостимулятора или аневризматических клипс).</w:t>
              <w:br/>
              <w:t xml:space="preserve"> Гиперчувствительность</w:t>
              <w:br/>
              <w:t xml:space="preserve"> Как и для других препаратов этого класса, введение препарата Примовист ® может быть связано с развитием реакций гиперчувствительности/аллергических реакций или других проявлений идиосинкразии, характеризующихся сердечно-сосудистыми, дыхательными или кожными проявлениями. Возможны тяжелые реакции, в том числе анафилактический шок.</w:t>
            </w:r>
            <w:r>
              <w:br/>
              <w:t xml:space="preserve"> Р</w:t>
            </w:r>
            <w:r>
              <w:rPr>
                <w:color w:val="008000"/>
              </w:rPr>
              <w:t>иск развития реакций повышенной чувствительности возрастает при наличии:</w:t>
              <w:br/>
              <w:br/>
              <w:t>-ранее имевших место реакций на введение контрастных средств;</w:t>
              <w:br/>
              <w:t>-бронхиальной астмы;</w:t>
              <w:br/>
              <w:t>-аллергических заболеваний.</w:t>
              <w:br/>
              <w:t xml:space="preserve"> Большинство из перечисленных реакций проявляются в течение 30 минут после введения препарата. В связи с этим рекомендуется последующее наблюдение за пациентом после проведения исследования.</w:t>
              <w:br/>
              <w:t xml:space="preserve"> В связи с возможностью развития реакций гиперчувствительности необходимо наличие соответствующих лекарственных средств и готовность к оказанию неотложной медицинской помощи.</w:t>
              <w:br/>
              <w:t xml:space="preserve"> В редких сл</w:t>
            </w:r>
            <w:r>
              <w:t>уч</w:t>
            </w:r>
            <w:r>
              <w:rPr>
                <w:color w:val="008000"/>
              </w:rPr>
              <w:t>аях могут наблюдаться отсроченные реакции (от нескольких часов до нескольких дней).</w:t>
              <w:br/>
              <w:t xml:space="preserve"> Пациенты с развитием подобных реакций на фоне приема бета-адреноблокаторов могут быть резистентны к лечению бета-агонистами.</w:t>
              <w:br/>
              <w:t xml:space="preserve"> Сердечно-сосудистые заболевания</w:t>
              <w:br/>
              <w:t xml:space="preserve"> Данные по введению препарата Примовист ® пациентам с тяжелыми сердечно-сосудистыми заболеваниями ограничены, поэтому в этих случаях необходимо соблюдать осторожность.</w:t>
              <w:br/>
              <w:t xml:space="preserve"> Необходимо особенно тщательно оценивать соотношение польза/риск у пациентов с риском развития аритмий, в частности у пациентов с удлиненным интервалом QT и при применении ЛС, удлиняющих интервал QT.</w:t>
              <w:br/>
              <w:t xml:space="preserve"> Нарушения функции почек</w:t>
              <w:br/>
              <w:t xml:space="preserve"> У пациентов с нормальной функцией почек гадоксетовая кислота выводится почками и через ЖКТ в равном соотношении.</w:t>
              <w:br/>
              <w:t xml:space="preserve"> Перед введением препарата Примовист ® всем пациентам следует провести обследование на наличие возможного нарушения функции почек с помощью сбора анамнеза и/или проведения лабораторных тестов.</w:t>
              <w:br/>
              <w:t xml:space="preserve"> У пациентов с тяжелыми нарушениями функции почек замедлено выведение контрастных средств, поэтому в таких случаях необходимо тщательно оценивать соотношение польза/риск.</w:t>
              <w:br/>
              <w:t xml:space="preserve"> Повтор</w:t>
            </w:r>
            <w:r>
              <w:t>ное введение</w:t>
            </w:r>
            <w:r>
              <w:rPr>
                <w:color w:val="008000"/>
              </w:rPr>
              <w:t xml:space="preserve"> не должно осуществляться в течение 7 дней у пациентов с острыми или хроническими тяжелыми нарушениями функции почек.</w:t>
              <w:br/>
              <w:t xml:space="preserve"> Гадоксетовая кислота может быть удалена из организма с помощью гемодиализа. Приблизительно 30% введенной дозы выводится из организма после однократного трехчасового сеанса гемодиализа, начатого через 1 час после инъекции. У пациентов с терминальной почечной недостаточностью гадоксетовая кислота практически полностью выводилась путем гемодиализа и за счет экскреции с желчью в течение 6 дней, а у большинства пациентов-в течение 3 дней.</w:t>
              <w:br/>
              <w:t xml:space="preserve"> У пациентов, уже находящихся на гемодиализе во время применения препарата Примовист ®, после введения препарата следует быстро начать процедуру гемодиализа для улучшения выведения контрастного средства из организма.</w:t>
              <w:br/>
              <w:t xml:space="preserve"> Имеются сообщения о связи нефрогенного системного фиброза (НСФ) с использованием некоторых гадолинийсодержащих контрастных средств у пациентов с острыми или хроническими тяжелыми нарушениями функции почек (СКФ &amp;lt;30 мл/мин/1,73 м 2 ) и острой почечной недостаточностью любой степени тяжести вследствие гепаторенального синдрома или в период до и после трансплантации печени. Хотя при введении диагностической дозы препарата Примовист ® системная экспозиция гадолиния является низкой, и существуют два пути выведения (почками и через ЖКТ), возможность возникновения НСФ после введения препарата не исключена. Поэтому применять препарат Примовист ® у таких пациентов можно лишь после тщательной оценки соотношения польза/риск.</w:t>
              <w:br/>
              <w:t xml:space="preserve"> Общие нарушения и реакции в месте введения</w:t>
              <w:br/>
              <w:t xml:space="preserve"> Необходимо строго избегать внутримышечного введения препарата, поскольку оно может быть причиной развития реакций непереносимости в месте введения, включая очаговый некроз.</w:t>
              <w:br/>
              <w:t xml:space="preserve"> Накопление гадолиния</w:t>
              <w:br/>
              <w:t xml:space="preserve"> При применении гадолинийсодержащих препаратов необходимо учитывать возможность накопления действующего вещества в головном мозге и других органах, в связи с чем они должны использоваться только в случаях крайней необходимости, при невозможности проведения альтернативных методов диагностики и в минимально возможных дозах, позволяющих получить</w:t>
              <w:br/>
              <w:br/>
              <w:t>необходимое изображение. Применять только в качестве препарата второй линии, при невозможности применения макроциклических гадолинийсодержащих контрастных средств.</w:t>
              <w:br/>
              <w:t xml:space="preserve"> Содержание натрия</w:t>
              <w:br/>
              <w:t xml:space="preserve"> Данный препарат содержит натрий: 11,7 мг/мл.</w:t>
              <w:br/>
              <w:t xml:space="preserve"> Взаимодействие с другими лекарственными препаратами и другие виды взаимодействия</w:t>
              <w:br/>
              <w:t xml:space="preserve"> Взаимодействие с ингибиторами транспортного белка органических анионов</w:t>
              <w:br/>
              <w:t xml:space="preserve"> Исследования на животных показали, что соединения, принадлежащие к классу анионных лекарственных препаратов, например, рифампицин, уменьшают захват гадоксетовой кислоты клетками печени, тем самым снижая эффективность контрастирования печени. В этом случае ожидаемая польза от введения препарата Примовист ® может проявиться не в полной мере. По данным исследований у животных других взаимодействий с лекарственными препаратами выявлено не было.</w:t>
              <w:br/>
              <w:t xml:space="preserve"> В исследовании у здоровых добровольцев было показано, что одновременное применение с ингибитором транспортного белка органических анионов эритромицином не оказывало влияния на эффективность и фармакокинетику гадоксетовой кислоты. Прочих клинических исследований по взаимодействию с другими лекарственными препаратами не проводилось.</w:t>
              <w:br/>
              <w:t xml:space="preserve"> Влияние повышенного содержания билирубина или ферритина</w:t>
              <w:br/>
              <w:t xml:space="preserve"> Повышение концентрации билирубина (&amp;gt; 3 мг/дл) или ферритина может уменьшить эффективность контрастирования печени препаратом Примовист ®. При применении препарата Примовист ® у таких пациентов процедуру магнитно-резонансной томографии необходимо завершить не позже, чем через 60 минут после введения препарата.</w:t>
              <w:br/>
              <w:t xml:space="preserve"> Влияние на результаты диагностических тестов</w:t>
              <w:br/>
              <w:t xml:space="preserve"> При определении содержания железа в сыворотке крови комплексонометрическими методами (например, методом комплексообразования с ферроценом) в течение 24 часов после обследования с использованием препарата Примовист ® возможно получение ложно завышенных или ложно заниженных значений из-за присутствия в растворе контрастного препарата свободного комплексообразующего вещества тринатриевой соли калоксетовой кислоты.</w:t>
              <w:br/>
              <w:t xml:space="preserve"> Фертильность, беременность и лактация</w:t>
              <w:br/>
              <w:t xml:space="preserve"> Беременность</w:t>
              <w:br/>
              <w:t xml:space="preserve"> Клинические данные по применению гадоксетовой кислоты у беременных отсутствуют.</w:t>
              <w:br/>
              <w:t xml:space="preserve"> Исследования на животных показали признаки репродуктивной токсичности при повторных введениях препарата в высоких дозах.</w:t>
              <w:br/>
              <w:t xml:space="preserve"> Потенциальный риск для человека неизвестен.</w:t>
              <w:br/>
              <w:t xml:space="preserve"> Отсутствует опыт применения препарата Примовист ® у людей во время беременности. Не следует применять препарат Примовист ® для обследования беременных женщин, за исключением тех случаев, когда проведение МРТ с контрастным усилением представляется крайне необходимым и предполагаемая польза для матери от его применения превышает потенциальный риск для плода.</w:t>
              <w:br/>
              <w:t xml:space="preserve"> Лактация</w:t>
              <w:br/>
              <w:t xml:space="preserve"> Неизвестно, выделяется ли гадоксетовая кислота в грудное молоко человека.</w:t>
              <w:br/>
              <w:t xml:space="preserve"> Доклинические исследования показали, что малые количества гадоксетовой кислоты (менее 0,5% от внутривенно введенной дозы) выделяются в грудное молоко, при этом его всасывание через желудочно-кишечный тракт незначительно (приблизительно 0,4% от пероральной дозы выводится почками).</w:t>
              <w:br/>
              <w:t xml:space="preserve"> Грудное вскармливание следует прекратить на 24 часа после введения препарата Примовист ®.</w:t>
              <w:br/>
              <w:t xml:space="preserve"> Фертильность</w:t>
              <w:br/>
              <w:t xml:space="preserve"> Исследования на животных не выявили нарушения фертильности.</w:t>
              <w:br/>
              <w:t xml:space="preserve"> Несовместимость</w:t>
              <w:br/>
              <w:t xml:space="preserve"> Ввиду отсутствия исследований о несовместимости данный медицинский препарат не должен смешиваться с другими лекарственными средствами.</w:t>
              <w:br/>
              <w:t xml:space="preserve"> Особые меры предосторожности при уничтожении использованного лекарственного препарата или отходов, полученных после применения лекарственного препарата и другие манипуляции с препаратом</w:t>
              <w:br/>
              <w:t xml:space="preserve"> Инструкции по работе с препаратом</w:t>
              <w:br/>
              <w:t xml:space="preserve"> После инъекции контрастного средства внутривенную канюлю/катетер следует промыть 0,9% раствором хлорида натрия.</w:t>
              <w:br/>
              <w:t xml:space="preserve"> Утилизация</w:t>
              <w:br/>
              <w:t xml:space="preserve"> Весь оставшийся лекарственный препарат и отходы следует уничтожить в соответствии с установленным национальным законодательством требованиями.</w:t>
              <w:br/>
              <w:t xml:space="preserve"> Отклеивающаяся этикетка на шприцах должна быть приклеена к истории болезни пациента, чтобы предоставить точную информацию об использованном гадолинийсодержащем контрастном средстве. Используемая доза также должна быть указана в письменном виде.</w:t>
              <w:br/>
              <w:t xml:space="preserve"> Если используются электронные карты пациентов, в карту пациента должны быть внесены название препарата, номер серии и доза.</w:t>
              <w:br/>
              <w:t xml:space="preserve"> Подготовка к использованию (стеклянный шприц)</w:t>
              <w:br/>
            </w:r>
            <w:r>
              <w:br/>
              <w:t>&lt;!-- image --&gt;</w:t>
            </w:r>
            <w:r>
              <w:rPr>
                <w:color w:val="008000"/>
              </w:rPr>
              <w:br/>
              <w:br/>
              <w:t>&lt;!-- image --&gt;</w:t>
            </w:r>
          </w:p>
        </w:tc>
        <w:tc>
          <w:tcPr>
            <w:tcW w:w="7280" w:type="dxa"/>
          </w:tcPr>
          <w:p w14:paraId="47D7554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6. Содержимое упаковки и дополнительные сведения</w:t>
            </w:r>
          </w:p>
          <w:p w14:paraId="2540CB24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FF0000"/>
              </w:rPr>
              <w:t>&lt;!--</w:t>
            </w:r>
            <w:r>
              <w:t xml:space="preserve"> </w:t>
            </w:r>
            <w:r>
              <w:t>i</w:t>
            </w:r>
            <w:r>
              <w:t>ma</w:t>
            </w:r>
            <w:r>
              <w:rPr>
                <w:color w:val="FF0000"/>
              </w:rPr>
              <w:t>g</w:t>
            </w:r>
            <w:r>
              <w:t xml:space="preserve">e </w:t>
            </w:r>
            <w:r>
              <w:t>-</w:t>
            </w:r>
            <w:r>
              <w:t>-</w:t>
            </w:r>
            <w:r>
              <w:rPr>
                <w:color w:val="FF0000"/>
              </w:rPr>
              <w:t>&gt;</w:t>
            </w:r>
            <w:r>
              <w:br/>
              <w:t xml:space="preserve"> Под</w:t>
            </w:r>
            <w:r>
              <w:t>го</w:t>
            </w:r>
            <w:r>
              <w:t>тов</w:t>
            </w:r>
            <w:r>
              <w:rPr>
                <w:color w:val="FF0000"/>
              </w:rPr>
              <w:t>к</w:t>
            </w:r>
            <w:r>
              <w:t>а</w:t>
            </w:r>
            <w:r>
              <w:t xml:space="preserve"> к</w:t>
            </w:r>
            <w:r>
              <w:t xml:space="preserve"> использовани</w:t>
            </w:r>
            <w:r>
              <w:rPr>
                <w:color w:val="FF0000"/>
              </w:rPr>
              <w:t>ю</w:t>
            </w:r>
            <w:r>
              <w:t xml:space="preserve"> </w:t>
            </w:r>
            <w:r>
              <w:rPr>
                <w:color w:val="FF0000"/>
              </w:rPr>
              <w:t>(</w:t>
            </w:r>
            <w:r>
              <w:t>п</w:t>
            </w:r>
            <w:r>
              <w:t xml:space="preserve">редварительно наполненный шприц </w:t>
            </w:r>
            <w:r>
              <w:rPr>
                <w:color w:val="FF0000"/>
              </w:rPr>
              <w:t>из</w:t>
              <w:br/>
              <w:t>циклоо</w:t>
            </w:r>
            <w:r>
              <w:t>ле</w:t>
            </w:r>
            <w:r>
              <w:rPr>
                <w:color w:val="FF0000"/>
              </w:rPr>
              <w:t>фи</w:t>
            </w:r>
            <w:r>
              <w:t>н</w:t>
            </w:r>
            <w:r>
              <w:t>ов</w:t>
            </w:r>
            <w:r>
              <w:t xml:space="preserve">ого </w:t>
            </w:r>
            <w:r>
              <w:t>пол</w:t>
            </w:r>
            <w:r>
              <w:t>имер</w:t>
            </w:r>
            <w:r>
              <w:t>а</w:t>
            </w:r>
            <w:r>
              <w:t>)</w:t>
            </w:r>
            <w:r>
              <w:br/>
              <w:t xml:space="preserve"> Р</w:t>
            </w:r>
            <w:r>
              <w:t>уч</w:t>
            </w:r>
            <w:r>
              <w:t>ное введение</w:t>
            </w:r>
            <w:r>
              <w:br/>
              <w:t>&lt;!-- image --&gt;</w:t>
            </w:r>
          </w:p>
        </w:tc>
      </w:tr>
    </w:tbl>
    <w:p w14:paraId="33A5440C" w14:textId="77777777" w:rsidR="00FB11A4" w:rsidRDefault="00FB11A4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14:paraId="7CF395D3" w14:textId="77777777" w:rsidR="000774F1" w:rsidRPr="000774F1" w:rsidRDefault="000774F1" w:rsidP="000774F1">
      <w:pPr>
        <w:tabs>
          <w:tab w:val="left" w:pos="1047"/>
        </w:tabs>
        <w:jc w:val="center"/>
        <w:rPr>
          <w:b/>
          <w:bCs/>
          <w:sz w:val="20"/>
        </w:rPr>
      </w:pPr>
    </w:p>
    <w:sectPr w:rsidR="000774F1" w:rsidRPr="000774F1" w:rsidSect="00345710">
      <w:pgSz w:w="16838" w:h="11906" w:orient="landscape"/>
      <w:pgMar w:top="1134" w:right="1134" w:bottom="851" w:left="1134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1AFEE" w14:textId="77777777" w:rsidR="000A657B" w:rsidRDefault="000A657B" w:rsidP="00C74AE5">
      <w:r>
        <w:separator/>
      </w:r>
    </w:p>
  </w:endnote>
  <w:endnote w:type="continuationSeparator" w:id="0">
    <w:p w14:paraId="20C4E33F" w14:textId="77777777" w:rsidR="000A657B" w:rsidRDefault="000A657B" w:rsidP="00C7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A6573" w14:textId="77777777" w:rsidR="000A657B" w:rsidRDefault="000A657B" w:rsidP="00C74AE5">
      <w:r>
        <w:separator/>
      </w:r>
    </w:p>
  </w:footnote>
  <w:footnote w:type="continuationSeparator" w:id="0">
    <w:p w14:paraId="46EE037C" w14:textId="77777777" w:rsidR="000A657B" w:rsidRDefault="000A657B" w:rsidP="00C7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8E6FA" w14:textId="77777777" w:rsidR="00BF4506" w:rsidRPr="00C46EDD" w:rsidRDefault="001B0ECA">
    <w:pPr>
      <w:pStyle w:val="ae"/>
      <w:jc w:val="center"/>
      <w:rPr>
        <w:sz w:val="28"/>
        <w:szCs w:val="28"/>
      </w:rPr>
    </w:pPr>
    <w:r w:rsidRPr="00C46EDD">
      <w:rPr>
        <w:sz w:val="28"/>
        <w:szCs w:val="28"/>
      </w:rPr>
      <w:fldChar w:fldCharType="begin"/>
    </w:r>
    <w:r w:rsidRPr="00C46EDD">
      <w:rPr>
        <w:sz w:val="28"/>
        <w:szCs w:val="28"/>
      </w:rPr>
      <w:instrText xml:space="preserve"> PAGE   \* MERGEFORMAT </w:instrText>
    </w:r>
    <w:r w:rsidRPr="00C46EDD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C46EDD">
      <w:rPr>
        <w:sz w:val="28"/>
        <w:szCs w:val="28"/>
      </w:rPr>
      <w:fldChar w:fldCharType="end"/>
    </w:r>
  </w:p>
  <w:p w14:paraId="54B20206" w14:textId="77777777" w:rsidR="00BF4506" w:rsidRDefault="00BF450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218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28368A9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85B0734"/>
    <w:multiLevelType w:val="hybridMultilevel"/>
    <w:tmpl w:val="0318E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23F18"/>
    <w:multiLevelType w:val="hybridMultilevel"/>
    <w:tmpl w:val="BB543FF8"/>
    <w:lvl w:ilvl="0" w:tplc="BE3C958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 w15:restartNumberingAfterBreak="0">
    <w:nsid w:val="22AD0D45"/>
    <w:multiLevelType w:val="hybridMultilevel"/>
    <w:tmpl w:val="E5D47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85E7C"/>
    <w:multiLevelType w:val="multilevel"/>
    <w:tmpl w:val="F6C0C7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1B66F8"/>
    <w:multiLevelType w:val="hybridMultilevel"/>
    <w:tmpl w:val="DEC002A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40030"/>
    <w:multiLevelType w:val="hybridMultilevel"/>
    <w:tmpl w:val="468A91E4"/>
    <w:lvl w:ilvl="0" w:tplc="D81C24F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67F624F6"/>
    <w:multiLevelType w:val="hybridMultilevel"/>
    <w:tmpl w:val="DFAC8AF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A5D33"/>
    <w:multiLevelType w:val="hybridMultilevel"/>
    <w:tmpl w:val="B0E252BA"/>
    <w:lvl w:ilvl="0" w:tplc="5506545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0" w15:restartNumberingAfterBreak="0">
    <w:nsid w:val="6F211C8F"/>
    <w:multiLevelType w:val="hybridMultilevel"/>
    <w:tmpl w:val="CAD4C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67FD0"/>
    <w:multiLevelType w:val="multilevel"/>
    <w:tmpl w:val="47669D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FA95858"/>
    <w:multiLevelType w:val="hybridMultilevel"/>
    <w:tmpl w:val="1F9C1E6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8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63458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2655810">
    <w:abstractNumId w:val="0"/>
  </w:num>
  <w:num w:numId="4" w16cid:durableId="653532769">
    <w:abstractNumId w:val="5"/>
  </w:num>
  <w:num w:numId="5" w16cid:durableId="2048674257">
    <w:abstractNumId w:val="12"/>
  </w:num>
  <w:num w:numId="6" w16cid:durableId="601374872">
    <w:abstractNumId w:val="6"/>
  </w:num>
  <w:num w:numId="7" w16cid:durableId="377168461">
    <w:abstractNumId w:val="8"/>
  </w:num>
  <w:num w:numId="8" w16cid:durableId="1357928677">
    <w:abstractNumId w:val="11"/>
  </w:num>
  <w:num w:numId="9" w16cid:durableId="1171065159">
    <w:abstractNumId w:val="1"/>
  </w:num>
  <w:num w:numId="10" w16cid:durableId="1605065670">
    <w:abstractNumId w:val="2"/>
  </w:num>
  <w:num w:numId="11" w16cid:durableId="1917392890">
    <w:abstractNumId w:val="4"/>
  </w:num>
  <w:num w:numId="12" w16cid:durableId="265968212">
    <w:abstractNumId w:val="7"/>
  </w:num>
  <w:num w:numId="13" w16cid:durableId="746657296">
    <w:abstractNumId w:val="3"/>
  </w:num>
  <w:num w:numId="14" w16cid:durableId="1013997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2"/>
    <w:rsid w:val="00001B51"/>
    <w:rsid w:val="000529AD"/>
    <w:rsid w:val="0006497D"/>
    <w:rsid w:val="0007116C"/>
    <w:rsid w:val="000774F1"/>
    <w:rsid w:val="000838C5"/>
    <w:rsid w:val="000A657B"/>
    <w:rsid w:val="000B1B12"/>
    <w:rsid w:val="000C78F6"/>
    <w:rsid w:val="000D5229"/>
    <w:rsid w:val="00173FF2"/>
    <w:rsid w:val="001B0ECA"/>
    <w:rsid w:val="00205CF6"/>
    <w:rsid w:val="00246528"/>
    <w:rsid w:val="002C6418"/>
    <w:rsid w:val="00345710"/>
    <w:rsid w:val="00371EFA"/>
    <w:rsid w:val="003720D7"/>
    <w:rsid w:val="00376F9C"/>
    <w:rsid w:val="003807DE"/>
    <w:rsid w:val="003D6C68"/>
    <w:rsid w:val="004B7813"/>
    <w:rsid w:val="00577D01"/>
    <w:rsid w:val="00595AD0"/>
    <w:rsid w:val="005C7560"/>
    <w:rsid w:val="005D25A2"/>
    <w:rsid w:val="00606AEF"/>
    <w:rsid w:val="00622B6B"/>
    <w:rsid w:val="006B359C"/>
    <w:rsid w:val="006C0B77"/>
    <w:rsid w:val="00714AA5"/>
    <w:rsid w:val="00724547"/>
    <w:rsid w:val="00732AD7"/>
    <w:rsid w:val="007835D3"/>
    <w:rsid w:val="007B1FD4"/>
    <w:rsid w:val="008232B2"/>
    <w:rsid w:val="008242FF"/>
    <w:rsid w:val="008648E4"/>
    <w:rsid w:val="00870751"/>
    <w:rsid w:val="00922C48"/>
    <w:rsid w:val="00932124"/>
    <w:rsid w:val="009D7283"/>
    <w:rsid w:val="00A16227"/>
    <w:rsid w:val="00AC3A98"/>
    <w:rsid w:val="00AD16C2"/>
    <w:rsid w:val="00AE40AD"/>
    <w:rsid w:val="00B22FDF"/>
    <w:rsid w:val="00B32A72"/>
    <w:rsid w:val="00B915B7"/>
    <w:rsid w:val="00B92EF4"/>
    <w:rsid w:val="00BD06FB"/>
    <w:rsid w:val="00BF4506"/>
    <w:rsid w:val="00C13B68"/>
    <w:rsid w:val="00C17D40"/>
    <w:rsid w:val="00C74AE5"/>
    <w:rsid w:val="00C86F15"/>
    <w:rsid w:val="00D01840"/>
    <w:rsid w:val="00D4319B"/>
    <w:rsid w:val="00D86F35"/>
    <w:rsid w:val="00DC262A"/>
    <w:rsid w:val="00E52579"/>
    <w:rsid w:val="00E52DCB"/>
    <w:rsid w:val="00E64A95"/>
    <w:rsid w:val="00EA59DF"/>
    <w:rsid w:val="00EB200F"/>
    <w:rsid w:val="00EE17ED"/>
    <w:rsid w:val="00EE4070"/>
    <w:rsid w:val="00F12C76"/>
    <w:rsid w:val="00F84A5E"/>
    <w:rsid w:val="00F85B35"/>
    <w:rsid w:val="00FB11A4"/>
    <w:rsid w:val="00FD2C3D"/>
    <w:rsid w:val="00FF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9E4E"/>
  <w15:chartTrackingRefBased/>
  <w15:docId w15:val="{A4ACFEB1-A37F-4B5D-BCA9-7D6E8A47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B68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1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1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1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1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1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1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1B12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C74AE5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C74A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f1">
    <w:name w:val="Table Grid"/>
    <w:basedOn w:val="a1"/>
    <w:uiPriority w:val="39"/>
    <w:rsid w:val="00FB11A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FB11A4"/>
    <w:rPr>
      <w:color w:val="0563C1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FB11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GKO</dc:creator>
  <cp:keywords/>
  <dc:description/>
  <cp:lastModifiedBy>GKO</cp:lastModifiedBy>
  <cp:revision>7</cp:revision>
  <dcterms:created xsi:type="dcterms:W3CDTF">2025-06-28T17:20:00Z</dcterms:created>
  <dcterms:modified xsi:type="dcterms:W3CDTF">2025-07-25T12:44:00Z</dcterms:modified>
</cp:coreProperties>
</file>