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6" w:type="dxa"/>
        <w:tblLook w:val="01E0" w:firstRow="1" w:lastRow="1" w:firstColumn="1" w:lastColumn="1" w:noHBand="0" w:noVBand="0"/>
      </w:tblPr>
      <w:tblGrid>
        <w:gridCol w:w="4928"/>
        <w:gridCol w:w="964"/>
        <w:gridCol w:w="4564"/>
      </w:tblGrid>
      <w:tr w:rsidR="00C74AE5" w:rsidRPr="005C3BF9" w14:paraId="487E81A4" w14:textId="77777777" w:rsidTr="005D00F9">
        <w:trPr>
          <w:trHeight w:val="1985"/>
        </w:trPr>
        <w:tc>
          <w:tcPr>
            <w:tcW w:w="4928" w:type="dxa"/>
          </w:tcPr>
          <w:p w14:paraId="4A87BC0B" w14:textId="77777777" w:rsidR="00C74AE5" w:rsidRPr="00B03496" w:rsidRDefault="00C74AE5" w:rsidP="005D00F9">
            <w:pPr>
              <w:jc w:val="center"/>
              <w:rPr>
                <w:sz w:val="16"/>
                <w:szCs w:val="16"/>
              </w:rPr>
            </w:pPr>
          </w:p>
        </w:tc>
        <w:tc>
          <w:tcPr>
            <w:tcW w:w="964" w:type="dxa"/>
          </w:tcPr>
          <w:p w14:paraId="5445D56D" w14:textId="77777777" w:rsidR="00C74AE5" w:rsidRPr="009731EF" w:rsidRDefault="00C74AE5" w:rsidP="005D00F9"/>
        </w:tc>
        <w:tc>
          <w:tcPr>
            <w:tcW w:w="4564" w:type="dxa"/>
          </w:tcPr>
          <w:p w14:paraId="161991DD" w14:textId="77777777" w:rsidR="00C74AE5" w:rsidRPr="00F53ADD" w:rsidRDefault="00C74AE5" w:rsidP="005D00F9">
            <w:pPr>
              <w:rPr>
                <w:sz w:val="28"/>
                <w:szCs w:val="28"/>
              </w:rPr>
            </w:pPr>
            <w:r w:rsidRPr="00F53ADD">
              <w:rPr>
                <w:sz w:val="28"/>
                <w:szCs w:val="28"/>
              </w:rPr>
              <w:t xml:space="preserve">Заместителю генерального </w:t>
            </w:r>
            <w:proofErr w:type="gramStart"/>
            <w:r w:rsidRPr="00F53ADD">
              <w:rPr>
                <w:sz w:val="28"/>
                <w:szCs w:val="28"/>
              </w:rPr>
              <w:t xml:space="preserve">директора  </w:t>
            </w:r>
            <w:r>
              <w:rPr>
                <w:sz w:val="28"/>
                <w:szCs w:val="28"/>
              </w:rPr>
              <w:t>ФГБУ</w:t>
            </w:r>
            <w:proofErr w:type="gramEnd"/>
            <w:r>
              <w:rPr>
                <w:sz w:val="28"/>
                <w:szCs w:val="28"/>
              </w:rPr>
              <w:t xml:space="preserve"> «НЦЭСМП» Минздрава России</w:t>
            </w:r>
          </w:p>
          <w:p w14:paraId="6DFD87E6" w14:textId="77777777" w:rsidR="00C74AE5" w:rsidRDefault="00C74AE5" w:rsidP="005D00F9">
            <w:pPr>
              <w:rPr>
                <w:sz w:val="28"/>
                <w:szCs w:val="28"/>
              </w:rPr>
            </w:pPr>
          </w:p>
          <w:p w14:paraId="325380BC" w14:textId="7E8610C3" w:rsidR="00C74AE5" w:rsidRPr="00246528" w:rsidRDefault="00246528" w:rsidP="005D00F9">
            <w:pPr>
              <w:rPr>
                <w:sz w:val="28"/>
                <w:szCs w:val="28"/>
                <w:lang w:val="en-US"/>
              </w:rPr>
            </w:pPr>
            <w:r>
              <w:rPr>
                <w:sz w:val="28"/>
                <w:szCs w:val="28"/>
                <w:lang w:val="en-US"/>
              </w:rPr>
              <w:t>________________</w:t>
            </w:r>
          </w:p>
        </w:tc>
      </w:tr>
      <w:tr w:rsidR="00C74AE5" w:rsidRPr="005C3BF9" w14:paraId="7BD22904" w14:textId="77777777" w:rsidTr="005D00F9">
        <w:trPr>
          <w:trHeight w:val="853"/>
        </w:trPr>
        <w:tc>
          <w:tcPr>
            <w:tcW w:w="4928" w:type="dxa"/>
          </w:tcPr>
          <w:p w14:paraId="38404626" w14:textId="77777777" w:rsidR="00C74AE5" w:rsidRPr="007716D1" w:rsidRDefault="00C74AE5" w:rsidP="005D00F9">
            <w:pPr>
              <w:outlineLvl w:val="0"/>
              <w:rPr>
                <w:b/>
                <w:sz w:val="22"/>
                <w:szCs w:val="22"/>
              </w:rPr>
            </w:pPr>
          </w:p>
          <w:p w14:paraId="14CFE3EB" w14:textId="67D88C00"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w:t>
            </w:r>
            <w:proofErr w:type="spellStart"/>
            <w:r w:rsidRPr="00F53ADD">
              <w:rPr>
                <w:b/>
                <w:sz w:val="22"/>
                <w:szCs w:val="22"/>
              </w:rPr>
              <w:t>ПРеф</w:t>
            </w:r>
            <w:proofErr w:type="spellEnd"/>
            <w:r w:rsidRPr="00F53ADD">
              <w:rPr>
                <w:b/>
                <w:sz w:val="22"/>
                <w:szCs w:val="22"/>
              </w:rPr>
              <w:t>/ЗД/Э</w:t>
            </w:r>
          </w:p>
        </w:tc>
        <w:tc>
          <w:tcPr>
            <w:tcW w:w="964" w:type="dxa"/>
          </w:tcPr>
          <w:p w14:paraId="0667661F" w14:textId="77777777" w:rsidR="00C74AE5" w:rsidRPr="005C3BF9" w:rsidRDefault="00C74AE5" w:rsidP="005D00F9"/>
        </w:tc>
        <w:tc>
          <w:tcPr>
            <w:tcW w:w="4564" w:type="dxa"/>
          </w:tcPr>
          <w:p w14:paraId="47C56C22" w14:textId="77777777" w:rsidR="00C74AE5" w:rsidRPr="005C3BF9" w:rsidRDefault="00C74AE5" w:rsidP="005D00F9"/>
        </w:tc>
      </w:tr>
    </w:tbl>
    <w:p w14:paraId="487C8865" w14:textId="77777777" w:rsidR="00C74AE5" w:rsidRDefault="00C74AE5" w:rsidP="00C74AE5">
      <w:pPr>
        <w:ind w:left="142" w:firstLine="567"/>
        <w:jc w:val="both"/>
        <w:rPr>
          <w:sz w:val="28"/>
          <w:szCs w:val="28"/>
        </w:rPr>
      </w:pPr>
    </w:p>
    <w:p w14:paraId="6C8973F7" w14:textId="77777777" w:rsidR="00C74AE5" w:rsidRDefault="00C74AE5" w:rsidP="00C74AE5">
      <w:pPr>
        <w:ind w:left="142" w:firstLine="567"/>
        <w:jc w:val="center"/>
        <w:rPr>
          <w:sz w:val="28"/>
          <w:szCs w:val="28"/>
        </w:rPr>
      </w:pPr>
    </w:p>
    <w:p w14:paraId="7032AC6F" w14:textId="77961395"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14:paraId="630E1921" w14:textId="77777777" w:rsidR="00C74AE5" w:rsidRPr="00C852A8" w:rsidRDefault="00C74AE5" w:rsidP="00C74AE5">
      <w:pPr>
        <w:ind w:left="142" w:firstLine="567"/>
        <w:jc w:val="both"/>
        <w:rPr>
          <w:sz w:val="28"/>
          <w:szCs w:val="28"/>
        </w:rPr>
      </w:pPr>
    </w:p>
    <w:p w14:paraId="2EE6FC1A" w14:textId="4E7E488B" w:rsidR="00C74AE5" w:rsidRPr="00684BE2" w:rsidRDefault="00C74AE5" w:rsidP="00C74AE5">
      <w:pPr>
        <w:autoSpaceDE w:val="0"/>
        <w:autoSpaceDN w:val="0"/>
        <w:adjustRightInd w:val="0"/>
        <w:ind w:firstLine="567"/>
        <w:jc w:val="both"/>
        <w:rPr>
          <w:sz w:val="28"/>
          <w:szCs w:val="28"/>
        </w:rPr>
      </w:pPr>
      <w:r w:rsidRPr="00684BE2">
        <w:rPr>
          <w:sz w:val="28"/>
          <w:szCs w:val="28"/>
        </w:rPr>
      </w:r>
      <w:r w:rsidR="00E52579" w:rsidRPr="00E52579">
        <w:rPr>
          <w:color w:val="FF0000"/>
          <w:sz w:val="28"/>
          <w:szCs w:val="28"/>
        </w:rPr>
      </w:r>
      <w:r w:rsidR="00BD06FB">
        <w:rPr>
          <w:color w:val="FF0000"/>
          <w:sz w:val="28"/>
          <w:szCs w:val="28"/>
        </w:rPr>
      </w:r>
      <w:r w:rsidR="00D4319B">
        <w:rPr>
          <w:rFonts w:eastAsiaTheme="minorEastAsia"/>
          <w:color w:val="FF0000"/>
          <w:sz w:val="28"/>
          <w:szCs w:val="28"/>
          <w:lang w:val="en-US" w:eastAsia="zh-CN"/>
        </w:rPr>
      </w:r>
      <w:r w:rsidR="00E52579" w:rsidRPr="00E52579">
        <w:rPr>
          <w:rFonts w:eastAsiaTheme="minorEastAsia"/>
          <w:color w:val="FF0000"/>
          <w:sz w:val="28"/>
          <w:szCs w:val="28"/>
          <w:lang w:eastAsia="zh-CN"/>
        </w:rPr>
      </w:r>
      <w:r w:rsidR="00E52579" w:rsidRPr="00E52579">
        <w:rPr>
          <w:rFonts w:eastAsiaTheme="minorEastAsia"/>
          <w:color w:val="FF0000"/>
          <w:sz w:val="28"/>
          <w:szCs w:val="28"/>
          <w:lang w:val="en-US" w:eastAsia="zh-CN"/>
        </w:rPr>
      </w:r>
      <w:r w:rsidR="00BD06FB">
        <w:rPr>
          <w:rFonts w:eastAsiaTheme="minorEastAsia"/>
          <w:color w:val="FF0000"/>
          <w:sz w:val="28"/>
          <w:szCs w:val="28"/>
          <w:lang w:eastAsia="zh-CN"/>
        </w:rPr>
      </w:r>
      <w:r w:rsidR="00E52579" w:rsidRPr="00E52579">
        <w:rPr>
          <w:color w:val="FF0000"/>
          <w:sz w:val="28"/>
          <w:szCs w:val="28"/>
        </w:rPr>
      </w:r>
      <w:r w:rsidRPr="0045721A">
        <w:rPr>
          <w:sz w:val="28"/>
          <w:szCs w:val="28"/>
        </w:rPr>
      </w:r>
      <w:r w:rsidRPr="00684BE2">
        <w:rPr>
          <w:sz w:val="28"/>
          <w:szCs w:val="28"/>
        </w:rPr>
      </w:r>
      <w:r w:rsidR="00E52579">
        <w:rPr>
          <w:sz w:val="28"/>
          <w:szCs w:val="28"/>
        </w:rPr>
      </w:r>
      <w:r w:rsidRPr="00684BE2">
        <w:rPr>
          <w:sz w:val="28"/>
          <w:szCs w:val="28"/>
        </w:rPr>
      </w:r>
      <w:r>
        <w:rPr>
          <w:sz w:val="28"/>
          <w:szCs w:val="28"/>
        </w:rPr>
      </w:r>
      <w:r w:rsidR="00F85B35">
        <w:rPr>
          <w:sz w:val="28"/>
          <w:szCs w:val="28"/>
        </w:rPr>
      </w:r>
      <w:r>
        <w:rPr>
          <w:sz w:val="28"/>
          <w:szCs w:val="28"/>
        </w:rPr>
      </w:r>
      <w:r w:rsidR="00F85B35">
        <w:rPr>
          <w:sz w:val="28"/>
          <w:szCs w:val="28"/>
        </w:rPr>
      </w:r>
      <w:r>
        <w:rPr>
          <w:sz w:val="28"/>
          <w:szCs w:val="28"/>
        </w:rPr>
      </w:r>
      <w:r w:rsidRPr="00A71848">
        <w:rPr>
          <w:sz w:val="28"/>
          <w:szCs w:val="28"/>
        </w:rPr>
      </w:r>
      <w:r w:rsidRPr="00684BE2">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684BE2">
        <w:rPr>
          <w:sz w:val="28"/>
          <w:szCs w:val="28"/>
        </w:rPr>
      </w:r>
      <w:r>
        <w:rPr>
          <w:sz w:val="28"/>
          <w:szCs w:val="28"/>
        </w:rPr>
      </w:r>
      <w:r>
        <w:rPr>
          <w:rFonts w:eastAsia="Calibri"/>
          <w:sz w:val="28"/>
          <w:szCs w:val="28"/>
        </w:rPr>
      </w:r>
      <w:r w:rsidRPr="009B7DD8">
        <w:rPr>
          <w:rFonts w:eastAsia="Calibri"/>
          <w:sz w:val="28"/>
          <w:szCs w:val="28"/>
        </w:rPr>
      </w:r>
      <w:r>
        <w:rPr>
          <w:rFonts w:eastAsia="Calibri"/>
          <w:sz w:val="28"/>
          <w:szCs w:val="28"/>
        </w:rPr>
      </w:r>
      <w:r>
        <w:t>При проведении экспертизы лекарственного средства Гадобутрол, 1 ммоль/мл, раствор для внутривенного введения,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14:paraId="3FCE1F39" w14:textId="132DA94F"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sidRPr="00C852A8">
        <w:rPr>
          <w:sz w:val="28"/>
          <w:szCs w:val="28"/>
        </w:rPr>
        <w:t xml:space="preserve"> </w:t>
      </w:r>
      <w:r>
        <w:rPr>
          <w:iCs/>
          <w:sz w:val="28"/>
          <w:szCs w:val="28"/>
        </w:rPr>
        <w:t>необходимо предоставление следующей информации:</w:t>
      </w:r>
    </w:p>
    <w:p w14:paraId="06EEAA4B" w14:textId="77777777"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14:paraId="0D07B4AC" w14:textId="4A3C9D59"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14:paraId="23CCA299" w14:textId="7EAC27F7" w:rsidR="00F84A5E" w:rsidRPr="00F84A5E" w:rsidRDefault="00F84A5E" w:rsidP="00F84A5E">
      <w:pPr>
        <w:ind w:right="-143" w:firstLine="539"/>
        <w:jc w:val="both"/>
        <w:rPr>
          <w:iCs/>
          <w:sz w:val="28"/>
          <w:szCs w:val="28"/>
        </w:rPr>
      </w:pPr>
      <w:r/>
    </w:p>
    <w:p w14:paraId="799EE8C6" w14:textId="77777777"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firstRow="1" w:lastRow="1" w:firstColumn="1" w:lastColumn="1" w:noHBand="0" w:noVBand="0"/>
      </w:tblPr>
      <w:tblGrid>
        <w:gridCol w:w="5920"/>
        <w:gridCol w:w="4145"/>
      </w:tblGrid>
      <w:tr w:rsidR="00C74AE5" w:rsidRPr="004575A1" w14:paraId="6C2863F2" w14:textId="77777777" w:rsidTr="005D00F9">
        <w:tc>
          <w:tcPr>
            <w:tcW w:w="5920" w:type="dxa"/>
          </w:tcPr>
          <w:p w14:paraId="6055001E" w14:textId="77777777" w:rsidR="00C74AE5" w:rsidRPr="004575A1" w:rsidRDefault="00C74AE5" w:rsidP="00D01840">
            <w:pPr>
              <w:jc w:val="both"/>
              <w:rPr>
                <w:sz w:val="28"/>
                <w:szCs w:val="28"/>
              </w:rPr>
            </w:pPr>
          </w:p>
        </w:tc>
        <w:tc>
          <w:tcPr>
            <w:tcW w:w="4145" w:type="dxa"/>
          </w:tcPr>
          <w:p w14:paraId="37F27968" w14:textId="77777777" w:rsidR="00C74AE5" w:rsidRPr="004575A1" w:rsidRDefault="00C74AE5" w:rsidP="005D00F9">
            <w:pPr>
              <w:ind w:left="540" w:hanging="180"/>
              <w:jc w:val="right"/>
              <w:rPr>
                <w:sz w:val="28"/>
                <w:szCs w:val="28"/>
              </w:rPr>
            </w:pPr>
          </w:p>
        </w:tc>
      </w:tr>
      <w:tr w:rsidR="00C74AE5" w:rsidRPr="00AD3A1A" w14:paraId="46F478C0" w14:textId="77777777" w:rsidTr="005D00F9">
        <w:tc>
          <w:tcPr>
            <w:tcW w:w="5920" w:type="dxa"/>
          </w:tcPr>
          <w:p w14:paraId="648F1A98" w14:textId="77777777" w:rsidR="00C74AE5" w:rsidRPr="00237EC2" w:rsidRDefault="00C74AE5" w:rsidP="00D01840">
            <w:pPr>
              <w:rPr>
                <w:sz w:val="28"/>
                <w:szCs w:val="28"/>
              </w:rPr>
            </w:pPr>
          </w:p>
        </w:tc>
        <w:tc>
          <w:tcPr>
            <w:tcW w:w="4145" w:type="dxa"/>
            <w:vAlign w:val="bottom"/>
          </w:tcPr>
          <w:p w14:paraId="60FC37C5" w14:textId="77777777" w:rsidR="00C74AE5" w:rsidRPr="00237EC2" w:rsidRDefault="00C74AE5" w:rsidP="005D00F9">
            <w:pPr>
              <w:rPr>
                <w:sz w:val="28"/>
                <w:szCs w:val="28"/>
              </w:rPr>
            </w:pPr>
          </w:p>
        </w:tc>
      </w:tr>
      <w:tr w:rsidR="00C74AE5" w:rsidRPr="00AD3A1A" w14:paraId="3B0721C1" w14:textId="77777777" w:rsidTr="005D00F9">
        <w:tc>
          <w:tcPr>
            <w:tcW w:w="5920" w:type="dxa"/>
          </w:tcPr>
          <w:p w14:paraId="2BC94514" w14:textId="77777777" w:rsidR="00C74AE5" w:rsidRPr="002A6E2B" w:rsidRDefault="00C74AE5" w:rsidP="00D01840">
            <w:pPr>
              <w:rPr>
                <w:sz w:val="28"/>
                <w:szCs w:val="28"/>
              </w:rPr>
            </w:pPr>
          </w:p>
        </w:tc>
        <w:tc>
          <w:tcPr>
            <w:tcW w:w="4145" w:type="dxa"/>
          </w:tcPr>
          <w:p w14:paraId="636BD63F" w14:textId="77777777" w:rsidR="00C74AE5" w:rsidRPr="002A6E2B" w:rsidRDefault="00C74AE5" w:rsidP="005D00F9">
            <w:pPr>
              <w:rPr>
                <w:sz w:val="28"/>
                <w:szCs w:val="28"/>
              </w:rPr>
            </w:pPr>
          </w:p>
        </w:tc>
      </w:tr>
      <w:tr w:rsidR="00C74AE5" w:rsidRPr="00AD3A1A" w14:paraId="33005AF5" w14:textId="77777777" w:rsidTr="005D00F9">
        <w:tc>
          <w:tcPr>
            <w:tcW w:w="5920" w:type="dxa"/>
          </w:tcPr>
          <w:p w14:paraId="1BA6AE0D" w14:textId="6EC8306F"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14:paraId="646FE064" w14:textId="7379FD6E" w:rsidR="00C74AE5" w:rsidRPr="00C74AE5" w:rsidRDefault="00C74AE5" w:rsidP="005D00F9">
            <w:pPr>
              <w:jc w:val="right"/>
              <w:rPr>
                <w:sz w:val="28"/>
                <w:szCs w:val="28"/>
              </w:rPr>
            </w:pPr>
            <w:r>
              <w:rPr>
                <w:sz w:val="28"/>
                <w:szCs w:val="28"/>
              </w:rPr>
              <w:t>Иванов И.И.</w:t>
            </w:r>
          </w:p>
        </w:tc>
      </w:tr>
    </w:tbl>
    <w:p w14:paraId="2FAE41CC" w14:textId="78859152" w:rsidR="00C74AE5" w:rsidRDefault="00E52DCB" w:rsidP="00C74AE5">
      <w:pPr>
        <w:rPr>
          <w:sz w:val="20"/>
        </w:rPr>
      </w:pPr>
      <w:r w:rsidRPr="00B22FDF">
        <w:rPr>
          <w:color w:val="FF0000"/>
          <w:sz w:val="28"/>
          <w:szCs w:val="28"/>
          <w:lang w:val="en-US"/>
        </w:rPr>
      </w:r>
      <w:r>
        <w:rPr>
          <w:color w:val="FF0000"/>
          <w:sz w:val="28"/>
          <w:szCs w:val="28"/>
        </w:rPr>
      </w:r>
      <w:r w:rsidRPr="00B22FDF">
        <w:rPr>
          <w:color w:val="FF0000"/>
          <w:sz w:val="28"/>
          <w:szCs w:val="28"/>
          <w:lang w:val="en-US"/>
        </w:rPr>
      </w:r>
      <w:r>
        <w:rPr>
          <w:color w:val="FF0000"/>
          <w:sz w:val="28"/>
          <w:szCs w:val="28"/>
        </w:rPr>
      </w:r>
      <w:r w:rsidRPr="00B22FDF">
        <w:rPr>
          <w:color w:val="FF0000"/>
          <w:sz w:val="28"/>
          <w:szCs w:val="28"/>
          <w:lang w:val="en-US"/>
        </w:rPr>
      </w:r>
      <w:r>
        <w:t>01.08.2025 г.</w:t>
      </w:r>
    </w:p>
    <w:p w14:paraId="475E3D8D" w14:textId="056C1DC6" w:rsidR="00345710" w:rsidRPr="00345710" w:rsidRDefault="00345710" w:rsidP="00345710">
      <w:pPr>
        <w:rPr>
          <w:sz w:val="20"/>
        </w:rPr>
      </w:pPr>
    </w:p>
    <w:p w14:paraId="6CCC11C5" w14:textId="77777777"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14:paraId="1F7FC7E8" w14:textId="6759D956"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14:paraId="3D5BFC84" w14:textId="77777777"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14:paraId="0CF31F1C" w14:textId="77777777" w:rsidR="000774F1" w:rsidRDefault="000774F1" w:rsidP="000774F1">
      <w:pPr>
        <w:jc w:val="both"/>
        <w:rPr>
          <w:sz w:val="28"/>
          <w:szCs w:val="28"/>
        </w:rPr>
      </w:pPr>
    </w:p>
    <w:p w14:paraId="65FD2FC4" w14:textId="6E6760A9" w:rsidR="000774F1" w:rsidRDefault="000774F1" w:rsidP="000774F1">
      <w:pPr>
        <w:autoSpaceDE w:val="0"/>
        <w:autoSpaceDN w:val="0"/>
        <w:adjustRightInd w:val="0"/>
        <w:ind w:firstLine="567"/>
        <w:jc w:val="both"/>
        <w:rPr>
          <w:iCs/>
          <w:sz w:val="28"/>
          <w:szCs w:val="28"/>
        </w:rPr>
      </w:pPr>
      <w:r>
        <w:rPr>
          <w:sz w:val="28"/>
          <w:szCs w:val="28"/>
        </w:rPr>
      </w:r>
      <w:r>
        <w:rPr>
          <w:color w:val="FF0000"/>
          <w:sz w:val="28"/>
          <w:szCs w:val="28"/>
        </w:rPr>
      </w:r>
      <w:r w:rsidR="00BD06FB">
        <w:rPr>
          <w:color w:val="FF0000"/>
          <w:sz w:val="28"/>
          <w:szCs w:val="28"/>
        </w:rPr>
      </w:r>
      <w:r w:rsidR="00D4319B">
        <w:rPr>
          <w:rFonts w:eastAsiaTheme="minorEastAsia"/>
          <w:color w:val="FF0000"/>
          <w:sz w:val="28"/>
          <w:szCs w:val="28"/>
          <w:lang w:val="en-US" w:eastAsia="zh-CN"/>
        </w:rPr>
      </w:r>
      <w:r w:rsidR="00D4319B" w:rsidRPr="00D4319B">
        <w:rPr>
          <w:rFonts w:eastAsiaTheme="minorEastAsia"/>
          <w:color w:val="FF0000"/>
          <w:sz w:val="28"/>
          <w:szCs w:val="28"/>
          <w:lang w:eastAsia="zh-CN"/>
        </w:rPr>
      </w:r>
      <w:r w:rsidR="00D4319B">
        <w:rPr>
          <w:rFonts w:eastAsiaTheme="minorEastAsia"/>
          <w:color w:val="FF0000"/>
          <w:sz w:val="28"/>
          <w:szCs w:val="28"/>
          <w:lang w:val="en-US" w:eastAsia="zh-CN"/>
        </w:rPr>
      </w:r>
      <w:r w:rsidR="00BD06FB">
        <w:rPr>
          <w:rFonts w:eastAsiaTheme="minorEastAsia"/>
          <w:color w:val="FF0000"/>
          <w:sz w:val="28"/>
          <w:szCs w:val="28"/>
          <w:lang w:eastAsia="zh-CN"/>
        </w:rPr>
      </w:r>
      <w:r>
        <w:rPr>
          <w:color w:val="FF0000"/>
          <w:sz w:val="28"/>
          <w:szCs w:val="28"/>
        </w:rPr>
      </w:r>
      <w:r>
        <w:rPr>
          <w:sz w:val="28"/>
          <w:szCs w:val="28"/>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sz w:val="28"/>
          <w:szCs w:val="28"/>
        </w:rPr>
      </w:r>
      <w:r>
        <w:rPr>
          <w:sz w:val="28"/>
          <w:szCs w:val="28"/>
        </w:rPr>
      </w:r>
      <w:r>
        <w:rPr>
          <w:iCs/>
          <w:sz w:val="28"/>
          <w:szCs w:val="28"/>
        </w:rPr>
      </w:r>
      <w:r>
        <w:t>При проведении сравнения инструкции лекарственного средства Гадобутрол, 1 ммоль/мл, раствор для внутривенного введения с эталоном Гадовист ® , 1 ммоль/мл, раствор для внутривенного введения выявлены следующие различия:</w:t>
      </w:r>
    </w:p>
    <w:p w14:paraId="4E9750D2" w14:textId="1F9F0C3D" w:rsidR="000774F1" w:rsidRDefault="000774F1" w:rsidP="000774F1">
      <w:pPr>
        <w:autoSpaceDE w:val="0"/>
        <w:autoSpaceDN w:val="0"/>
        <w:adjustRightInd w:val="0"/>
        <w:ind w:firstLine="567"/>
        <w:jc w:val="both"/>
        <w:rPr>
          <w:iCs/>
          <w:sz w:val="28"/>
          <w:szCs w:val="28"/>
        </w:rPr>
      </w:pPr>
    </w:p>
    <w:tbl>
      <w:tblPr>
        <w:tblStyle w:val="af1"/>
        <w:tblW w:w="0" w:type="auto"/>
        <w:tblLook w:val="04A0" w:firstRow="1" w:lastRow="0" w:firstColumn="1" w:lastColumn="0" w:noHBand="0" w:noVBand="1"/>
      </w:tblPr>
      <w:tblGrid>
        <w:gridCol w:w="7280"/>
        <w:gridCol w:w="7280"/>
      </w:tblGrid>
      <w:tr w:rsidR="00FB11A4" w14:paraId="6E603230" w14:textId="77777777" w:rsidTr="00E94612">
        <w:tc>
          <w:tcPr>
            <w:tcW w:w="7280" w:type="dxa"/>
          </w:tcPr>
          <w:p w14:paraId="66304990" w14:textId="38911545"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b/>
                <w:bCs/>
                <w:color w:val="FF0000"/>
                <w:sz w:val="28"/>
                <w:szCs w:val="28"/>
                <w:lang w:val="en-US"/>
              </w:rPr>
            </w:r>
            <w:r w:rsidRPr="00932124">
              <w:rPr>
                <w:b/>
                <w:bCs/>
                <w:color w:val="FF0000"/>
                <w:sz w:val="28"/>
                <w:szCs w:val="28"/>
              </w:rPr>
            </w:r>
            <w:r w:rsidRPr="00932124">
              <w:rPr>
                <w:b/>
                <w:bCs/>
                <w:color w:val="FF0000"/>
                <w:sz w:val="28"/>
                <w:szCs w:val="28"/>
                <w:lang w:val="en-US"/>
              </w:rPr>
            </w:r>
            <w:proofErr w:type="gramStart"/>
            <w:r w:rsidRPr="00932124">
              <w:rPr>
                <w:b/>
                <w:bCs/>
                <w:color w:val="FF0000"/>
                <w:sz w:val="28"/>
                <w:szCs w:val="28"/>
              </w:rPr>
            </w:r>
            <w:r w:rsidRPr="00932124">
              <w:rPr>
                <w:b/>
                <w:bCs/>
                <w:sz w:val="28"/>
                <w:szCs w:val="28"/>
              </w:rPr>
            </w:r>
            <w:r w:rsidRPr="00932124">
              <w:rPr>
                <w:b/>
                <w:bCs/>
              </w:rPr>
            </w:r>
            <w:proofErr w:type="gramEnd"/>
            <w:r w:rsidRPr="00932124">
              <w:rPr>
                <w:b/>
                <w:bCs/>
              </w:rPr>
            </w:r>
            <w:r>
              <w:t>Гадовист ® , 1 ммоль/мл, раствор для внутривенного введения  (референтный)</w:t>
            </w:r>
          </w:p>
        </w:tc>
        <w:tc>
          <w:tcPr>
            <w:tcW w:w="7280" w:type="dxa"/>
          </w:tcPr>
          <w:p w14:paraId="658304E8" w14:textId="451B4C57"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rFonts w:eastAsiaTheme="minorEastAsia"/>
                <w:b/>
                <w:bCs/>
                <w:color w:val="FF0000"/>
                <w:sz w:val="28"/>
                <w:szCs w:val="28"/>
                <w:lang w:val="en-US" w:eastAsia="zh-CN"/>
              </w:rPr>
            </w:r>
            <w:proofErr w:type="gramStart"/>
            <w:r w:rsidRPr="00932124">
              <w:rPr>
                <w:rFonts w:eastAsiaTheme="minorEastAsia"/>
                <w:b/>
                <w:bCs/>
                <w:color w:val="FF0000"/>
                <w:sz w:val="28"/>
                <w:szCs w:val="28"/>
                <w:lang w:eastAsia="zh-CN"/>
              </w:rPr>
            </w:r>
            <w:r w:rsidRPr="00932124">
              <w:rPr>
                <w:b/>
                <w:bCs/>
                <w:color w:val="FF0000"/>
                <w:sz w:val="28"/>
                <w:szCs w:val="28"/>
              </w:rPr>
            </w:r>
            <w:r w:rsidRPr="00932124">
              <w:rPr>
                <w:b/>
                <w:bCs/>
                <w:sz w:val="28"/>
                <w:szCs w:val="28"/>
              </w:rPr>
            </w:r>
            <w:r w:rsidRPr="00932124">
              <w:rPr>
                <w:b/>
                <w:bCs/>
              </w:rPr>
            </w:r>
            <w:proofErr w:type="gramEnd"/>
            <w:r w:rsidRPr="00932124">
              <w:rPr>
                <w:b/>
                <w:bCs/>
              </w:rPr>
            </w:r>
            <w:r>
              <w:t>Гадобутрол, 1 ммоль/мл, раствор для внутривенного введения  (оцениваемый)</w:t>
            </w:r>
          </w:p>
        </w:tc>
      </w:tr>
      <w:tr w:rsidR="00732AD7" w14:paraId="3A09161D" w14:textId="77777777" w:rsidTr="00E94612">
        <w:tc>
          <w:tcPr>
            <w:tcW w:w="7280" w:type="dxa"/>
          </w:tcPr>
          <w:p w14:paraId="57279A0E" w14:textId="6DE45E94" w:rsidR="00732AD7" w:rsidRPr="00732AD7" w:rsidRDefault="00732AD7" w:rsidP="00732AD7">
            <w:pPr>
              <w:autoSpaceDE w:val="0"/>
              <w:autoSpaceDN w:val="0"/>
              <w:adjustRightInd w:val="0"/>
              <w:ind w:left="113"/>
              <w:jc w:val="both"/>
              <w:rPr>
                <w:b/>
                <w:spacing w:val="1"/>
                <w:sz w:val="24"/>
                <w:szCs w:val="24"/>
              </w:rPr>
            </w:pPr>
            <w:r w:rsidRPr="00833151">
              <w:rPr>
                <w:b/>
                <w:spacing w:val="1"/>
                <w:sz w:val="24"/>
                <w:szCs w:val="24"/>
              </w:rPr>
              <w:t>1. Что из себя представляет препарат Х, и для чего его применяют</w:t>
            </w:r>
          </w:p>
          <w:p/>
        </w:tc>
        <w:tc>
          <w:tcPr>
            <w:tcW w:w="7280" w:type="dxa"/>
          </w:tcPr>
          <w:p w14:paraId="254DF051" w14:textId="6D0D40A2" w:rsidR="00732AD7" w:rsidRPr="00732AD7" w:rsidRDefault="00732AD7" w:rsidP="00732AD7">
            <w:pPr>
              <w:autoSpaceDE w:val="0"/>
              <w:autoSpaceDN w:val="0"/>
              <w:adjustRightInd w:val="0"/>
              <w:ind w:left="113"/>
              <w:jc w:val="both"/>
              <w:rPr>
                <w:b/>
                <w:spacing w:val="1"/>
                <w:sz w:val="24"/>
                <w:szCs w:val="24"/>
              </w:rPr>
            </w:pPr>
            <w:r w:rsidRPr="00833151">
              <w:rPr>
                <w:b/>
                <w:spacing w:val="1"/>
                <w:sz w:val="24"/>
                <w:szCs w:val="24"/>
              </w:rPr>
              <w:t>1. Что из себя представляет препарат Х, и для чего его применяют</w:t>
            </w:r>
          </w:p>
          <w:p>
            <w:r>
              <w:rPr>
                <w:color w:val="FF0000"/>
              </w:rPr>
              <w:t>Электронная почта: pharm@roszdravnadzor.gov.ru</w:t>
              <w:br/>
              <w:t xml:space="preserve"> Сайт в информационно-телекоммуникационной сети «Интернет»:</w:t>
              <w:br/>
              <w:t xml:space="preserve"> https://www.roszdravnadzor.gov.ru/</w:t>
            </w:r>
          </w:p>
        </w:tc>
      </w:tr>
      <w:tr w:rsidR="0007116C" w14:paraId="5B7B95CC" w14:textId="77777777" w:rsidTr="00E94612">
        <w:tc>
          <w:tcPr>
            <w:tcW w:w="7280" w:type="dxa"/>
          </w:tcPr>
          <w:p w14:paraId="0ADF122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2. О чем следует знать перед &lt;приемом&gt; &lt;применением&gt; препарата Х</w:t>
            </w:r>
          </w:p>
          <w:p w14:paraId="318750F7" w14:textId="51415A5F" w:rsidR="0007116C" w:rsidRPr="00732AD7" w:rsidRDefault="0007116C" w:rsidP="00732AD7">
            <w:pPr>
              <w:autoSpaceDE w:val="0"/>
              <w:autoSpaceDN w:val="0"/>
              <w:adjustRightInd w:val="0"/>
              <w:ind w:left="113"/>
              <w:jc w:val="both"/>
              <w:rPr>
                <w:b/>
                <w:spacing w:val="1"/>
                <w:sz w:val="24"/>
                <w:szCs w:val="24"/>
              </w:rPr>
            </w:pPr>
          </w:p>
          <w:p/>
        </w:tc>
        <w:tc>
          <w:tcPr>
            <w:tcW w:w="7280" w:type="dxa"/>
          </w:tcPr>
          <w:p w14:paraId="02CC16F9"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2. О чем следует знать перед &lt;приемом&gt; &lt;применением&gt; препарата Х</w:t>
            </w:r>
          </w:p>
          <w:p w14:paraId="2F39E7BA" w14:textId="24CFC18F" w:rsidR="0007116C" w:rsidRPr="00732AD7" w:rsidRDefault="0007116C" w:rsidP="00732AD7">
            <w:pPr>
              <w:autoSpaceDE w:val="0"/>
              <w:autoSpaceDN w:val="0"/>
              <w:adjustRightInd w:val="0"/>
              <w:ind w:left="113"/>
              <w:jc w:val="both"/>
              <w:rPr>
                <w:b/>
                <w:spacing w:val="1"/>
                <w:sz w:val="24"/>
                <w:szCs w:val="24"/>
              </w:rPr>
            </w:pPr>
          </w:p>
          <w:p>
            <w:r>
              <w:rPr>
                <w:color w:val="FF0000"/>
              </w:rPr>
              <w:t>Противопоказания</w:t>
              <w:br/>
              <w:t xml:space="preserve"> Не применяйте препарат Гадобутрол, если:</w:t>
              <w:br/>
              <w:t>у Вас аллергия на гадобутрол или любые другие компоненты препарата (перечисленные в разделе 6 листка-вкладыша).</w:t>
              <w:br/>
              <w:t xml:space="preserve"> Особые указания и меры предосторожности</w:t>
              <w:br/>
              <w:t xml:space="preserve"> Перед применением препарата проконсультируйтесь с лечащим врачом.</w:t>
              <w:br/>
              <w:t xml:space="preserve"> Обязательно проинформируйте врача, если у Вас установлен кардиостимулятор или металлический (ферромагнитный) имплант, так как это обстоятельства, при которых нельзя проводить МРТ.</w:t>
              <w:br/>
              <w:t xml:space="preserve"> До введения препарата Гадобутрол обязательно сообщите лечащему врачу, если у Вас:</w:t>
              <w:br/>
              <w:t>ранее возникали реакции на любые контрастные средства;</w:t>
              <w:br/>
              <w:t>бронхиальная астма или аллергия;</w:t>
              <w:br/>
              <w:t>нарушена функция почек (в том числе, острая и хроническая почечная недостаточность) Использование некоторых гадолинийсодержащих контрастных средств может спровоцировать развитие нефрогенного системного фиброза-заболевания, связанного с утолщением кожи и соединительных тканей. Нефрогенный системный фиброз может приводить к ограничению подвижности суставов, мышечной слабости или нарушению функции внутренних органов, что потенциально может угрожать жизни;</w:t>
              <w:br/>
              <w:t>тяжелые сердечно-сосудистые заболевания;</w:t>
              <w:br/>
              <w:t>склонность к возникновению судорог;</w:t>
              <w:br/>
              <w:t>недавно была или планируется в скором времени пересадка печени.</w:t>
              <w:br/>
              <w:t xml:space="preserve"> Если Вам 65 лет и больше</w:t>
              <w:br/>
              <w:t xml:space="preserve"> Перед применением препарата Ваш лечащий врач может назначить Вам анализ крови, чтобы проверить состояние Ваших почек.</w:t>
              <w:br/>
              <w:t xml:space="preserve"> Аллергические реакции</w:t>
              <w:br/>
              <w:t xml:space="preserve"> После введения препарата Гадобутрол у Вас могут возникнуть аллергические реакции (см. раздел 4 «Возможные нежелательные реакции»). Их выраженность может быть от легкой (сыпь, зуд, отек) до тяжелой (удушье, обморок, шок). В большинстве случаев аллергия развивается в течение от получаса до часа после введения препарата, однако в редких случаях это может случиться позже-через несколько часов или дней. Если после введения препарата у Вас возникла аллергическая реакция, немедленно обратитесь за медицинской помощью.</w:t>
              <w:br/>
              <w:t xml:space="preserve"> Накопление в организме</w:t>
              <w:br/>
              <w:t xml:space="preserve"> Действие препарата Гадобутрол обусловлено содержанием в нем металла под названием гадолиний. Исследования показали, что после проведения обследования небольшое количество гадолиния может оставаться в организме, в том числе в головном мозге.</w:t>
              <w:br/>
              <w:t xml:space="preserve"> Нежелательных реакций из-за накопления гадолиния в головном мозге не наблюдалось.</w:t>
              <w:br/>
              <w:t xml:space="preserve"> Дети</w:t>
              <w:br/>
              <w:t xml:space="preserve"> Если Вашему ребенку менее 1 года, врач будет применять препарат Гадобутрол с применением дополнительных мер осторожности.</w:t>
              <w:br/>
              <w:t xml:space="preserve"> Другие препараты и препарат Гадобутрол</w:t>
              <w:br/>
              <w:t xml:space="preserve"> Сообщите лечащему врачу о том, что Вы принимаете, недавно принимали или можете начать принимать какие-либо другие препараты.</w:t>
              <w:br/>
              <w:t xml:space="preserve"> В особенности, сообщите врачу, если Вы принимаете препараты из группы бетаадреноблокаторов (применяются для лечения высокого артериального давления и других заболеваний сердца).</w:t>
              <w:br/>
              <w:t xml:space="preserve"> Беременность и грудное вскармливание</w:t>
              <w:br/>
              <w:t xml:space="preserve"> 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w:t>
              <w:br/>
              <w:t xml:space="preserve"> Беременность</w:t>
              <w:br/>
              <w:t xml:space="preserve"> Препарат Гадобутрол не следует применять во время беременности, за исключением случаев, когда диагностическое исследование с данным препаратом назначил врач, зная о вашей беременности.</w:t>
              <w:br/>
              <w:t xml:space="preserve"> Грудное вскармливание</w:t>
              <w:br/>
              <w:t xml:space="preserve"> Перед проведением МРТ с применением препарата Гадобутрол обсудите с врачом необходимость прерывания грудного вскармливания на 24 часа после введения препарата.</w:t>
              <w:br/>
              <w:t xml:space="preserve"> Управление транспортными средствами и работа с механизмами</w:t>
              <w:br/>
              <w:t xml:space="preserve"> Применение препарата Гадобутрол может вызывать головокружения и обмороки, поэтому следует воздержаться от управления транспортными средствами или работы с механизмами в течение 24 часов после введения препарата. Проконсультируйтесь с лечащим врачом, если Вы планируете данные виды деятельности.</w:t>
              <w:br/>
              <w:t xml:space="preserve"> Препарат Гадобутрол содержит натрий</w:t>
              <w:br/>
              <w:t xml:space="preserve"> Данный лекарственный препарат содержит менее 1 ммоль (23 мг) натрия на дозу (исходя из среднего количества, вводимого пациенту с массой тела 70 кг), т. е. практически не содержит натрия.</w:t>
            </w:r>
          </w:p>
        </w:tc>
      </w:tr>
      <w:tr w:rsidR="0007116C" w14:paraId="1E094F75" w14:textId="77777777" w:rsidTr="00E94612">
        <w:tc>
          <w:tcPr>
            <w:tcW w:w="7280" w:type="dxa"/>
          </w:tcPr>
          <w:p w14:paraId="275DBAC0"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3. &lt;Прием&gt; &lt;Применение&gt; препарата Х</w:t>
            </w:r>
          </w:p>
          <w:p w14:paraId="2373621D" w14:textId="2E1052AD" w:rsidR="0007116C" w:rsidRPr="00732AD7" w:rsidRDefault="0007116C" w:rsidP="00732AD7">
            <w:pPr>
              <w:autoSpaceDE w:val="0"/>
              <w:autoSpaceDN w:val="0"/>
              <w:adjustRightInd w:val="0"/>
              <w:ind w:left="113"/>
              <w:jc w:val="both"/>
              <w:rPr>
                <w:b/>
                <w:spacing w:val="1"/>
                <w:sz w:val="24"/>
                <w:szCs w:val="24"/>
              </w:rPr>
            </w:pPr>
          </w:p>
          <w:p/>
        </w:tc>
        <w:tc>
          <w:tcPr>
            <w:tcW w:w="7280" w:type="dxa"/>
          </w:tcPr>
          <w:p w14:paraId="68DAD98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3. &lt;Прием&gt; &lt;Применение&gt; препарата Х</w:t>
            </w:r>
          </w:p>
          <w:p w14:paraId="1C87BA78" w14:textId="5334DD08" w:rsidR="0007116C" w:rsidRPr="00732AD7" w:rsidRDefault="0007116C" w:rsidP="00732AD7">
            <w:pPr>
              <w:autoSpaceDE w:val="0"/>
              <w:autoSpaceDN w:val="0"/>
              <w:adjustRightInd w:val="0"/>
              <w:ind w:left="113"/>
              <w:jc w:val="both"/>
              <w:rPr>
                <w:b/>
                <w:spacing w:val="1"/>
                <w:sz w:val="24"/>
                <w:szCs w:val="24"/>
              </w:rPr>
            </w:pPr>
          </w:p>
          <w:p>
            <w:r>
              <w:rPr>
                <w:color w:val="FF0000"/>
              </w:rPr>
              <w:t>Всегда применяйте препарат в полном соответствии с рекомендациями лечащего врача. Препарат Гадобутрол Вам будет вводить врач или медицинская сестра.</w:t>
              <w:br/>
              <w:t xml:space="preserve"> Рекомендуемая доза</w:t>
              <w:br/>
              <w:t xml:space="preserve"> Врач подберет Вам дозу препарата индивидуально в зависимости от массы тела, вида диагностического исследования и других факторов.</w:t>
              <w:br/>
              <w:t xml:space="preserve"> Применение у детей и подростков</w:t>
              <w:br/>
              <w:t xml:space="preserve"> Врач подберет подходящую для Вашего ребенка дозу препарата в зависимости от его массы тела.</w:t>
              <w:br/>
              <w:t xml:space="preserve"> Путь и (или) способ введения</w:t>
              <w:br/>
              <w:t xml:space="preserve"> Препарат Гадобутрол вводится внутривенно.</w:t>
              <w:br/>
              <w:t xml:space="preserve"> Препарат Гадобутрол Вам будет вводить врач или медицинская сестра через небольшую иглу в вену. Введение препарата Гадобутрол осуществляется непосредственно перед проведением МРТ-исследования.</w:t>
              <w:br/>
              <w:t xml:space="preserve"> Если Вы получили препарата Гадобутрол больше, чем следовало</w:t>
              <w:br/>
              <w:t xml:space="preserve"> Подбор дозы и введение препарата Вам выполнит медицинский работник, поэтому маловероятно, что Вы получите слишком большую дозу препарата. Однако, если это произойдет, Ваш лечащий врач будет наблюдать за Вами, чтобы контролировать любые последующие симптомы.</w:t>
              <w:br/>
              <w:t xml:space="preserve"> При наличии вопросов по применению препарата, обратитесь к Вашему лечащему врачу.</w:t>
            </w:r>
          </w:p>
        </w:tc>
      </w:tr>
      <w:tr w:rsidR="00732AD7" w14:paraId="4FE185C9" w14:textId="77777777" w:rsidTr="00E94612">
        <w:tc>
          <w:tcPr>
            <w:tcW w:w="7280" w:type="dxa"/>
          </w:tcPr>
          <w:p w14:paraId="19D65D91"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4. Возможные нежелательные реакции</w:t>
            </w:r>
          </w:p>
          <w:p w14:paraId="5ECF6D2F" w14:textId="77777777" w:rsidR="00732AD7" w:rsidRPr="00510794" w:rsidRDefault="00732AD7" w:rsidP="00732AD7">
            <w:pPr>
              <w:autoSpaceDE w:val="0"/>
              <w:autoSpaceDN w:val="0"/>
              <w:adjustRightInd w:val="0"/>
              <w:ind w:left="113"/>
              <w:jc w:val="both"/>
              <w:rPr>
                <w:b/>
                <w:spacing w:val="1"/>
                <w:sz w:val="24"/>
                <w:szCs w:val="24"/>
              </w:rPr>
            </w:pPr>
          </w:p>
          <w:p>
            <w:r>
              <w:rPr>
                <w:color w:val="008000"/>
              </w:rPr>
              <w:t>&lt;!</w:t>
            </w:r>
            <w:r>
              <w:t>-</w:t>
            </w:r>
            <w:r>
              <w:t>-</w:t>
            </w:r>
            <w:r>
              <w:rPr>
                <w:color w:val="008000"/>
              </w:rPr>
              <w:t xml:space="preserve"> image --&gt;</w:t>
              <w:br/>
              <w:t xml:space="preserve"> Подготовка к использовани</w:t>
            </w:r>
            <w:r>
              <w:t>ю</w:t>
            </w:r>
            <w:r>
              <w:t xml:space="preserve"> (</w:t>
            </w:r>
            <w:r>
              <w:rPr>
                <w:color w:val="008000"/>
              </w:rPr>
              <w:t>только для предварительно наполненных шприцев из стекла</w:t>
            </w:r>
            <w:r>
              <w:t>):</w:t>
              <w:br/>
            </w:r>
            <w:r>
              <w:rPr>
                <w:color w:val="008000"/>
              </w:rPr>
              <w:t>&lt;!</w:t>
            </w:r>
            <w:r>
              <w:t>-</w:t>
            </w:r>
            <w:r>
              <w:t>-</w:t>
            </w:r>
            <w:r>
              <w:rPr>
                <w:color w:val="008000"/>
              </w:rPr>
              <w:t xml:space="preserve"> image </w:t>
            </w:r>
            <w:r>
              <w:t>-</w:t>
            </w:r>
            <w:r>
              <w:t>-</w:t>
            </w:r>
            <w:r>
              <w:rPr>
                <w:color w:val="008000"/>
              </w:rPr>
              <w:t>&gt;</w:t>
            </w:r>
          </w:p>
        </w:tc>
        <w:tc>
          <w:tcPr>
            <w:tcW w:w="7280" w:type="dxa"/>
          </w:tcPr>
          <w:p w14:paraId="569C93DE" w14:textId="2F1A0BCC" w:rsidR="00732AD7" w:rsidRPr="00732AD7" w:rsidRDefault="00732AD7" w:rsidP="00732AD7">
            <w:pPr>
              <w:autoSpaceDE w:val="0"/>
              <w:autoSpaceDN w:val="0"/>
              <w:adjustRightInd w:val="0"/>
              <w:ind w:left="113"/>
              <w:jc w:val="both"/>
              <w:rPr>
                <w:b/>
                <w:spacing w:val="1"/>
                <w:sz w:val="24"/>
                <w:szCs w:val="24"/>
              </w:rPr>
            </w:pPr>
            <w:r w:rsidRPr="00510794">
              <w:rPr>
                <w:b/>
                <w:spacing w:val="1"/>
                <w:sz w:val="24"/>
                <w:szCs w:val="24"/>
              </w:rPr>
              <w:t>4. Возможные нежелательные реакции</w:t>
            </w:r>
          </w:p>
          <w:p>
            <w:r>
              <w:rPr>
                <w:color w:val="FF0000"/>
              </w:rPr>
              <w:t>Подобно всем лекарственным препаратам, препарат Гадобутрол может вызывать нежелательные реакции, однако они возникают не у всех.</w:t>
              <w:br/>
              <w:t xml:space="preserve"> Наиболее серьезными нежелательными реакциями при применении препарата Гадобутрол являются тяжелые аллергические реакции (анафилактоидные реакции) и остановка сердца.</w:t>
              <w:br/>
              <w:t xml:space="preserve"> Немедленно обратитесь за медицинской помощью, если Вы испытываете какие</w:t>
            </w:r>
            <w:r>
              <w:t>-</w:t>
            </w:r>
            <w:r>
              <w:rPr>
                <w:color w:val="FF0000"/>
              </w:rPr>
              <w:t>либо из следующих признаков:</w:t>
              <w:br/>
              <w:t>затрудненное дыхание;</w:t>
              <w:br/>
              <w:t>отек языка, горла или лица;</w:t>
              <w:br/>
              <w:t>насморк, чихание, кашель;</w:t>
              <w:br/>
              <w:t>покраснение, слезотечение, зуд в области глаз;</w:t>
              <w:br/>
              <w:t>сыпь;</w:t>
              <w:br/>
              <w:t>зуд.</w:t>
              <w:br/>
              <w:t xml:space="preserve"> Данные нежелательные реакции могут быть первыми проявлениями серьезной аллергической реакции.</w:t>
              <w:br/>
              <w:t xml:space="preserve"> В большинстве случаев аллергические реакции развиваются в течение от получаса до часа после введения препарата, однако в редких случаях это может случиться позже</w:t>
            </w:r>
            <w:r>
              <w:t>-</w:t>
            </w:r>
            <w:r>
              <w:rPr>
                <w:color w:val="FF0000"/>
              </w:rPr>
              <w:t>через несколько часов или дней.</w:t>
              <w:br/>
              <w:t xml:space="preserve"> Возможные нежелательные реакции, которые могут набл</w:t>
            </w:r>
            <w:r>
              <w:t>ю</w:t>
            </w:r>
            <w:r>
              <w:rPr>
                <w:color w:val="FF0000"/>
              </w:rPr>
              <w:t>даться при применении препарата Гадобутрол в зависимости от частоты их возникновения:</w:t>
              <w:br/>
              <w:t xml:space="preserve"> Часто</w:t>
            </w:r>
            <w:r>
              <w:t xml:space="preserve"> (</w:t>
            </w:r>
            <w:r>
              <w:rPr>
                <w:color w:val="FF0000"/>
              </w:rPr>
              <w:t>могут возникать не более чем у 1 человека из 10</w:t>
            </w:r>
            <w:r>
              <w:t>):</w:t>
              <w:br/>
            </w:r>
            <w:r>
              <w:rPr>
                <w:color w:val="FF0000"/>
              </w:rPr>
              <w:t>головная боль;</w:t>
              <w:br/>
              <w:t>тошнота.</w:t>
              <w:br/>
              <w:t xml:space="preserve"> Нечасто (могут возникать не более чем у 1 человека из 100):</w:t>
              <w:br/>
              <w:t xml:space="preserve"> Аллергические и аллергоподобные реакции (гиперчувствительность/анафилактоидные реакции):</w:t>
              <w:br/>
              <w:t>анафилактоидный шок;</w:t>
              <w:br/>
              <w:t>сердечно</w:t>
            </w:r>
            <w:r>
              <w:t>-</w:t>
            </w:r>
            <w:r>
              <w:rPr>
                <w:color w:val="FF0000"/>
              </w:rPr>
              <w:t>сосудистая недостаточность;</w:t>
              <w:br/>
              <w:t>остановка дыхания;</w:t>
              <w:br/>
              <w:t>отек легких;</w:t>
              <w:br/>
              <w:t>затрудненное дыхание вплоть до удушья (бронхоспазм);</w:t>
              <w:br/>
              <w:t>синюшность кожи (цианоз);</w:t>
              <w:br/>
              <w:t>ротоглоточный отек;</w:t>
              <w:br/>
              <w:t>отек гортани;</w:t>
              <w:br/>
              <w:t>снижение артериального давления (гипотензия);</w:t>
              <w:br/>
              <w:t>повышение артериального давления;</w:t>
              <w:br/>
              <w:t>боль в груди;</w:t>
              <w:br/>
              <w:t>крапивница;</w:t>
              <w:br/>
              <w:t>отек лица;</w:t>
              <w:br/>
              <w:t>быстро развивающийся отек кожи, слизистых оболочек и подкожной жировой клетчатки (отек Квинке);</w:t>
              <w:br/>
              <w:t>конъюнктивит;</w:t>
              <w:br/>
              <w:t>отек век;</w:t>
              <w:br/>
              <w:t>«приливы»;</w:t>
              <w:br/>
              <w:t>усиленная потливость;</w:t>
              <w:br/>
              <w:t>кашель;</w:t>
              <w:br/>
              <w:t>чихание;</w:t>
              <w:br/>
              <w:t>ощущение жара;</w:t>
              <w:br/>
              <w:t>бледность;</w:t>
              <w:br/>
              <w:t xml:space="preserve"> Другие нежелательные реакции:</w:t>
              <w:br/>
              <w:t>головокружение;</w:t>
              <w:br/>
              <w:t>нарушение восприятия вкуса (дисгевзия);</w:t>
              <w:br/>
              <w:t>онемение или покалывание кожи (парестезия);</w:t>
              <w:br/>
              <w:t>одышка;</w:t>
              <w:br/>
              <w:t>рвота;</w:t>
              <w:br/>
              <w:t>сыпь в виде мишеней на коже (эритема);</w:t>
              <w:br/>
              <w:t>сыпь (включая красную сыпь на коже (макулопапулезную сыпь) с зудом);</w:t>
              <w:br/>
              <w:t>реакции в месте введения, такие как жжение, ощущение холода или тепла, покраснение, сыпь, боль, синяк;</w:t>
              <w:br/>
              <w:t>ощущение жара.</w:t>
              <w:br/>
              <w:t xml:space="preserve"> Редко</w:t>
            </w:r>
            <w:r>
              <w:t>-</w:t>
            </w:r>
            <w:r>
              <w:rPr>
                <w:color w:val="FF0000"/>
              </w:rPr>
              <w:t>могут возникать не более чем у 1 человека из 1 000:</w:t>
              <w:br/>
              <w:t>потеря сознания (обморок);</w:t>
              <w:br/>
              <w:t>судороги;</w:t>
              <w:br/>
              <w:t>искажение восприятия запахов (паросмия);</w:t>
              <w:br/>
              <w:t>учащенное сердцебиение (тахикардия);</w:t>
              <w:br/>
              <w:t>ощущение сердцебиения;</w:t>
              <w:br/>
              <w:t>сухость во рту;</w:t>
              <w:br/>
              <w:t>озноб;</w:t>
              <w:br/>
              <w:t>недомогание.</w:t>
              <w:br/>
              <w:t xml:space="preserve"> Частота неизвестна (исходя из имеющихся данных частоту возникновения определить невозможно):</w:t>
              <w:br/>
              <w:t>остановка сердца;</w:t>
              <w:br/>
              <w:t>развитие нефрогенного системного фиброза</w:t>
            </w:r>
            <w:r>
              <w:t>-</w:t>
            </w:r>
            <w:r>
              <w:rPr>
                <w:color w:val="FF0000"/>
              </w:rPr>
              <w:t>заболевания, связанного с утолщением кожи и соединительных тканей. Нефрогенный системный фиброз может приводить к ограничению подвижности суставов, мышечной слабости или нарушению функции внутренних органов, что потенциально может угрожать жизни.</w:t>
              <w:br/>
              <w:t xml:space="preserve"> В случае возникновения какой</w:t>
            </w:r>
            <w:r>
              <w:t>-</w:t>
            </w:r>
            <w:r>
              <w:rPr>
                <w:color w:val="FF0000"/>
              </w:rPr>
              <w:t>либо нежелательной реакции обратитесь к врачу.</w:t>
              <w:br/>
              <w:t xml:space="preserve"> Сообщение о нежелательных реакциях</w:t>
              <w:br/>
              <w:t xml:space="preserve"> Если у Вас возникают какие-либо нежелательные реакции, проконсультируйтесь с врачом или медицинской сестрой. К ним также относятся любые нежелательные реакции, не указанные в листке-вкладыше. Вы также можете сообщить о нежелательных реакциях напрямую (см. ниже). Сообщая о нежелательных реакциях, Вы помогаете получить больше сведений о безопасности препарата.</w:t>
              <w:br/>
              <w:t xml:space="preserve"> Российская Федерация.</w:t>
              <w:br/>
              <w:t xml:space="preserve"> Федеральная служба по надзору в сфере здравоохранения.</w:t>
              <w:br/>
              <w:t xml:space="preserve"> Адрес: 109012, г. Москва, Славянская площадь, д. 4, стр.</w:t>
            </w:r>
          </w:p>
        </w:tc>
      </w:tr>
      <w:tr w:rsidR="00732AD7" w14:paraId="6BD0AEF6" w14:textId="77777777" w:rsidTr="00E94612">
        <w:tc>
          <w:tcPr>
            <w:tcW w:w="7280" w:type="dxa"/>
          </w:tcPr>
          <w:p w14:paraId="031D32B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5. Хранение препарата Х</w:t>
            </w:r>
          </w:p>
          <w:p w14:paraId="6EE20260" w14:textId="77777777" w:rsidR="00732AD7" w:rsidRPr="00510794" w:rsidRDefault="00732AD7" w:rsidP="00732AD7">
            <w:pPr>
              <w:autoSpaceDE w:val="0"/>
              <w:autoSpaceDN w:val="0"/>
              <w:adjustRightInd w:val="0"/>
              <w:ind w:left="113"/>
              <w:jc w:val="both"/>
              <w:rPr>
                <w:b/>
                <w:spacing w:val="1"/>
                <w:sz w:val="24"/>
                <w:szCs w:val="24"/>
              </w:rPr>
            </w:pPr>
          </w:p>
          <w:p>
            <w:r>
              <w:t>Храните препарат в недоступном для ребенка месте так, чтобы ребенок не мог увидеть его</w:t>
            </w:r>
            <w:r>
              <w:t>.</w:t>
              <w:br/>
              <w:t xml:space="preserve"> </w:t>
            </w:r>
            <w:r>
              <w:rPr>
                <w:color w:val="008000"/>
              </w:rPr>
              <w:t>Не принима</w:t>
            </w:r>
            <w:r>
              <w:t>й</w:t>
            </w:r>
            <w:r>
              <w:rPr>
                <w:color w:val="008000"/>
              </w:rPr>
              <w:t>те препарат после истечения срока годности (срока хранения), указанного на упаковке</w:t>
            </w:r>
            <w:r>
              <w:t>.</w:t>
              <w:br/>
              <w:t xml:space="preserve"> </w:t>
            </w:r>
            <w:r>
              <w:rPr>
                <w:color w:val="008000"/>
              </w:rPr>
              <w:t>Дат</w:t>
            </w:r>
            <w:r>
              <w:t xml:space="preserve">ой </w:t>
            </w:r>
            <w:r>
              <w:rPr>
                <w:color w:val="008000"/>
              </w:rPr>
              <w:t>истечения срока годности является последний день ука</w:t>
            </w:r>
            <w:r>
              <w:t>за</w:t>
            </w:r>
            <w:r>
              <w:rPr>
                <w:color w:val="008000"/>
              </w:rPr>
              <w:t>нного месяца</w:t>
            </w:r>
            <w:r>
              <w:t>.</w:t>
              <w:br/>
              <w:t xml:space="preserve"> </w:t>
            </w:r>
            <w:r>
              <w:rPr>
                <w:color w:val="008000"/>
              </w:rPr>
              <w:t>Хранить при температуре не выше 30 °С.</w:t>
              <w:br/>
              <w:t xml:space="preserve"> </w:t>
            </w:r>
            <w:r>
              <w:t>Не выбрасывайте (не выливайте) препарат в канализацию</w:t>
            </w:r>
            <w:r>
              <w:rPr>
                <w:color w:val="008000"/>
              </w:rPr>
              <w:t xml:space="preserve"> (водопровод)</w:t>
            </w:r>
            <w:r>
              <w:t>. Уточните у работника аптеки, как следует утилизировать (уничтожать) препарат, который больше не потребуется. Эти меры позволят защитить окружающую среду.</w:t>
            </w:r>
          </w:p>
        </w:tc>
        <w:tc>
          <w:tcPr>
            <w:tcW w:w="7280" w:type="dxa"/>
          </w:tcPr>
          <w:p w14:paraId="7467DDE2"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5. Хранение препарата Х</w:t>
            </w:r>
          </w:p>
          <w:p w14:paraId="6F8210F0" w14:textId="77777777" w:rsidR="00732AD7" w:rsidRPr="00510794" w:rsidRDefault="00732AD7" w:rsidP="00732AD7">
            <w:pPr>
              <w:autoSpaceDE w:val="0"/>
              <w:autoSpaceDN w:val="0"/>
              <w:adjustRightInd w:val="0"/>
              <w:ind w:left="113"/>
              <w:jc w:val="both"/>
              <w:rPr>
                <w:b/>
                <w:spacing w:val="1"/>
                <w:sz w:val="24"/>
                <w:szCs w:val="24"/>
              </w:rPr>
            </w:pPr>
          </w:p>
          <w:p>
            <w:r>
              <w:t>Храните препарат в недоступном для ребенка месте так, чтобы ребенок не мог увидеть его</w:t>
            </w:r>
            <w:r>
              <w:rPr>
                <w:color w:val="FF0000"/>
              </w:rPr>
              <w:t>. Не применяйте препарат после истечения срока годности (срока хранения), указанного на</w:t>
              <w:br/>
              <w:t>упаковке после слов «Годен до:»</w:t>
            </w:r>
            <w:r>
              <w:t>.</w:t>
              <w:br/>
              <w:t xml:space="preserve"> </w:t>
            </w:r>
            <w:r>
              <w:rPr>
                <w:color w:val="FF0000"/>
              </w:rPr>
              <w:t>Дато</w:t>
            </w:r>
            <w:r>
              <w:t>й</w:t>
            </w:r>
            <w:r>
              <w:rPr>
                <w:color w:val="FF0000"/>
              </w:rPr>
              <w:t xml:space="preserve"> истечения срока годности является последний день данного месяца</w:t>
            </w:r>
            <w:r>
              <w:t>.</w:t>
              <w:br/>
              <w:t xml:space="preserve"> </w:t>
            </w:r>
            <w:r>
              <w:rPr>
                <w:color w:val="FF0000"/>
              </w:rPr>
              <w:t>При температуре не выше 30 °С в оригинальн</w:t>
            </w:r>
            <w:r>
              <w:t xml:space="preserve">ой </w:t>
            </w:r>
            <w:r>
              <w:rPr>
                <w:color w:val="FF0000"/>
              </w:rPr>
              <w:t xml:space="preserve">упаковке (флакон в пачке) для </w:t>
            </w:r>
            <w:r>
              <w:t>за</w:t>
            </w:r>
            <w:r>
              <w:rPr>
                <w:color w:val="FF0000"/>
              </w:rPr>
              <w:t>щиты от света и вдали от вторичного рентгеновского излучения месте</w:t>
            </w:r>
            <w:r>
              <w:t>.</w:t>
              <w:br/>
              <w:t xml:space="preserve"> </w:t>
            </w:r>
            <w:r>
              <w:t>Не выбрасывайте (не выливайте) препарат в канализацию</w:t>
            </w:r>
            <w:r>
              <w:t>. Уточните у работника аптеки, как следует утилизировать (уничтожать) препарат, который больше не потребуется. Эти меры позволят защитить окружающую среду.</w:t>
            </w:r>
          </w:p>
        </w:tc>
      </w:tr>
      <w:tr w:rsidR="00732AD7" w14:paraId="41BDF0A8" w14:textId="77777777" w:rsidTr="00E94612">
        <w:tc>
          <w:tcPr>
            <w:tcW w:w="7280" w:type="dxa"/>
          </w:tcPr>
          <w:p w14:paraId="1B7F9296"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6. Содержимое упаковки и дополнительные сведения</w:t>
            </w:r>
          </w:p>
          <w:p w14:paraId="4F8E6836" w14:textId="77777777" w:rsidR="00732AD7" w:rsidRPr="00510794" w:rsidRDefault="00732AD7" w:rsidP="00732AD7">
            <w:pPr>
              <w:autoSpaceDE w:val="0"/>
              <w:autoSpaceDN w:val="0"/>
              <w:adjustRightInd w:val="0"/>
              <w:ind w:left="113"/>
              <w:jc w:val="both"/>
              <w:rPr>
                <w:b/>
                <w:spacing w:val="1"/>
                <w:sz w:val="24"/>
                <w:szCs w:val="24"/>
              </w:rPr>
            </w:pPr>
          </w:p>
          <w:p>
            <w:r>
              <w:t>Препарат Гадо</w:t>
            </w:r>
            <w:r>
              <w:rPr>
                <w:color w:val="008000"/>
              </w:rPr>
              <w:t>вист ®</w:t>
            </w:r>
            <w:r>
              <w:t xml:space="preserve"> содержит</w:t>
              <w:br/>
              <w:t xml:space="preserve"> Действующим веществом является гадобутрол.</w:t>
              <w:br/>
              <w:t xml:space="preserve"> </w:t>
            </w:r>
            <w:r>
              <w:rPr>
                <w:color w:val="008000"/>
              </w:rPr>
              <w:t>1 мл раствора для внутривенного введения</w:t>
            </w:r>
            <w:r>
              <w:t xml:space="preserve"> содержит 1 ммоль (604,720 мг) гадобутрола</w:t>
            </w:r>
            <w:r>
              <w:t>.</w:t>
              <w:br/>
              <w:t xml:space="preserve"> Каждый </w:t>
            </w:r>
            <w:r>
              <w:rPr>
                <w:color w:val="008000"/>
              </w:rPr>
              <w:t>шприц</w:t>
            </w:r>
            <w:r>
              <w:t xml:space="preserve"> с 5 мл препарата содержит 5 ммоль (3023,6 мг) гадобутрола</w:t>
            </w:r>
            <w:r>
              <w:t>.</w:t>
              <w:br/>
              <w:t xml:space="preserve"> Каждый </w:t>
            </w:r>
            <w:r>
              <w:rPr>
                <w:color w:val="008000"/>
              </w:rPr>
              <w:t>шприц</w:t>
            </w:r>
            <w:r>
              <w:t xml:space="preserve"> с 7,5 мл препарата содержит 7,5 ммоль (4535,4 мг) гадобутрола</w:t>
            </w:r>
            <w:r>
              <w:t>.</w:t>
              <w:br/>
              <w:t xml:space="preserve"> Каждый флакон с 15 мл препарата содержит 15 ммоль (9070,8 мг) гадобутрола</w:t>
            </w:r>
            <w:r>
              <w:t>.</w:t>
              <w:br/>
              <w:t xml:space="preserve"> Каждый флакон с 30 мл препарата содержит 30 ммоль (18141,6 мг) гадобутрола</w:t>
            </w:r>
            <w:r>
              <w:t>.</w:t>
              <w:br/>
              <w:t xml:space="preserve"> Прочими ингредиентами (вспомогательными веществами</w:t>
            </w:r>
            <w:r>
              <w:rPr>
                <w:color w:val="008000"/>
              </w:rPr>
              <w:t xml:space="preserve"> </w:t>
            </w:r>
            <w:r>
              <w:t>) являются</w:t>
            </w:r>
            <w:r>
              <w:rPr>
                <w:color w:val="008000"/>
              </w:rPr>
              <w:t>:</w:t>
              <w:br/>
              <w:t>кал</w:t>
            </w:r>
            <w:r>
              <w:t>кобутрол натрия</w:t>
            </w:r>
            <w:r>
              <w:rPr>
                <w:color w:val="008000"/>
              </w:rPr>
              <w:br/>
            </w:r>
            <w:r>
              <w:t>хлор</w:t>
            </w:r>
            <w:r>
              <w:rPr>
                <w:color w:val="008000"/>
              </w:rPr>
              <w:t>оводородная кислота</w:t>
            </w:r>
            <w:r>
              <w:t xml:space="preserve"> 1</w:t>
            </w:r>
            <w:r>
              <w:t>М</w:t>
            </w:r>
            <w:r>
              <w:rPr>
                <w:color w:val="008000"/>
              </w:rPr>
              <w:br/>
              <w:t>трометамол</w:t>
              <w:br/>
            </w:r>
            <w:r>
              <w:t>вода для инъекций</w:t>
            </w:r>
            <w:r>
              <w:rPr>
                <w:color w:val="008000"/>
              </w:rPr>
              <w:br/>
            </w:r>
            <w:r>
              <w:t xml:space="preserve"> Препарат Гадо</w:t>
            </w:r>
            <w:r>
              <w:rPr>
                <w:color w:val="008000"/>
              </w:rPr>
              <w:t>вист ®</w:t>
            </w:r>
            <w:r>
              <w:t xml:space="preserve"> содержит натрий (см. раздел 2).</w:t>
              <w:br/>
              <w:t xml:space="preserve"> Внешний вид препарата Гадо</w:t>
            </w:r>
            <w:r>
              <w:rPr>
                <w:color w:val="008000"/>
              </w:rPr>
              <w:t>вист ®</w:t>
            </w:r>
            <w:r>
              <w:t xml:space="preserve"> и содержимое упаковки</w:t>
              <w:br/>
              <w:t xml:space="preserve"> Раствор для внутривенного введения.</w:t>
              <w:br/>
              <w:t xml:space="preserve"> Пр</w:t>
            </w:r>
            <w:r>
              <w:rPr>
                <w:color w:val="008000"/>
              </w:rPr>
              <w:t>епарат Гадовист ® представляет со</w:t>
            </w:r>
            <w:r>
              <w:t>б</w:t>
            </w:r>
            <w:r>
              <w:rPr>
                <w:color w:val="008000"/>
              </w:rPr>
              <w:t>о</w:t>
            </w:r>
            <w:r>
              <w:t xml:space="preserve">й </w:t>
            </w:r>
            <w:r>
              <w:rPr>
                <w:color w:val="008000"/>
              </w:rPr>
              <w:t>про</w:t>
            </w:r>
            <w:r>
              <w:t>з</w:t>
            </w:r>
            <w:r>
              <w:rPr>
                <w:color w:val="008000"/>
              </w:rPr>
              <w:t xml:space="preserve">рачную </w:t>
            </w:r>
            <w:r>
              <w:t>ж</w:t>
            </w:r>
            <w:r>
              <w:rPr>
                <w:color w:val="008000"/>
              </w:rPr>
              <w:t>идкость, свободную от части</w:t>
            </w:r>
            <w:r>
              <w:t>ц</w:t>
            </w:r>
            <w:r>
              <w:t>.</w:t>
              <w:br/>
              <w:t xml:space="preserve"> П</w:t>
            </w:r>
            <w:r>
              <w:rPr>
                <w:color w:val="008000"/>
              </w:rPr>
              <w:t>ри производстве на предприятии «Байер АГ»</w:t>
            </w:r>
            <w:r>
              <w:t>,</w:t>
            </w:r>
            <w:r>
              <w:rPr>
                <w:color w:val="008000"/>
              </w:rPr>
              <w:t xml:space="preserve"> Германия:</w:t>
              <w:br/>
              <w:t xml:space="preserve"> По 15 мл или 30 мл препарата во флаконы из прозрачного бесцветного стекла, укупоренные пробками резиновыми под обкатку колпачками алюминиевыми, закрытыми пластиковыми крышечками. По 1 флакону с 30 мл или по 5 флаконов с 15 мл вместе с листком-вкладышем помещают в картонную пачку, на которой допускается наличие контроля первого вскрытия (перфорация и/или этикетка).</w:t>
              <w:br/>
              <w:t xml:space="preserve"> Предварительно наполненные по 5 мл или</w:t>
            </w:r>
            <w:r>
              <w:t xml:space="preserve"> 7,5 мл</w:t>
            </w:r>
            <w:r>
              <w:rPr>
                <w:color w:val="008000"/>
              </w:rPr>
              <w:t xml:space="preserve"> </w:t>
            </w:r>
            <w:r>
              <w:t>ш</w:t>
            </w:r>
            <w:r>
              <w:rPr>
                <w:color w:val="008000"/>
              </w:rPr>
              <w:t>прицы из бесцветного прозрачного стекла с обратн</w:t>
            </w:r>
            <w:r>
              <w:t xml:space="preserve">ой </w:t>
            </w:r>
            <w:r>
              <w:rPr>
                <w:color w:val="008000"/>
              </w:rPr>
              <w:t>градуировкой и с дополнительным упором для пальцев. По 1 шприцу из</w:t>
              <w:br/>
              <w:t>стекла в блистере. По 5 блистеров вместе с листком</w:t>
            </w:r>
            <w:r>
              <w:t>-</w:t>
            </w:r>
            <w:r>
              <w:rPr>
                <w:color w:val="008000"/>
              </w:rPr>
              <w:t>вкладышем помещают в картонную пачку, на которой допускается наличие контроля первого вскрытия (перфорация и/или этикетка)</w:t>
            </w:r>
            <w:r>
              <w:t>.</w:t>
              <w:br/>
              <w:t xml:space="preserve"> </w:t>
            </w:r>
            <w:r>
              <w:rPr>
                <w:color w:val="008000"/>
              </w:rPr>
              <w:t>Предварительно наполненные по 5 мл или 7,5 мл шприцы</w:t>
            </w:r>
            <w:r>
              <w:t xml:space="preserve"> из б</w:t>
            </w:r>
            <w:r>
              <w:rPr>
                <w:color w:val="008000"/>
              </w:rPr>
              <w:t>есцветного прозра</w:t>
            </w:r>
            <w:r>
              <w:t>чно</w:t>
            </w:r>
            <w:r>
              <w:rPr>
                <w:color w:val="008000"/>
              </w:rPr>
              <w:t>го циклоолефинового полимера с обратно</w:t>
            </w:r>
            <w:r>
              <w:t xml:space="preserve">й </w:t>
            </w:r>
            <w:r>
              <w:rPr>
                <w:color w:val="008000"/>
              </w:rPr>
              <w:t>градуировко</w:t>
            </w:r>
            <w:r>
              <w:t>й и</w:t>
            </w:r>
            <w:r>
              <w:rPr>
                <w:color w:val="008000"/>
              </w:rPr>
              <w:t xml:space="preserve"> с расширенным упором для пальцев. По 5 шприцев из циклоолефинового полимера вместе с листком-вкладышем поме</w:t>
            </w:r>
            <w:r>
              <w:t>щ</w:t>
            </w:r>
            <w:r>
              <w:rPr>
                <w:color w:val="008000"/>
              </w:rPr>
              <w:t>а</w:t>
            </w:r>
            <w:r>
              <w:t>ю</w:t>
            </w:r>
            <w:r>
              <w:rPr>
                <w:color w:val="008000"/>
              </w:rPr>
              <w:t>т в картонную пачку с картонным разделителем, на которой допускается наличие контроля первого вскрытия (перфорация и/или</w:t>
            </w:r>
            <w:r>
              <w:t xml:space="preserve"> этикетк</w:t>
            </w:r>
            <w:r>
              <w:rPr>
                <w:color w:val="008000"/>
              </w:rPr>
              <w:t>а)</w:t>
            </w:r>
            <w:r>
              <w:t>.</w:t>
              <w:br/>
              <w:t xml:space="preserve"> П</w:t>
            </w:r>
            <w:r>
              <w:rPr>
                <w:color w:val="008000"/>
              </w:rPr>
              <w:t>ри про</w:t>
            </w:r>
            <w:r>
              <w:t>из</w:t>
            </w:r>
            <w:r>
              <w:rPr>
                <w:color w:val="008000"/>
              </w:rPr>
              <w:t>водстве на</w:t>
            </w:r>
            <w:r>
              <w:t xml:space="preserve"> ООО «</w:t>
            </w:r>
            <w:r>
              <w:t>Н</w:t>
            </w:r>
            <w:r>
              <w:rPr>
                <w:color w:val="008000"/>
              </w:rPr>
              <w:t>Т</w:t>
            </w:r>
            <w:r>
              <w:t>Ф</w:t>
            </w:r>
            <w:r>
              <w:t>Ф</w:t>
            </w:r>
            <w:r>
              <w:rPr>
                <w:color w:val="008000"/>
              </w:rPr>
              <w:t xml:space="preserve"> «</w:t>
            </w:r>
            <w:r>
              <w:t>П</w:t>
            </w:r>
            <w:r>
              <w:rPr>
                <w:color w:val="008000"/>
              </w:rPr>
              <w:t>ОЛИСАН»</w:t>
            </w:r>
            <w:r>
              <w:t xml:space="preserve">, </w:t>
            </w:r>
            <w:r>
              <w:rPr>
                <w:color w:val="008000"/>
              </w:rPr>
              <w:t>Росс</w:t>
            </w:r>
            <w:r>
              <w:t>ия:</w:t>
              <w:br/>
              <w:t xml:space="preserve"> </w:t>
            </w:r>
            <w:r>
              <w:rPr>
                <w:color w:val="008000"/>
              </w:rPr>
              <w:t>По</w:t>
            </w:r>
            <w:r>
              <w:t xml:space="preserve"> 1</w:t>
            </w:r>
            <w:r>
              <w:rPr>
                <w:color w:val="008000"/>
              </w:rPr>
              <w:t>5 мл препарата во флаконы и</w:t>
            </w:r>
            <w:r>
              <w:t>з</w:t>
            </w:r>
            <w:r>
              <w:rPr>
                <w:color w:val="008000"/>
              </w:rPr>
              <w:t xml:space="preserve"> прозрачного бесцветного стекла</w:t>
            </w:r>
            <w:r>
              <w:t xml:space="preserve">, </w:t>
            </w:r>
            <w:r>
              <w:rPr>
                <w:color w:val="008000"/>
              </w:rPr>
              <w:t>укупоренные пробками резиновыми и под обкатку колпачками алюминиевыми</w:t>
            </w:r>
            <w:r>
              <w:t xml:space="preserve">, </w:t>
            </w:r>
            <w:r>
              <w:rPr>
                <w:color w:val="008000"/>
              </w:rPr>
              <w:t>закрытыми пластиковыми крышечками</w:t>
            </w:r>
            <w:r>
              <w:t xml:space="preserve">. </w:t>
            </w:r>
            <w:r>
              <w:rPr>
                <w:color w:val="008000"/>
              </w:rPr>
              <w:t>По 5 флаконов вместе с листком-вкладышем помещают в картонную пачку</w:t>
            </w:r>
            <w:r>
              <w:t xml:space="preserve">, </w:t>
            </w:r>
            <w:r>
              <w:rPr>
                <w:color w:val="008000"/>
              </w:rPr>
              <w:t xml:space="preserve">на которой допускается нанесение </w:t>
            </w:r>
            <w:r>
              <w:t>эт</w:t>
            </w:r>
            <w:r>
              <w:rPr>
                <w:color w:val="008000"/>
              </w:rPr>
              <w:t>икетки контроля первого вскрытия</w:t>
            </w:r>
            <w:r>
              <w:t>.</w:t>
              <w:br/>
              <w:t xml:space="preserve"> </w:t>
            </w:r>
            <w:r>
              <w:rPr>
                <w:color w:val="008000"/>
              </w:rPr>
              <w:t>Держатель регистрационного удостоверения</w:t>
            </w:r>
            <w:r>
              <w:br/>
              <w:t xml:space="preserve"> </w:t>
            </w:r>
            <w:r>
              <w:rPr>
                <w:color w:val="008000"/>
              </w:rPr>
              <w:t>Байер АГ, Кайзер-Вильгельм-Аллее, 1, 51373 Леверкузен, Германия</w:t>
              <w:br/>
              <w:t xml:space="preserve"> Baye</w:t>
            </w:r>
            <w:r>
              <w:t>r</w:t>
            </w:r>
            <w:r>
              <w:rPr>
                <w:color w:val="008000"/>
              </w:rPr>
              <w:t xml:space="preserve"> AG, Kaiser-Wilhelm-Allee, 1, 51373 Leverkusen, Germany</w:t>
              <w:br/>
              <w:t xml:space="preserve"> Телефон: +49 214 30</w:t>
              <w:br/>
              <w:t xml:space="preserve"> Электронная почта: ph</w:t>
            </w:r>
            <w:r>
              <w:t>arma</w:t>
            </w:r>
            <w:r>
              <w:t>@</w:t>
            </w:r>
            <w:r>
              <w:rPr>
                <w:color w:val="008000"/>
              </w:rPr>
              <w:t>ba</w:t>
            </w:r>
            <w:r>
              <w:t>y</w:t>
            </w:r>
            <w:r>
              <w:rPr>
                <w:color w:val="008000"/>
              </w:rPr>
              <w:t>er.com</w:t>
              <w:br/>
              <w:t xml:space="preserve"> Производитель</w:t>
              <w:br/>
              <w:t xml:space="preserve"> Байер АГ, Мюллерштрассе 178, 13353 Берлин, Германия Bayer AG, Mullerstrasse 178, 13353 Berlin, Germ</w:t>
            </w:r>
            <w:r>
              <w:t>an</w:t>
            </w:r>
            <w:r>
              <w:rPr>
                <w:color w:val="008000"/>
              </w:rPr>
              <w:t>y лит</w:t>
            </w:r>
            <w:r>
              <w:t>.</w:t>
            </w:r>
            <w:r>
              <w:rPr>
                <w:color w:val="008000"/>
              </w:rPr>
              <w:t xml:space="preserve"> А.</w:t>
              <w:br/>
              <w:t xml:space="preserve"> ООО «НТФФ «ПОЛИСАН», Россия, 192102, г. Санкт-Петербург, ул. Салова, д.72, корп. 2,</w:t>
              <w:br/>
              <w:t xml:space="preserve"> 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удостоверения:</w:t>
              <w:br/>
              <w:t xml:space="preserve"> На территории Российской Федерации:</w:t>
              <w:br/>
              <w:t xml:space="preserve"> АО «БАЙЕР»</w:t>
              <w:br/>
              <w:t xml:space="preserve"> 107113, г. Москва, ул. 3я Рыбинская, д. 18, стр. 2, Россия</w:t>
              <w:br/>
              <w:t xml:space="preserve"> Телефон:</w:t>
              <w:br/>
              <w:t>+7 495 231 12 00</w:t>
              <w:br/>
              <w:t xml:space="preserve"> На территории Республики Казахстан:</w:t>
              <w:br/>
              <w:t xml:space="preserve"> ТОО «Байер КАЗ»</w:t>
              <w:br/>
              <w:t xml:space="preserve"> 050057, г.</w:t>
              <w:br/>
              <w:t xml:space="preserve"> Алматы, ул. Тимирязева, 42, павильон 15, офис 301, Казахстан</w:t>
              <w:br/>
              <w:t xml:space="preserve"> Телефон:</w:t>
              <w:br/>
              <w:t>+7 727 258 80 40</w:t>
              <w:br/>
              <w:t xml:space="preserve"> На территории Республики Беларусь:</w:t>
              <w:br/>
              <w:t xml:space="preserve"> 220089, г. Минск, пр. Дзержинского 57, помещение 54, Беларусь</w:t>
              <w:br/>
              <w:t xml:space="preserve"> Телефон:</w:t>
              <w:br/>
              <w:t>+375 17 239 54 20</w:t>
              <w:br/>
              <w:t xml:space="preserve"> На территории Республики Армения:</w:t>
              <w:br/>
              <w:t xml:space="preserve"> 0080, г. Ереван, квартал Саят Нова 8/3, Армения</w:t>
              <w:br/>
              <w:t xml:space="preserve"> Телефон:</w:t>
              <w:br/>
              <w:t>+374 11 20 15 50</w:t>
            </w:r>
            <w:r>
              <w:br/>
              <w:t xml:space="preserve"> Листок-вкладыш пересмотрен</w:t>
              <w:br/>
              <w:t xml:space="preserve"> Прочие источники информации</w:t>
              <w:br/>
              <w:t xml:space="preserve"> Подробные сведения о данном препарате содержатся на веб-сайте Союза</w:t>
            </w:r>
            <w:r>
              <w:rPr>
                <w:color w:val="008000"/>
              </w:rPr>
              <w:br/>
            </w:r>
            <w:r>
              <w:t xml:space="preserve"> http</w:t>
            </w:r>
            <w:r>
              <w:rPr>
                <w:color w:val="008000"/>
              </w:rPr>
              <w:t>s</w:t>
            </w:r>
            <w:r>
              <w:t>://eec.eaeunion.org</w:t>
            </w:r>
            <w:r>
              <w:t>.</w:t>
              <w:br/>
            </w:r>
            <w:r>
              <w:rPr>
                <w:color w:val="008000"/>
              </w:rPr>
              <w:t>-----------------------------------------------------------------------------------------------------------------------------------------</w:t>
            </w:r>
            <w:r>
              <w:br/>
              <w:t xml:space="preserve"> Следующие сведения предназначены исключительно для медицинских работников:</w:t>
              <w:br/>
              <w:t xml:space="preserve"> </w:t>
            </w:r>
            <w:r>
              <w:t>Ре</w:t>
            </w:r>
            <w:r>
              <w:t>ж</w:t>
            </w:r>
            <w:r>
              <w:rPr>
                <w:color w:val="008000"/>
              </w:rPr>
              <w:t>им до</w:t>
            </w:r>
            <w:r>
              <w:t>з</w:t>
            </w:r>
            <w:r>
              <w:rPr>
                <w:color w:val="008000"/>
              </w:rPr>
              <w:t>ирования и спосо</w:t>
            </w:r>
            <w:r>
              <w:t>б</w:t>
            </w:r>
            <w:r>
              <w:rPr>
                <w:color w:val="008000"/>
              </w:rPr>
              <w:t xml:space="preserve"> применения</w:t>
            </w:r>
            <w:r>
              <w:br/>
              <w:t xml:space="preserve"> </w:t>
            </w:r>
            <w:r>
              <w:t xml:space="preserve">Препарат </w:t>
            </w:r>
            <w:r>
              <w:rPr>
                <w:color w:val="008000"/>
              </w:rPr>
              <w:t>Гадовист ® дол</w:t>
            </w:r>
            <w:r>
              <w:t>жен</w:t>
            </w:r>
            <w:r>
              <w:rPr>
                <w:color w:val="008000"/>
              </w:rPr>
              <w:t xml:space="preserve"> применяться только спе</w:t>
            </w:r>
            <w:r>
              <w:t>ци</w:t>
            </w:r>
            <w:r>
              <w:rPr>
                <w:color w:val="008000"/>
              </w:rPr>
              <w:t>алистами</w:t>
            </w:r>
            <w:r>
              <w:t xml:space="preserve"> з</w:t>
            </w:r>
            <w:r>
              <w:rPr>
                <w:color w:val="008000"/>
              </w:rPr>
              <w:t>драво</w:t>
            </w:r>
            <w:r>
              <w:t>ох</w:t>
            </w:r>
            <w:r>
              <w:rPr>
                <w:color w:val="008000"/>
              </w:rPr>
              <w:t>ранения, имеющими клини</w:t>
            </w:r>
            <w:r>
              <w:t>че</w:t>
            </w:r>
            <w:r>
              <w:rPr>
                <w:color w:val="008000"/>
              </w:rPr>
              <w:t>ский опыт проведения</w:t>
            </w:r>
            <w:r>
              <w:t xml:space="preserve"> МР</w:t>
            </w:r>
            <w:r>
              <w:rPr>
                <w:color w:val="008000"/>
              </w:rPr>
              <w:t>Т и исполь</w:t>
            </w:r>
            <w:r>
              <w:t>з</w:t>
            </w:r>
            <w:r>
              <w:rPr>
                <w:color w:val="008000"/>
              </w:rPr>
              <w:t>оваться только в том слу</w:t>
            </w:r>
            <w:r>
              <w:t>ч</w:t>
            </w:r>
            <w:r>
              <w:rPr>
                <w:color w:val="008000"/>
              </w:rPr>
              <w:t>ае, когда нео</w:t>
            </w:r>
            <w:r>
              <w:t>б</w:t>
            </w:r>
            <w:r>
              <w:t>ход</w:t>
            </w:r>
            <w:r>
              <w:rPr>
                <w:color w:val="008000"/>
              </w:rPr>
              <w:t>имая диагностическая информация не может быть получена с помо</w:t>
            </w:r>
            <w:r>
              <w:t>щ</w:t>
            </w:r>
            <w:r>
              <w:rPr>
                <w:color w:val="008000"/>
              </w:rPr>
              <w:t>ью МРТ без усиления контрастности изображения. При проведении магнитно-резонансной томографии должны соблюдаться общепринятые правила безопасност</w:t>
            </w:r>
            <w:r>
              <w:t>и.</w:t>
              <w:br/>
              <w:t xml:space="preserve"> Режим дозирования</w:t>
              <w:br/>
              <w:t xml:space="preserve"> Взрослые</w:t>
              <w:br/>
              <w:t xml:space="preserve"> Рекомендовано однократное внутривенное введение гадобутрола в дозе 0,1 ммоль/кг (эквивалентно 0,1 мл препарата Гадо</w:t>
            </w:r>
            <w:r>
              <w:rPr>
                <w:color w:val="008000"/>
              </w:rPr>
              <w:t>вист ®</w:t>
            </w:r>
            <w:r>
              <w:t xml:space="preserve"> на 1 кг массы тела). Максимальная доза гадобутрола для исследований центральной нервной системы (ЦНС) и магнитно</w:t>
            </w:r>
            <w:r>
              <w:rPr>
                <w:color w:val="008000"/>
              </w:rPr>
              <w:t>-</w:t>
            </w:r>
            <w:r>
              <w:t>резонансной ангиографии с контрастным усилением составляет 0,3 ммоль на 1 кг массы тела (что эквивалентно 0,3 мл препарата Гадо</w:t>
            </w:r>
            <w:r>
              <w:rPr>
                <w:color w:val="008000"/>
              </w:rPr>
              <w:t>вист ®</w:t>
            </w:r>
            <w:r>
              <w:t xml:space="preserve"> на 1 кг массы тела).</w:t>
              <w:br/>
              <w:t xml:space="preserve"> Доза 0,075 ммоль гадобутрола на 1 кг массы тела (эквивалентно 0,075 мл препарата Гадо</w:t>
            </w:r>
            <w:r>
              <w:rPr>
                <w:color w:val="008000"/>
              </w:rPr>
              <w:t>вист ®</w:t>
            </w:r>
            <w:r>
              <w:t xml:space="preserve"> на 1 кг массы тела) может вводиться как минимальная для визуализации ЦНС.</w:t>
            </w:r>
            <w:r>
              <w:rPr>
                <w:color w:val="008000"/>
              </w:rPr>
              <w:br/>
            </w:r>
            <w:r>
              <w:t xml:space="preserve"> МРТ всего тела (кроме МРА)</w:t>
              <w:br/>
              <w:t xml:space="preserve"> Как правило, достаточным является внутривенное введение препарата Гадо</w:t>
            </w:r>
            <w:r>
              <w:rPr>
                <w:color w:val="008000"/>
              </w:rPr>
              <w:t>вист ®</w:t>
            </w:r>
            <w:r>
              <w:t xml:space="preserve"> в дозе 0,1 мл на 1 кг массы тела (что эквивалентно 0,1 ммоль на 1 кг массы тела).</w:t>
              <w:br/>
              <w:t xml:space="preserve"> Дополнительные рекомендации для краниальной и спинальной МРТ</w:t>
              <w:br/>
              <w:t xml:space="preserve"> Если остаются подозрения о наличии поражений или необходима более точная информация о числе, размере и распространенности поражений, то диагностическую эффективность исследования можно повысить</w:t>
            </w:r>
            <w:r>
              <w:t xml:space="preserve"> дополнительным введением раствора препарата Гадо</w:t>
            </w:r>
            <w:r>
              <w:rPr>
                <w:color w:val="008000"/>
              </w:rPr>
              <w:t>вист ®</w:t>
            </w:r>
            <w:r>
              <w:t xml:space="preserve"> в дозе от 0,1 мл до 0,2 мл на 1 кг массы тела в течение 30 минут после предыдущей инъекции.</w:t>
              <w:br/>
              <w:t xml:space="preserve"> Чтобы исключить метастазы или рецидив опухоли, вводят раствор препарата Гадо</w:t>
            </w:r>
            <w:r>
              <w:rPr>
                <w:color w:val="008000"/>
              </w:rPr>
              <w:t>вист ®</w:t>
            </w:r>
            <w:r>
              <w:t xml:space="preserve"> в дозе 0,3 мл на 1 кг массы тела, что часто способствует повышению диагностической эффективности исследования. Это относится к поражениям со слабой выраженностью сети кровеносных сосудов, с малым внеклеточным пространством или сочетанием этих</w:t>
            </w:r>
            <w:r>
              <w:rPr>
                <w:color w:val="008000"/>
              </w:rPr>
              <w:br/>
            </w:r>
            <w:r>
              <w:t>факторов, а также к использованию при сканировании относительно менее интенсивных T</w:t>
            </w:r>
            <w:r>
              <w:rPr>
                <w:color w:val="008000"/>
              </w:rPr>
              <w:t xml:space="preserve"> </w:t>
            </w:r>
            <w:r>
              <w:t>1</w:t>
            </w:r>
            <w:r>
              <w:t>взвешенных импульсных последовательностей.</w:t>
              <w:br/>
              <w:t xml:space="preserve"> Для перфузионных исследований головного мозга рекомендуется использовать инъектор и раствор препарата Гадо</w:t>
            </w:r>
            <w:r>
              <w:rPr>
                <w:color w:val="008000"/>
              </w:rPr>
              <w:t>вист ®</w:t>
            </w:r>
            <w:r>
              <w:t>, который вводят в дозе 0,1-0,3 мл на 1 кг массы тела со скоростью 3-5 мл/сек.</w:t>
              <w:br/>
              <w:t xml:space="preserve"> Магнитно-резонансная ангиография</w:t>
              <w:br/>
              <w:t xml:space="preserve"> Одна область сканирования:</w:t>
              <w:br/>
            </w:r>
            <w:r>
              <w:rPr>
                <w:color w:val="008000"/>
              </w:rPr>
              <w:t xml:space="preserve"> </w:t>
            </w:r>
            <w:r>
              <w:t>7,5 мл для массы тела менее 75 кг</w:t>
            </w:r>
            <w:r>
              <w:rPr>
                <w:color w:val="008000"/>
              </w:rPr>
              <w:br/>
            </w:r>
            <w:r>
              <w:t xml:space="preserve"> 10 мл для массы тела 75 кг и более</w:t>
              <w:br/>
              <w:t>(соответствует 0,1-0,15 ммоль на 1 кг массы тела)</w:t>
            </w:r>
            <w:r>
              <w:br/>
              <w:t xml:space="preserve"> Более одной области сканирования:</w:t>
              <w:br/>
            </w:r>
            <w:r>
              <w:rPr>
                <w:color w:val="008000"/>
              </w:rPr>
              <w:t xml:space="preserve"> </w:t>
            </w:r>
            <w:r>
              <w:t>15 мл для массы тела менее 75 кг</w:t>
            </w:r>
            <w:r>
              <w:br/>
              <w:t xml:space="preserve"> 20 мл для массы тела 75 кг и более</w:t>
            </w:r>
            <w:r>
              <w:rPr>
                <w:color w:val="008000"/>
              </w:rPr>
              <w:br/>
            </w:r>
            <w:r>
              <w:t>(соответствует 0,2-0,3 ммоль на 1 кг массы тела)</w:t>
            </w:r>
            <w:r>
              <w:br/>
              <w:t xml:space="preserve"> У пациентов до года, пациентов в периоперационный период трансплантации печени, а также у пациентов с тяжелыми нарушениями почек (СКФ &amp;lt; 30 мл/мин/1,73 м 2 ) применение препарата должно быть ограничено введением одной стандартной дозы (0,1 ммоль/кг массы тела) и повторное введение не должно проводиться ранее, чем через 7 дней.</w:t>
            </w:r>
            <w:r>
              <w:rPr>
                <w:color w:val="008000"/>
              </w:rPr>
              <w:br/>
              <w:t xml:space="preserve"> Особые группы пациентов</w:t>
              <w:br/>
              <w:t xml:space="preserve"> Пациенты пожилого возраста</w:t>
              <w:br/>
              <w:t xml:space="preserve"> В клинических исследованиях не было выявлено различий в отношении безопасности и эффективности между более пожилыми пациентами (65 лет и старше) и более молодыми пациентами. Другие сообщения о клиническом опыте указывают на отсутствие разницы в ответах на введение препарата между более пожилыми и более молодыми пациентами. Предполагается, что нет необходимости в корректировке дозы.</w:t>
              <w:br/>
              <w:t xml:space="preserve"> Пациенты с нарушением функции печени</w:t>
              <w:br/>
              <w:t xml:space="preserve"> В силу того, что гадобутрол полностью в неизмененном виде выводится почками, нет необходимости в корректировке дозы.</w:t>
              <w:br/>
              <w:t xml:space="preserve"> Пациенты с нарушением функции почек</w:t>
              <w:br/>
              <w:t xml:space="preserve"> У пациентов c нарушением функции почек гадобутрол выводится дольше, однако коррекция дозы не рекомендуется для гарантирования получения диагностически значимых изображений.</w:t>
              <w:br/>
              <w:t xml:space="preserve"> Дети</w:t>
              <w:br/>
              <w:t xml:space="preserve"> Для детей всех возрастов, включая доношенных новорожденных, рекомендуемая доза гадобутрола составляет 0,1 ммоль/кг массы тела (эквивалентно 0,1 мл препарата Гадовист ® на 1 кг массы тела) по всем показаниям.</w:t>
              <w:br/>
              <w:t xml:space="preserve"> Способ применения</w:t>
              <w:br/>
              <w:t xml:space="preserve"> Препарат используется только для внутривенного применения.</w:t>
              <w:br/>
              <w:t xml:space="preserve"> Необходимую дозу вводят внутривенно в виде болюса. Для проведения перфузионных исследований головного мозга при диагностике инсульта, распознавании очаговой ишемии головного мозга или оценки кровоснабжения опухоли рекомендуется использовать автоматический инъектор.</w:t>
              <w:br/>
              <w:t xml:space="preserve"> Получение изображения</w:t>
              <w:br/>
              <w:t xml:space="preserve"> Проведение магнитно-резонансной томографии с контрастным усилением можно начинать сразу (вскоре после инъекции в зависимости от применяемой импульсной последовательности и протокола исследования).</w:t>
              <w:br/>
              <w:t xml:space="preserve"> Оптимальное увеличение сигнала наблюдается во время первого прохождения через артериальные сосуды при проведении МРА с контрастным усилением и в течение периода времени, измеряемого 15 минутами, после введения препарата Гадовист ® при проведении других исследований, в том числе исследований ЦНС (время зависит от типа повреждения/ткани).</w:t>
              <w:br/>
              <w:t xml:space="preserve"> Для исследований с контрастированием T 1взвешенные импульсные последовательности являются наиболее подходящими.</w:t>
              <w:br/>
              <w:t xml:space="preserve"> Противопоказания</w:t>
              <w:br/>
              <w:t xml:space="preserve"> Гиперчувствительность к гадобутролу или любому из вспомогательных веществ.</w:t>
              <w:br/>
              <w:t xml:space="preserve"> Особые указания и меры предосторожности при применении</w:t>
              <w:br/>
              <w:t xml:space="preserve"> Применение препарата должно сопровождаться соблюдением общепринятых правил безопасности проведения магнитно-резонансных исследований (в т.ч. исключения использования ферромагнитных изделий, например, кардиостимулятора или аневризматических клипс).</w:t>
              <w:br/>
              <w:t xml:space="preserve"> Выраженные состояния возбуждения, беспокойства и боли могут увеличивать нежелательные реакции или интенсивность реакций, связанных с применением контрастных средств.</w:t>
              <w:br/>
              <w:t xml:space="preserve"> Риски, связанные с интратекальным применением</w:t>
              <w:br/>
              <w:t xml:space="preserve"> При интратекальном применении гадолинийсодержащих контрастных средств были зарегистрированы серьезные, угрожающие жизни и смертельные случаи, в основном с неврологическими реакциями (например, кома, энцефалопатия, судороги). Профиль безопасности и эффективности контрастного средства Гадовист ® при интратекальном применении не установлены. Гадовист ® не одобрен для интратекального применения.</w:t>
              <w:br/>
              <w:t xml:space="preserve"> Накопление гадолиния</w:t>
              <w:br/>
              <w:t xml:space="preserve"> 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w:t>
              <w:br/>
              <w:t xml:space="preserve"> Гиперчувствительность</w:t>
              <w:br/>
              <w:t xml:space="preserve"> Как и при применении других контрастных средств для внутривенного введения,</w:t>
              <w:br/>
              <w:t>применение препарата Гадовист ® может сопровождаться проявлениями гиперчувствительности-анафилактоидными реакциями и другими проявлениями идиосинкразии, характеризующимися реакциями со стороны сердечно-сосудистой, дыхательной систем или кожными реакциями, переходящими в тяжелые состояния, включая шок.</w:t>
              <w:br/>
              <w:t xml:space="preserve"> Риск развития реакций гиперчувствительности выше в следующих случаях:</w:t>
              <w:br/>
              <w:t>-при предшествующей реакции на контрастное средство;</w:t>
              <w:br/>
              <w:t>-при наличии в анамнезе бронхиальной астмы;</w:t>
              <w:br/>
              <w:t>-при аллергических заболеваниях в анамнезе.</w:t>
              <w:br/>
              <w:t xml:space="preserve"> Большинство этих реакций развиваются в течение 0,5-1 часа после введения.</w:t>
              <w:br/>
              <w:t xml:space="preserve"> После проведения диагностической процедуры с препаратом Гадовист ® (так же, как и после применения других контрастных средств) рекомендуется наблюдение за состоянием пациента.</w:t>
              <w:br/>
              <w:t xml:space="preserve"> У пациентов с предрасположенностью к развитию аллергических реакций решение о применении препарата Гадовист ® должно приниматься только после тщательной оценки соотношения риск/польза.</w:t>
              <w:br/>
              <w:t xml:space="preserve"> 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br/>
              <w:t xml:space="preserve"> Редко наблюдаются отсроченные реакции (через несколько часов-суток после введения).</w:t>
              <w:br/>
              <w:t xml:space="preserve"> Пациенты, принимающие бета-адреноблокаторы, при развитии реакции гиперчувствительности могут быть устойчивы к бета-адреномиметическому действию препаратов, применяемых для лечения подобных реакций.</w:t>
              <w:br/>
              <w:t xml:space="preserve"> Нарушения функции почек</w:t>
              <w:br/>
              <w:t xml:space="preserve"> До сих пор нарушения функции почек не наблюдалось.</w:t>
              <w:br/>
              <w:t xml:space="preserve"> Перед введением препарата Гадовист ® всех пациентов следует проверять на предмет нарушения функции почек посредством сбора данных анамнеза и/или проведения лабораторных анализов.</w:t>
              <w:br/>
              <w:t xml:space="preserve"> Следует с особой тщательностью оценивать соотношение риск/польза применения препарата у пациентов с тяжелыми нарушениями функции почек, поскольку в подобных случаях выведение контрастного вещества замедлено. После трех курсов диализа из организма выводится примерно 98% гадобутрола. Для пациентов, находящихся на гемодиализе, следует рассмотреть целесообразность немедленного начала гемодиализа после введения препарата Гадовист ® с целью ускорения элиминации контрастного вещества.</w:t>
              <w:br/>
              <w:t xml:space="preserve"> В связи с тем, что у пациентов в возрасте 65 лет и старше возможно снижение функции почек, необходимо перед проведением исследования оценить функциональные параметры почечной функции (в т.ч. клиренс креатинина).</w:t>
              <w:br/>
              <w:t xml:space="preserve"> Сообщалось о случаях развития нефрогенного системного фиброза (НСФ) в связи с введением гадолинийсодержащих контрастных средств, включая препарат Гадовист ®, пациентам со следующими заболеваниями/состояниями:</w:t>
              <w:br/>
              <w:t>-острая или хроническая почечная недостаточность (скорость клубочковой фильтрации &amp;lt; 30 мл/мин/1,73 м 2 ) или-острая почечная недостаточность любой степени тяжести, вызванная гепаторенальным синдромом, или в период до и после трансплантации печени.</w:t>
              <w:br/>
              <w:t xml:space="preserve"> Поэтому у таких пациентов использовать препарат Гадовист ® следует только после тщательной оценки соотношения польза/риск.</w:t>
              <w:br/>
              <w:t xml:space="preserve"> У пациентов с нарушением функции почек гадобутрол должен быть полностью выведен из организма, прежде чем будет повторно введено какое-либо контрастное средство. Обычно у пациентов с нарушением функции почек легкой и средней степени тяжести полное выведение почками происходит в течение 72 часов. У пациентов с тяжелым нарушением функции почек не менее 80% от назначенной дозы выводится почками в течение 5 дней.</w:t>
              <w:br/>
              <w:t xml:space="preserve"> Судорожные состояния</w:t>
              <w:br/>
              <w:t xml:space="preserve"> Особая осторожность требуется при назначении препарата Гадовист ®, как и других контрастных средств, содержащих хелат гадолиния, пациентам с низким порогом судорожной готовности.</w:t>
              <w:br/>
              <w:t xml:space="preserve"> Недостаточность кровообращения</w:t>
              <w:br/>
              <w:t xml:space="preserve"> Препарат следует применять с осторожностью при наличии тяжелых сердечно-сосудистых заболеваний.</w:t>
              <w:br/>
              <w:t xml:space="preserve"> Трансплантация печени</w:t>
              <w:br/>
              <w:t xml:space="preserve"> Следует соблюдать осторожность при применении препарата у пациентов в периоперационный период трансплантации печени.</w:t>
              <w:br/>
              <w:t xml:space="preserve"> Дети</w:t>
              <w:br/>
              <w:t xml:space="preserve"> Препарат Гадовист ® следует применять с осторожностью у детей до года.</w:t>
              <w:br/>
              <w:t xml:space="preserve"> Вспомогательные вещества</w:t>
              <w:br/>
              <w:t xml:space="preserve"> Данный лекарственный препарат содержит менее 1 ммоль (23 мг) натрия на дозу (исходя из среднего количества, вводимого пациенту с массой тела 70 кг), т. е. практически не содержит натрия.</w:t>
              <w:br/>
              <w:t xml:space="preserve"> Взаимодействие с другими лекарственными препаратами и другие виды взаимодействия</w:t>
              <w:br/>
              <w:t xml:space="preserve"> Взаимодействий с другими лекарственными средствами не выявлено.</w:t>
              <w:br/>
              <w:t xml:space="preserve"> Фертильность, беременность и лактация</w:t>
              <w:br/>
              <w:t xml:space="preserve"> Беременность</w:t>
              <w:br/>
              <w:t xml:space="preserve"> Незначительные количества гадолинийсодержащих контрастных средств могут проникать через плацентарный барьер и оказывать воздействие на плод.</w:t>
              <w:br/>
              <w:t xml:space="preserve"> Потенциальные риски аномального исхода беременности неизвестны, поскольку адекватные и хорошо контролируемые клинические исследования применения препарата Гадовист ® у беременных женщин не проводились.</w:t>
              <w:br/>
              <w:t xml:space="preserve"> Ретроспективное когортное исследование, в котором сравнивались беременные женщины, которым проводилась МРТ с контрастным усилением, с беременными женщинами, которым не проводилась МРТ, показало более высокую частоту мертворождаемости и неонатальной смертности в группе, которой проводилась МРТ с контрастным усилением. Однако повышенного риска врожденных аномалий не наблюдалось. Ограничения этого исследования включают отсутствие сравнения с бесконтрастной МРТ и отсутствие информации о показаниях к МРТ у матери. Эти ограничения были дополнительно рассмотрены в другом ретроспективном когортном исследовании, которое не выявило повышенного риска внутриутробной или неонатальной смертности или госпитализации в отделение интенсивной терапии для новорожденных при сравнении беременностей, при которых проводилась МРТ с контрастным усилением и бесконтрастной МРТ. В когортных</w:t>
              <w:br/>
              <w:t>исследованиях и отчетах о случаях воздействия гадолинийсодержащих контрастных средств во время беременности не сообщалось о четкой связи между использованием гадолинийсодержащих контрастных средств и развитием врожденных аномалий, внутриутробной и неонатальной смертностью или необходимостью госпитализации в отделение интенсивной терапии для новорожденных.</w:t>
              <w:br/>
              <w:t xml:space="preserve"> Исследования на животных с применением доз, пользуемых в клинической практике, не выявили репродуктивной токсичности.</w:t>
              <w:br/>
              <w:t xml:space="preserve"> Препарат Гадовист ® не следует применять во время беременности, за исключением тех случаев, когда проведение МРТ с контрастным усилением представляется крайне необходимым и предполагаемая польза для матери от его применения превышает потенциальный риск для плода.</w:t>
              <w:br/>
              <w:t xml:space="preserve"> Лактация</w:t>
              <w:br/>
              <w:t xml:space="preserve"> До настоящего времени не изучена возможность попадания гадобутрола в грудное молоко. Как показывают эксперименты на животных, препарат Гадовист ® в минимальных количествах (менее 0,1% введенной дозы) попадает в грудное молоко, абсорбция через желудочно-кишечный тракт незначительна (около 5% от дозы при приеме внутрь выводится почками). При необходимости применения препарата Гадовист ® следует решить вопрос о возможности прерывания грудного вскармливания на 24 часа после введения препарата.</w:t>
              <w:br/>
              <w:t xml:space="preserve"> Несовме c тимость</w:t>
              <w:br/>
              <w:t xml:space="preserve"> В связи с отсутствием исследований совместимости, данный лекарственный препарат не следует смешивать с другими лекарственными препаратами.</w:t>
              <w:br/>
              <w:t xml:space="preserve"> 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br/>
              <w:t xml:space="preserve"> Инструкции по работе с препаратом</w:t>
              <w:br/>
              <w:t xml:space="preserve"> Перед введением следует внимательно осмотреть флакон или шприц. При значительном</w:t>
              <w:br/>
              <w:t>изменении цвета, обнаружении видимых частиц или нарушении целостности упаковки препарат нельзя применять.</w:t>
              <w:br/>
              <w:t xml:space="preserve"> Набирать препарат Гадовист ® в шприц следует только непосредственно перед введением.</w:t>
              <w:br/>
              <w:t xml:space="preserve"> Резиновую пробку флакона не следует прокалывать более 1 раза.</w:t>
              <w:br/>
              <w:t xml:space="preserve"> Препарат Гадовист ® в шприце следует извлекать из упаковки и готовить для инъекции непосредственно перед введением. Крышку наконечника шприца следует удалять непосредственно перед введением.</w:t>
              <w:br/>
              <w:t xml:space="preserve"> Предварительно наполненный шприц можно использовать вручную или с совместимой автоматической инъекционной системой для МРТ. Это возможно при использовании специального адаптера, если это указано в документации к инъекторному оборудованию.</w:t>
              <w:br/>
              <w:t xml:space="preserve"> Введение препарата должно проводиться с соблюдением общепринятых мер предосторожности при проведении магнитно-резонансной томографии с контрастным усилением.</w:t>
              <w:br/>
              <w:t xml:space="preserve"> Неиспользованную в ходе одного исследования часть препарата следует уничтожить.</w:t>
              <w:br/>
              <w:t xml:space="preserve"> Отклеивающаяся этикетка на шприцах и флаконах должна быть приклеена к истории болезни пациента, чтобы предоставить точную информацию об использованном гадолинийсодержащем контрастном средстве. Введенная доза также должна быть указана в письменном виде. Если используются электронные карты пациентов, в карту пациента должны быть внесены название препарата, номер серии и доза.</w:t>
              <w:br/>
              <w:t xml:space="preserve"> Утилизация</w:t>
              <w:br/>
              <w:t xml:space="preserve"> Весь оставшийся лекарственный препарат и отходы следует уничтожить в соответствии с установленным национальным законодательством требованиями.</w:t>
              <w:br/>
              <w:t xml:space="preserve"> После вскрытия</w:t>
              <w:br/>
              <w:t xml:space="preserve"> Физико-химическая и микробиологическая стабильность лекарственного препарата после вскрытия флакона сохраняется в течение 24 часов при температуре 20-25 °С.</w:t>
              <w:br/>
              <w:t xml:space="preserve"> С микробиологической точки зрения препарат следует использовать немедленно. Если препарат не использован незамедлительно, ответственность за соблюдение сроков и условий хранения после вскрытия до применения несет медицинский персонал. Время до применения не должно превышать 24 часа при температуре 20-25 °С.</w:t>
              <w:br/>
              <w:t xml:space="preserve"> Отклеивающаяся этикетка на шприцах и флаконах должна быть приклеена к истории болезни пациента, чтобы предоставить точную информацию об использованном гадолинийсодержащем контрастном средстве. Используемая доза также должна быть указана в письменном виде. Если используются электронные карты пациентов, в карту пациента должны быть внесены название препарата, номер партии и доза.</w:t>
              <w:br/>
              <w:t xml:space="preserve"> Подготовка к использованию (только для предварительно наполненных шприцев из циклоолефинового полимера):</w:t>
              <w:br/>
              <w:t xml:space="preserve"> Ручное введение</w:t>
              <w:br/>
              <w:t xml:space="preserve"> Введение с помощью автоматической инъекционной системы</w:t>
              <w:br/>
              <w:t>&lt;!-- image --&gt;</w:t>
            </w:r>
          </w:p>
        </w:tc>
        <w:tc>
          <w:tcPr>
            <w:tcW w:w="7280" w:type="dxa"/>
          </w:tcPr>
          <w:p w14:paraId="47D75540"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6. Содержимое упаковки и дополнительные сведения</w:t>
            </w:r>
          </w:p>
          <w:p w14:paraId="2540CB24" w14:textId="77777777" w:rsidR="00732AD7" w:rsidRPr="00510794" w:rsidRDefault="00732AD7" w:rsidP="00732AD7">
            <w:pPr>
              <w:autoSpaceDE w:val="0"/>
              <w:autoSpaceDN w:val="0"/>
              <w:adjustRightInd w:val="0"/>
              <w:ind w:left="113"/>
              <w:jc w:val="both"/>
              <w:rPr>
                <w:b/>
                <w:spacing w:val="1"/>
                <w:sz w:val="24"/>
                <w:szCs w:val="24"/>
              </w:rPr>
            </w:pPr>
          </w:p>
          <w:p>
            <w:r>
              <w:t>Препарат Гадо</w:t>
            </w:r>
            <w:r>
              <w:rPr>
                <w:color w:val="FF0000"/>
              </w:rPr>
              <w:t>бутрол</w:t>
            </w:r>
            <w:r>
              <w:t xml:space="preserve"> содержит</w:t>
              <w:br/>
              <w:t xml:space="preserve"> Действующим веществом является гадобутрол.</w:t>
              <w:br/>
              <w:t xml:space="preserve"> </w:t>
            </w:r>
            <w:r>
              <w:rPr>
                <w:color w:val="FF0000"/>
              </w:rPr>
              <w:t>Каждый мл раствора</w:t>
            </w:r>
            <w:r>
              <w:t xml:space="preserve"> содержит 1 ммоль (604,720 мг) гадобутрола</w:t>
            </w:r>
            <w:r>
              <w:rPr>
                <w:color w:val="FF0000"/>
              </w:rPr>
              <w:t xml:space="preserve"> (в виде моногидрата)</w:t>
            </w:r>
            <w:r>
              <w:t>.</w:t>
              <w:br/>
              <w:t xml:space="preserve"> Каждый </w:t>
            </w:r>
            <w:r>
              <w:rPr>
                <w:color w:val="FF0000"/>
              </w:rPr>
              <w:t>флакон</w:t>
            </w:r>
            <w:r>
              <w:t xml:space="preserve"> с 5 мл препарата содержит 5 ммоль (3023,6 мг) гадобутрола</w:t>
            </w:r>
            <w:r>
              <w:rPr>
                <w:color w:val="FF0000"/>
              </w:rPr>
              <w:t xml:space="preserve"> (в виде моногидрата)</w:t>
            </w:r>
            <w:r>
              <w:t>.</w:t>
              <w:br/>
              <w:t xml:space="preserve"> Каждый </w:t>
            </w:r>
            <w:r>
              <w:rPr>
                <w:color w:val="FF0000"/>
              </w:rPr>
              <w:t>флакон</w:t>
            </w:r>
            <w:r>
              <w:t xml:space="preserve"> с 7,5 мл препарата содержит 7,5 ммоль (4535,4 мг) гадобутрола</w:t>
            </w:r>
            <w:r>
              <w:rPr>
                <w:color w:val="FF0000"/>
              </w:rPr>
              <w:t xml:space="preserve"> (в виде моногидрата).</w:t>
              <w:br/>
              <w:t xml:space="preserve"> Каждый флакон с 10 мл препарата содержит 10 ммоль (6047,2 мг) гадобутрола (в виде моногидрата)</w:t>
            </w:r>
            <w:r>
              <w:t>.</w:t>
              <w:br/>
              <w:t xml:space="preserve"> Каждый флакон с 15 мл препарата содержит 15 ммоль (9070,8 мг) гадобутрола</w:t>
            </w:r>
            <w:r>
              <w:rPr>
                <w:color w:val="FF0000"/>
              </w:rPr>
              <w:t xml:space="preserve"> (в виде моногидрата).</w:t>
              <w:br/>
              <w:t xml:space="preserve"> Каждый флакон с 20 мл препарата содержит 20 ммоль (12094,4 мг) гадобутрола (в виде моногидрата).</w:t>
              <w:br/>
              <w:t xml:space="preserve"> Каждый флакон с 25 мл препарата содержит 25 ммоль (15118 мг) гадобутрола (в виде моногидрата)</w:t>
            </w:r>
            <w:r>
              <w:t>.</w:t>
              <w:br/>
              <w:t xml:space="preserve"> Каждый флакон с 30 мл препарата содержит 30 ммоль (18141,6 мг) гадобутрола</w:t>
            </w:r>
            <w:r>
              <w:rPr>
                <w:color w:val="FF0000"/>
              </w:rPr>
              <w:t xml:space="preserve"> (в виде моногидрата)</w:t>
            </w:r>
            <w:r>
              <w:t>.</w:t>
              <w:br/>
              <w:t xml:space="preserve"> Прочими ингредиентами (вспомогательными веществами</w:t>
            </w:r>
            <w:r>
              <w:t>) являются</w:t>
            </w:r>
            <w:r>
              <w:rPr>
                <w:color w:val="FF0000"/>
              </w:rPr>
              <w:t xml:space="preserve"> трометамол, каль</w:t>
            </w:r>
            <w:r>
              <w:t>кобутрол натрия</w:t>
            </w:r>
            <w:r>
              <w:rPr>
                <w:color w:val="FF0000"/>
              </w:rPr>
              <w:t xml:space="preserve">, </w:t>
            </w:r>
            <w:r>
              <w:t>хлор</w:t>
            </w:r>
            <w:r>
              <w:rPr>
                <w:color w:val="FF0000"/>
              </w:rPr>
              <w:t>истоводородной кислоты раствор</w:t>
            </w:r>
            <w:r>
              <w:t xml:space="preserve"> 1</w:t>
            </w:r>
            <w:r>
              <w:rPr>
                <w:color w:val="FF0000"/>
              </w:rPr>
              <w:t xml:space="preserve"> </w:t>
            </w:r>
            <w:r>
              <w:t>М</w:t>
            </w:r>
            <w:r>
              <w:rPr>
                <w:color w:val="FF0000"/>
              </w:rPr>
              <w:t xml:space="preserve">, </w:t>
            </w:r>
            <w:r>
              <w:t>вода для инъекций</w:t>
            </w:r>
            <w:r>
              <w:rPr>
                <w:color w:val="FF0000"/>
              </w:rPr>
              <w:t>.</w:t>
            </w:r>
            <w:r>
              <w:t xml:space="preserve"> Препарат Гадо</w:t>
            </w:r>
            <w:r>
              <w:rPr>
                <w:color w:val="FF0000"/>
              </w:rPr>
              <w:t>бутрол</w:t>
            </w:r>
            <w:r>
              <w:t xml:space="preserve"> содержит натрий (см. раздел 2).</w:t>
              <w:br/>
              <w:t xml:space="preserve"> Внешний вид препарата Гадо</w:t>
            </w:r>
            <w:r>
              <w:rPr>
                <w:color w:val="FF0000"/>
              </w:rPr>
              <w:t>бутрол</w:t>
            </w:r>
            <w:r>
              <w:t xml:space="preserve"> и содержимое упаковки</w:t>
              <w:br/>
              <w:t xml:space="preserve"> Раствор для внутривенного введения.</w:t>
              <w:br/>
              <w:t xml:space="preserve"> Пр</w:t>
            </w:r>
            <w:r>
              <w:rPr>
                <w:color w:val="FF0000"/>
              </w:rPr>
              <w:t xml:space="preserve">озрачный </w:t>
            </w:r>
            <w:r>
              <w:t>б</w:t>
            </w:r>
            <w:r>
              <w:rPr>
                <w:color w:val="FF0000"/>
              </w:rPr>
              <w:t>есцветны</w:t>
            </w:r>
            <w:r>
              <w:t xml:space="preserve">й </w:t>
            </w:r>
            <w:r>
              <w:rPr>
                <w:color w:val="FF0000"/>
              </w:rPr>
              <w:t xml:space="preserve">или слегка окрашенный раствор с оттенками от желтоватого или коричневатого до коричневато-или </w:t>
            </w:r>
            <w:r>
              <w:t>з</w:t>
            </w:r>
            <w:r>
              <w:rPr>
                <w:color w:val="FF0000"/>
              </w:rPr>
              <w:t>еленовато-</w:t>
            </w:r>
            <w:r>
              <w:t>ж</w:t>
            </w:r>
            <w:r>
              <w:rPr>
                <w:color w:val="FF0000"/>
              </w:rPr>
              <w:t xml:space="preserve">елтого </w:t>
            </w:r>
            <w:r>
              <w:t>ц</w:t>
            </w:r>
            <w:r>
              <w:rPr>
                <w:color w:val="FF0000"/>
              </w:rPr>
              <w:t>вета</w:t>
            </w:r>
            <w:r>
              <w:t>.</w:t>
              <w:br/>
              <w:t xml:space="preserve"> П</w:t>
            </w:r>
            <w:r>
              <w:rPr>
                <w:color w:val="FF0000"/>
              </w:rPr>
              <w:t>о 5 мл</w:t>
            </w:r>
            <w:r>
              <w:t>,</w:t>
            </w:r>
            <w:r>
              <w:t xml:space="preserve"> 7,5 мл</w:t>
            </w:r>
            <w:r>
              <w:rPr>
                <w:color w:val="FF0000"/>
              </w:rPr>
              <w:t>, 10 мл, 15 мл, 20 мл, 25 мл или 30 мл во флаконы из бесцветного стекла 1-го гидролитического класса, герметично укупоренные пробками резиновыми из бромбутила, обжатые колпачками алюминиевыми или алюминиевыми колпачками с пластиковой кры</w:t>
            </w:r>
            <w:r>
              <w:t>ш</w:t>
            </w:r>
            <w:r>
              <w:rPr>
                <w:color w:val="FF0000"/>
              </w:rPr>
              <w:t>к</w:t>
            </w:r>
            <w:r>
              <w:t xml:space="preserve">ой </w:t>
            </w:r>
            <w:r>
              <w:rPr>
                <w:color w:val="FF0000"/>
              </w:rPr>
              <w:t>типа «flip</w:t>
            </w:r>
            <w:r>
              <w:t>-</w:t>
            </w:r>
            <w:r>
              <w:rPr>
                <w:color w:val="FF0000"/>
              </w:rPr>
              <w:t>off»</w:t>
            </w:r>
            <w:r>
              <w:t>.</w:t>
              <w:br/>
              <w:t xml:space="preserve"> </w:t>
            </w:r>
            <w:r>
              <w:rPr>
                <w:color w:val="FF0000"/>
              </w:rPr>
              <w:t>На флаконы наклеивают этикетки</w:t>
            </w:r>
            <w:r>
              <w:t xml:space="preserve"> из б</w:t>
            </w:r>
            <w:r>
              <w:rPr>
                <w:color w:val="FF0000"/>
              </w:rPr>
              <w:t>умаги этикето</w:t>
            </w:r>
            <w:r>
              <w:t>чно</w:t>
            </w:r>
            <w:r>
              <w:t xml:space="preserve">й </w:t>
            </w:r>
            <w:r>
              <w:rPr>
                <w:color w:val="FF0000"/>
              </w:rPr>
              <w:t>или писче</w:t>
            </w:r>
            <w:r>
              <w:t>й и</w:t>
            </w:r>
            <w:r>
              <w:rPr>
                <w:color w:val="FF0000"/>
              </w:rPr>
              <w:t>ли самоклея</w:t>
            </w:r>
            <w:r>
              <w:t>щ</w:t>
            </w:r>
            <w:r>
              <w:rPr>
                <w:color w:val="FF0000"/>
              </w:rPr>
              <w:t>у</w:t>
            </w:r>
            <w:r>
              <w:t>ю</w:t>
            </w:r>
            <w:r>
              <w:rPr>
                <w:color w:val="FF0000"/>
              </w:rPr>
              <w:t>ся</w:t>
            </w:r>
            <w:r>
              <w:t xml:space="preserve"> этикетк</w:t>
            </w:r>
            <w:r>
              <w:rPr>
                <w:color w:val="FF0000"/>
              </w:rPr>
              <w:t>у</w:t>
            </w:r>
            <w:r>
              <w:t>.</w:t>
              <w:br/>
              <w:t xml:space="preserve"> П</w:t>
            </w:r>
            <w:r>
              <w:rPr>
                <w:color w:val="FF0000"/>
              </w:rPr>
              <w:t xml:space="preserve">о 1 флакону вместе с листком-вкладышем помещают в пачку </w:t>
            </w:r>
            <w:r>
              <w:t>из</w:t>
            </w:r>
            <w:r>
              <w:rPr>
                <w:color w:val="FF0000"/>
              </w:rPr>
              <w:t xml:space="preserve"> картона коробочного.</w:t>
              <w:br/>
              <w:t xml:space="preserve"> По 5 или 10 флаконов помещают в контурную ячейковую упаковку из пленки поливинилхлоридной.</w:t>
              <w:br/>
              <w:t xml:space="preserve"> По 1, 2 контурной ячейковой упаковки вместе с листком-вкладышем помещают в пачку из картона коробочного.</w:t>
              <w:br/>
              <w:t xml:space="preserve"> Не все размеры упаковок могут быть доступны для реализации.</w:t>
              <w:br/>
              <w:t xml:space="preserve"> Держатель регистрационного удостоверения</w:t>
              <w:br/>
              <w:t xml:space="preserve"> Российская Федерация</w:t>
              <w:br/>
            </w:r>
            <w:r>
              <w:t xml:space="preserve"> ООО «</w:t>
            </w:r>
            <w:r>
              <w:rPr>
                <w:color w:val="FF0000"/>
              </w:rPr>
              <w:t>Авис Рус»</w:t>
              <w:br/>
              <w:t xml:space="preserve"> 107078, г. Москва, вн.тер.г. муниципальный округ Красносельский, ул. </w:t>
            </w:r>
            <w:r>
              <w:t>Н</w:t>
            </w:r>
            <w:r>
              <w:rPr>
                <w:color w:val="FF0000"/>
              </w:rPr>
              <w:t>оворязанская, д. 18,</w:t>
              <w:br/>
              <w:t>стр. 21</w:t>
              <w:br/>
              <w:t xml:space="preserve"> Производитель</w:t>
              <w:br/>
              <w:t xml:space="preserve"> Российская </w:t>
            </w:r>
            <w:r>
              <w:t>Ф</w:t>
            </w:r>
            <w:r>
              <w:rPr>
                <w:color w:val="FF0000"/>
              </w:rPr>
              <w:t>едерация</w:t>
              <w:br/>
              <w:t xml:space="preserve"> ООО «МОС</w:t>
            </w:r>
            <w:r>
              <w:t>Ф</w:t>
            </w:r>
            <w:r>
              <w:rPr>
                <w:color w:val="FF0000"/>
              </w:rPr>
              <w:t>АРМ»</w:t>
              <w:br/>
              <w:t xml:space="preserve"> Московская обл., Сергиево-</w:t>
            </w:r>
            <w:r>
              <w:t>П</w:t>
            </w:r>
            <w:r>
              <w:rPr>
                <w:color w:val="FF0000"/>
              </w:rPr>
              <w:t>осадский муниципальный район</w:t>
            </w:r>
            <w:r>
              <w:t xml:space="preserve">, </w:t>
            </w:r>
            <w:r>
              <w:rPr>
                <w:color w:val="FF0000"/>
              </w:rPr>
              <w:t>г.п. Богородское, рп. Богородское, д. 63</w:t>
              <w:br/>
              <w:t xml:space="preserve"> 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w:t>
            </w:r>
            <w:r>
              <w:t>ия:</w:t>
              <w:br/>
              <w:t xml:space="preserve"> </w:t>
            </w:r>
            <w:r>
              <w:rPr>
                <w:color w:val="FF0000"/>
              </w:rPr>
              <w:t>Российская Федерация</w:t>
              <w:br/>
              <w:t xml:space="preserve"> ООО «АльТро»</w:t>
              <w:br/>
            </w:r>
            <w:r>
              <w:t xml:space="preserve"> 1</w:t>
            </w:r>
            <w:r>
              <w:rPr>
                <w:color w:val="FF0000"/>
              </w:rPr>
              <w:t>07078, г. Москва, ул. Новоря</w:t>
            </w:r>
            <w:r>
              <w:t>з</w:t>
            </w:r>
            <w:r>
              <w:rPr>
                <w:color w:val="FF0000"/>
              </w:rPr>
              <w:t>анская</w:t>
            </w:r>
            <w:r>
              <w:t xml:space="preserve">, </w:t>
            </w:r>
            <w:r>
              <w:rPr>
                <w:color w:val="FF0000"/>
              </w:rPr>
              <w:t>д. 18</w:t>
            </w:r>
            <w:r>
              <w:t xml:space="preserve">, </w:t>
            </w:r>
            <w:r>
              <w:rPr>
                <w:color w:val="FF0000"/>
              </w:rPr>
              <w:t>стр</w:t>
            </w:r>
            <w:r>
              <w:t xml:space="preserve">. </w:t>
            </w:r>
            <w:r>
              <w:rPr>
                <w:color w:val="FF0000"/>
              </w:rPr>
              <w:t>21</w:t>
            </w:r>
            <w:r>
              <w:t xml:space="preserve">, </w:t>
            </w:r>
            <w:r>
              <w:t>эт</w:t>
            </w:r>
            <w:r>
              <w:rPr>
                <w:color w:val="FF0000"/>
              </w:rPr>
              <w:t>. 1, пом. 14А</w:t>
            </w:r>
            <w:r>
              <w:t>.</w:t>
              <w:br/>
              <w:t xml:space="preserve"> </w:t>
            </w:r>
            <w:r>
              <w:rPr>
                <w:color w:val="FF0000"/>
              </w:rPr>
              <w:t>Телефон: +7 (909) 906-28-04</w:t>
            </w:r>
            <w:r>
              <w:br/>
              <w:t xml:space="preserve"> </w:t>
            </w:r>
            <w:r>
              <w:rPr>
                <w:color w:val="FF0000"/>
              </w:rPr>
              <w:t xml:space="preserve">Электронная почта: </w:t>
            </w:r>
            <w:r>
              <w:t>r</w:t>
            </w:r>
            <w:r>
              <w:rPr>
                <w:color w:val="FF0000"/>
              </w:rPr>
              <w:t>.f</w:t>
            </w:r>
            <w:r>
              <w:t>arma</w:t>
            </w:r>
            <w:r>
              <w:rPr>
                <w:color w:val="FF0000"/>
              </w:rPr>
              <w:t>konadzor</w:t>
            </w:r>
            <w:r>
              <w:t>@</w:t>
            </w:r>
            <w:r>
              <w:t>y</w:t>
            </w:r>
            <w:r>
              <w:t>an</w:t>
            </w:r>
            <w:r>
              <w:rPr>
                <w:color w:val="FF0000"/>
              </w:rPr>
              <w:t>dex</w:t>
            </w:r>
            <w:r>
              <w:t>.</w:t>
            </w:r>
            <w:r>
              <w:rPr>
                <w:color w:val="FF0000"/>
              </w:rPr>
              <w:t>ru</w:t>
            </w:r>
            <w:r>
              <w:br/>
              <w:t xml:space="preserve"> Листок-вкладыш пересмотрен</w:t>
              <w:br/>
              <w:t xml:space="preserve"> Прочие источники информации</w:t>
              <w:br/>
              <w:t xml:space="preserve"> Подробные сведения о данном препарате содержатся на веб-сайте Союза</w:t>
            </w:r>
            <w:r>
              <w:t xml:space="preserve"> http</w:t>
            </w:r>
            <w:r>
              <w:t>://eec.eaeunion.org</w:t>
            </w:r>
            <w:r>
              <w:rPr>
                <w:color w:val="FF0000"/>
              </w:rPr>
              <w:t>/</w:t>
            </w:r>
            <w:r>
              <w:t>.</w:t>
              <w:br/>
            </w:r>
            <w:r>
              <w:rPr>
                <w:color w:val="FF0000"/>
              </w:rPr>
              <w:t>(линия отрыва или отреза)</w:t>
            </w:r>
            <w:r>
              <w:br/>
              <w:t xml:space="preserve"> Следующие сведения предназначены исключительно для медицинских работников:</w:t>
              <w:br/>
              <w:t xml:space="preserve"> </w:t>
            </w:r>
            <w:r>
              <w:rPr>
                <w:color w:val="FF0000"/>
              </w:rPr>
              <w:t>Несовместимость</w:t>
              <w:br/>
              <w:t xml:space="preserve"> В связи с отсутствием исследований совместимости, данный лекарственный препарат не следует смешивать с другими лекарственными препаратами.</w:t>
              <w:br/>
              <w:t xml:space="preserve"> Хранение после первого вскрытия</w:t>
              <w:br/>
              <w:t xml:space="preserve"> Физико-химическая и микробиологическая стабильность сохраняется в течение 24 часов при температуре 20-25 °С.</w:t>
              <w:br/>
              <w:t xml:space="preserve"> С микробиологической точки зрения, препарат следует использовать немедленно. Если препарат не использован незамедлительно, ответственность за соблюдение сроков и условий хранения после вскрытия до применения несет медицинский персонал. Время до применения не должно превышать 24 часа при температуре 20-25 °С.</w:t>
              <w:br/>
              <w:t xml:space="preserve"> Инструкции по работе с препаратом</w:t>
              <w:br/>
              <w:t xml:space="preserve"> Перед введением следует внимательно осмотреть флакон. При значительном изменении цвета, обнаружении видимых частиц или нарушении целостности упаковки препарат нельзя применять.</w:t>
              <w:br/>
              <w:t xml:space="preserve"> Набирать препарат Гадобутрол в шприц следует только непосредственно перед введением. </w:t>
            </w:r>
            <w:r>
              <w:t>Ре</w:t>
            </w:r>
            <w:r>
              <w:rPr>
                <w:color w:val="FF0000"/>
              </w:rPr>
              <w:t>зиновую пробку флакона не следует прокалывать более 1 раза.</w:t>
              <w:br/>
              <w:t xml:space="preserve"> Введение препарата дол</w:t>
            </w:r>
            <w:r>
              <w:t>ж</w:t>
            </w:r>
            <w:r>
              <w:rPr>
                <w:color w:val="FF0000"/>
              </w:rPr>
              <w:t>но проводиться с соблюдением общепринятых мер предосторожности при проведении магнитно-ре</w:t>
            </w:r>
            <w:r>
              <w:t>з</w:t>
            </w:r>
            <w:r>
              <w:rPr>
                <w:color w:val="FF0000"/>
              </w:rPr>
              <w:t>онансной томографии с контрастным усилением.</w:t>
              <w:br/>
              <w:t xml:space="preserve"> Неиспользованную в ходе одного исследования часть препарата следует уничтожить.</w:t>
              <w:br/>
              <w:t xml:space="preserve"> Утилизация</w:t>
              <w:br/>
              <w:t xml:space="preserve"> Весь оставшийся лекарственный препарат и отходы следует уничтожить в соответствии с установленными национальным законодательством тре</w:t>
            </w:r>
            <w:r>
              <w:t>б</w:t>
            </w:r>
            <w:r>
              <w:rPr>
                <w:color w:val="FF0000"/>
              </w:rPr>
              <w:t>ованиями.</w:t>
            </w:r>
            <w:r>
              <w:br/>
              <w:t xml:space="preserve"> </w:t>
            </w:r>
            <w:r>
              <w:rPr>
                <w:color w:val="FF0000"/>
              </w:rPr>
              <w:t>Способ применения</w:t>
              <w:br/>
              <w:t xml:space="preserve"> </w:t>
            </w:r>
            <w:r>
              <w:t xml:space="preserve">Препарат </w:t>
            </w:r>
            <w:r>
              <w:rPr>
                <w:color w:val="FF0000"/>
              </w:rPr>
              <w:t>используется только для внутривенного применения.</w:t>
              <w:br/>
              <w:t xml:space="preserve"> Необходимую дозу вводят внутривенно в виде болюса. Для проведения перфузионных исследований головного мозга при диагностике инсульта, распознавании очаговой ишемии головного мозга или оценки кровоснаб</w:t>
            </w:r>
            <w:r>
              <w:t>жен</w:t>
            </w:r>
            <w:r>
              <w:rPr>
                <w:color w:val="FF0000"/>
              </w:rPr>
              <w:t>ия опухоли рекомендуется использовать автоматический инъектор.</w:t>
              <w:br/>
              <w:t xml:space="preserve"> Получение изображения</w:t>
              <w:br/>
              <w:t xml:space="preserve"> Проведение магнитно-резонансной томографии с контрастным усилением можно начинать сразу (вскоре после инъек</w:t>
            </w:r>
            <w:r>
              <w:t>ци</w:t>
            </w:r>
            <w:r>
              <w:rPr>
                <w:color w:val="FF0000"/>
              </w:rPr>
              <w:t>и в</w:t>
            </w:r>
            <w:r>
              <w:t xml:space="preserve"> з</w:t>
            </w:r>
            <w:r>
              <w:rPr>
                <w:color w:val="FF0000"/>
              </w:rPr>
              <w:t>ависимости от применяемой импульсной последовательности и протокола исследования).</w:t>
              <w:br/>
              <w:t xml:space="preserve"> Оптимальное увеличение сигнала наблюдается во время первого пр</w:t>
            </w:r>
            <w:r>
              <w:t>ох</w:t>
            </w:r>
            <w:r>
              <w:rPr>
                <w:color w:val="FF0000"/>
              </w:rPr>
              <w:t xml:space="preserve">ождения </w:t>
            </w:r>
            <w:r>
              <w:t>че</w:t>
            </w:r>
            <w:r>
              <w:rPr>
                <w:color w:val="FF0000"/>
              </w:rPr>
              <w:t>рез артериальные сосуды при проведении</w:t>
            </w:r>
            <w:r>
              <w:t xml:space="preserve"> МР</w:t>
            </w:r>
            <w:r>
              <w:rPr>
                <w:color w:val="FF0000"/>
              </w:rPr>
              <w:t>А с контрастным усилением и в течение периода времени, и</w:t>
            </w:r>
            <w:r>
              <w:t>з</w:t>
            </w:r>
            <w:r>
              <w:rPr>
                <w:color w:val="FF0000"/>
              </w:rPr>
              <w:t xml:space="preserve">меряемого 15 минутами, после введения препарата Гадобутрол при проведении других исследований, в том </w:t>
            </w:r>
            <w:r>
              <w:t>ч</w:t>
            </w:r>
            <w:r>
              <w:rPr>
                <w:color w:val="FF0000"/>
              </w:rPr>
              <w:t>исле исследований ЦНС (время зависит от типа повреждения/ткани).</w:t>
              <w:br/>
              <w:t xml:space="preserve"> Для исследований с контрастированием T1-взвешенные импульсные последовательности</w:t>
              <w:br/>
              <w:t>являются наи</w:t>
            </w:r>
            <w:r>
              <w:t>б</w:t>
            </w:r>
            <w:r>
              <w:rPr>
                <w:color w:val="FF0000"/>
              </w:rPr>
              <w:t>олее под</w:t>
            </w:r>
            <w:r>
              <w:t>ход</w:t>
            </w:r>
            <w:r>
              <w:rPr>
                <w:color w:val="FF0000"/>
              </w:rPr>
              <w:t>я</w:t>
            </w:r>
            <w:r>
              <w:t>щ</w:t>
            </w:r>
            <w:r>
              <w:rPr>
                <w:color w:val="FF0000"/>
              </w:rPr>
              <w:t>им</w:t>
            </w:r>
            <w:r>
              <w:t>и.</w:t>
              <w:br/>
              <w:t xml:space="preserve"> Режим дозирования</w:t>
              <w:br/>
              <w:t xml:space="preserve"> Взрослые</w:t>
              <w:br/>
              <w:t xml:space="preserve"> Рекомендовано однократное внутривенное введение гадобутрола в дозе 0,1 ммоль/кг (эквивалентно 0,1 мл препарата Гадо</w:t>
            </w:r>
            <w:r>
              <w:rPr>
                <w:color w:val="FF0000"/>
              </w:rPr>
              <w:t>бутрол</w:t>
            </w:r>
            <w:r>
              <w:t xml:space="preserve"> на 1 кг массы тела). Максимальная доза гадобутрола для исследований центральной нервной системы (ЦНС) и магнитно</w:t>
            </w:r>
            <w:r>
              <w:t>резонансной ангиографии с контрастным усилением составляет 0,3 ммоль на 1 кг массы тела (что эквивалентно 0,3 мл препарата Гадо</w:t>
            </w:r>
            <w:r>
              <w:rPr>
                <w:color w:val="FF0000"/>
              </w:rPr>
              <w:t>бутрол</w:t>
            </w:r>
            <w:r>
              <w:t xml:space="preserve"> на 1 кг массы тела).</w:t>
              <w:br/>
              <w:t xml:space="preserve"> Доза 0,075 ммоль гадобутрола на 1 кг массы тела (эквивалентно 0,075 мл препарата Гадо</w:t>
            </w:r>
            <w:r>
              <w:rPr>
                <w:color w:val="FF0000"/>
              </w:rPr>
              <w:t>бутрол</w:t>
            </w:r>
            <w:r>
              <w:t xml:space="preserve"> на 1 кг массы тела) может вводиться как минимальная для визуализации ЦНС.</w:t>
            </w:r>
            <w:r>
              <w:t xml:space="preserve"> МРТ всего тела (кроме МРА)</w:t>
              <w:br/>
              <w:t xml:space="preserve"> Как правило, достаточным является внутривенное введение препарата Гадо</w:t>
            </w:r>
            <w:r>
              <w:rPr>
                <w:color w:val="FF0000"/>
              </w:rPr>
              <w:t>бутрол</w:t>
            </w:r>
            <w:r>
              <w:t xml:space="preserve"> в дозе 0,1 мл на 1 кг массы тела (что эквивалентно 0,1 ммоль на 1 кг массы тела).</w:t>
              <w:br/>
              <w:t xml:space="preserve"> Дополнительные рекомендации для краниальной и спинальной МРТ</w:t>
              <w:br/>
              <w:t xml:space="preserve"> Если остаются подозрения о наличии поражений или необходима более точная информация о числе, размере и распространенности поражений, то диагностическую эффективность исследования можно повысить</w:t>
            </w:r>
            <w:r>
              <w:rPr>
                <w:color w:val="FF0000"/>
              </w:rPr>
              <w:t>,</w:t>
            </w:r>
            <w:r>
              <w:t xml:space="preserve"> дополнительным введением раствора препарата Гадо</w:t>
            </w:r>
            <w:r>
              <w:rPr>
                <w:color w:val="FF0000"/>
              </w:rPr>
              <w:t>бутрол</w:t>
            </w:r>
            <w:r>
              <w:t xml:space="preserve"> в дозе от 0,1 мл до 0,2 мл на 1 кг массы тела в течение 30 минут после предыдущей инъекции.</w:t>
              <w:br/>
              <w:t xml:space="preserve"> Чтобы исключить метастазы или рецидив опухоли, вводят раствор препарата Гадо</w:t>
            </w:r>
            <w:r>
              <w:rPr>
                <w:color w:val="FF0000"/>
              </w:rPr>
              <w:t>бутрол</w:t>
            </w:r>
            <w:r>
              <w:t xml:space="preserve"> в дозе 0,3 мл на 1 кг массы тела, что часто способствует повышению диагностической эффективности исследования. Это относится к поражениям со слабой выраженностью сети кровеносных сосудов, с малым внеклеточным пространством или сочетанием этих</w:t>
            </w:r>
            <w:r>
              <w:rPr>
                <w:color w:val="FF0000"/>
              </w:rPr>
              <w:t xml:space="preserve"> </w:t>
            </w:r>
            <w:r>
              <w:t>факторов, а также к использованию при сканировании относительно менее интенсивных T</w:t>
            </w:r>
            <w:r>
              <w:t>1</w:t>
            </w:r>
            <w:r>
              <w:rPr>
                <w:color w:val="FF0000"/>
              </w:rPr>
              <w:t>-</w:t>
            </w:r>
            <w:r>
              <w:t>взвешенных импульсных последовательностей.</w:t>
              <w:br/>
              <w:t xml:space="preserve"> Для перфузионных исследований головного мозга рекомендуется использовать инъектор и раствор препарата Гадо</w:t>
            </w:r>
            <w:r>
              <w:rPr>
                <w:color w:val="FF0000"/>
              </w:rPr>
              <w:t>бутрол</w:t>
            </w:r>
            <w:r>
              <w:t>, который вводят в дозе 0,1-0,3 мл на 1 кг массы тела со скоростью 3-5 мл/сек.</w:t>
              <w:br/>
              <w:t xml:space="preserve"> Магнитно-резонансная ангиография</w:t>
              <w:br/>
              <w:t xml:space="preserve"> Одна область сканирования:</w:t>
              <w:br/>
            </w:r>
            <w:r>
              <w:t>7,5 мл для массы тела менее 75 кг</w:t>
            </w:r>
            <w:r>
              <w:rPr>
                <w:color w:val="FF0000"/>
              </w:rPr>
              <w:t>;</w:t>
            </w:r>
            <w:r>
              <w:t xml:space="preserve"> 10 мл для массы тела 75 кг и более</w:t>
              <w:br/>
              <w:t>(соответствует 0,1-0,15 ммоль на 1 кг массы тела)</w:t>
            </w:r>
            <w:r>
              <w:rPr>
                <w:color w:val="FF0000"/>
              </w:rPr>
              <w:t>.</w:t>
            </w:r>
            <w:r>
              <w:br/>
              <w:t xml:space="preserve"> Более одной области сканирования:</w:t>
              <w:br/>
            </w:r>
            <w:r>
              <w:t>15 мл для массы тела менее 75 кг</w:t>
            </w:r>
            <w:r>
              <w:rPr>
                <w:color w:val="FF0000"/>
              </w:rPr>
              <w:t>;</w:t>
            </w:r>
            <w:r>
              <w:br/>
              <w:t xml:space="preserve"> 20 мл для массы тела 75 кг и более</w:t>
            </w:r>
            <w:r>
              <w:rPr>
                <w:color w:val="FF0000"/>
              </w:rPr>
              <w:t xml:space="preserve"> </w:t>
            </w:r>
            <w:r>
              <w:t>(соответствует 0,2-0,3 ммоль на 1 кг массы тела)</w:t>
            </w:r>
            <w:r>
              <w:rPr>
                <w:color w:val="FF0000"/>
              </w:rPr>
              <w:t>.</w:t>
            </w:r>
            <w:r>
              <w:br/>
              <w:t xml:space="preserve"> У пациентов до года, пациентов в периоперационный период трансплантации печени, а также у пациентов с тяжелыми нарушениями почек (СКФ &amp;lt; 30 мл/мин/1,73 м 2 ) применение препарата должно быть ограничено введением одной стандартной дозы (0,1 ммоль/кг массы тела) и повторное введение не должно проводиться ранее, чем через 7 дней.</w:t>
            </w:r>
          </w:p>
        </w:tc>
      </w:tr>
    </w:tbl>
    <w:p w14:paraId="33A5440C" w14:textId="77777777" w:rsidR="00FB11A4" w:rsidRDefault="00FB11A4" w:rsidP="000774F1">
      <w:pPr>
        <w:autoSpaceDE w:val="0"/>
        <w:autoSpaceDN w:val="0"/>
        <w:adjustRightInd w:val="0"/>
        <w:ind w:firstLine="567"/>
        <w:jc w:val="both"/>
        <w:rPr>
          <w:iCs/>
          <w:sz w:val="28"/>
          <w:szCs w:val="28"/>
        </w:rPr>
      </w:pPr>
    </w:p>
    <w:p w14:paraId="7CF395D3" w14:textId="77777777"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1AFEE" w14:textId="77777777" w:rsidR="000A657B" w:rsidRDefault="000A657B" w:rsidP="00C74AE5">
      <w:r>
        <w:separator/>
      </w:r>
    </w:p>
  </w:endnote>
  <w:endnote w:type="continuationSeparator" w:id="0">
    <w:p w14:paraId="20C4E33F" w14:textId="77777777" w:rsidR="000A657B" w:rsidRDefault="000A657B" w:rsidP="00C7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A6573" w14:textId="77777777" w:rsidR="000A657B" w:rsidRDefault="000A657B" w:rsidP="00C74AE5">
      <w:r>
        <w:separator/>
      </w:r>
    </w:p>
  </w:footnote>
  <w:footnote w:type="continuationSeparator" w:id="0">
    <w:p w14:paraId="46EE037C" w14:textId="77777777" w:rsidR="000A657B" w:rsidRDefault="000A657B" w:rsidP="00C74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E6FA" w14:textId="77777777" w:rsidR="00BF4506" w:rsidRPr="00C46EDD" w:rsidRDefault="001B0ECA">
    <w:pPr>
      <w:pStyle w:val="ae"/>
      <w:jc w:val="center"/>
      <w:rPr>
        <w:sz w:val="28"/>
        <w:szCs w:val="28"/>
      </w:rPr>
    </w:pPr>
    <w:r w:rsidRPr="00C46EDD">
      <w:rPr>
        <w:sz w:val="28"/>
        <w:szCs w:val="28"/>
      </w:rPr>
      <w:fldChar w:fldCharType="begin"/>
    </w:r>
    <w:r w:rsidRPr="00C46EDD">
      <w:rPr>
        <w:sz w:val="28"/>
        <w:szCs w:val="28"/>
      </w:rPr>
      <w:instrText xml:space="preserve"> PAGE   \* MERGEFORMAT </w:instrText>
    </w:r>
    <w:r w:rsidRPr="00C46EDD">
      <w:rPr>
        <w:sz w:val="28"/>
        <w:szCs w:val="28"/>
      </w:rPr>
      <w:fldChar w:fldCharType="separate"/>
    </w:r>
    <w:r>
      <w:rPr>
        <w:noProof/>
        <w:sz w:val="28"/>
        <w:szCs w:val="28"/>
      </w:rPr>
      <w:t>2</w:t>
    </w:r>
    <w:r w:rsidRPr="00C46EDD">
      <w:rPr>
        <w:sz w:val="28"/>
        <w:szCs w:val="28"/>
      </w:rPr>
      <w:fldChar w:fldCharType="end"/>
    </w:r>
  </w:p>
  <w:p w14:paraId="54B20206" w14:textId="77777777" w:rsidR="00BF4506" w:rsidRDefault="00BF450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15:restartNumberingAfterBreak="0">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98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345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655810">
    <w:abstractNumId w:val="0"/>
  </w:num>
  <w:num w:numId="4" w16cid:durableId="653532769">
    <w:abstractNumId w:val="5"/>
  </w:num>
  <w:num w:numId="5" w16cid:durableId="2048674257">
    <w:abstractNumId w:val="12"/>
  </w:num>
  <w:num w:numId="6" w16cid:durableId="601374872">
    <w:abstractNumId w:val="6"/>
  </w:num>
  <w:num w:numId="7" w16cid:durableId="377168461">
    <w:abstractNumId w:val="8"/>
  </w:num>
  <w:num w:numId="8" w16cid:durableId="1357928677">
    <w:abstractNumId w:val="11"/>
  </w:num>
  <w:num w:numId="9" w16cid:durableId="1171065159">
    <w:abstractNumId w:val="1"/>
  </w:num>
  <w:num w:numId="10" w16cid:durableId="1605065670">
    <w:abstractNumId w:val="2"/>
  </w:num>
  <w:num w:numId="11" w16cid:durableId="1917392890">
    <w:abstractNumId w:val="4"/>
  </w:num>
  <w:num w:numId="12" w16cid:durableId="265968212">
    <w:abstractNumId w:val="7"/>
  </w:num>
  <w:num w:numId="13" w16cid:durableId="746657296">
    <w:abstractNumId w:val="3"/>
  </w:num>
  <w:num w:numId="14" w16cid:durableId="1013997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12"/>
    <w:rsid w:val="00001B51"/>
    <w:rsid w:val="000529AD"/>
    <w:rsid w:val="0006497D"/>
    <w:rsid w:val="0007116C"/>
    <w:rsid w:val="000774F1"/>
    <w:rsid w:val="000838C5"/>
    <w:rsid w:val="000A657B"/>
    <w:rsid w:val="000B1B12"/>
    <w:rsid w:val="000C78F6"/>
    <w:rsid w:val="000D5229"/>
    <w:rsid w:val="00173FF2"/>
    <w:rsid w:val="001B0ECA"/>
    <w:rsid w:val="00205CF6"/>
    <w:rsid w:val="00246528"/>
    <w:rsid w:val="002C6418"/>
    <w:rsid w:val="00345710"/>
    <w:rsid w:val="00371EFA"/>
    <w:rsid w:val="003720D7"/>
    <w:rsid w:val="00376F9C"/>
    <w:rsid w:val="003807DE"/>
    <w:rsid w:val="003D6C68"/>
    <w:rsid w:val="004B7813"/>
    <w:rsid w:val="00577D01"/>
    <w:rsid w:val="00595AD0"/>
    <w:rsid w:val="005C7560"/>
    <w:rsid w:val="005D25A2"/>
    <w:rsid w:val="00606AEF"/>
    <w:rsid w:val="00622B6B"/>
    <w:rsid w:val="006B359C"/>
    <w:rsid w:val="006C0B77"/>
    <w:rsid w:val="00714AA5"/>
    <w:rsid w:val="00724547"/>
    <w:rsid w:val="00732AD7"/>
    <w:rsid w:val="007835D3"/>
    <w:rsid w:val="007B1FD4"/>
    <w:rsid w:val="008232B2"/>
    <w:rsid w:val="008242FF"/>
    <w:rsid w:val="008648E4"/>
    <w:rsid w:val="00870751"/>
    <w:rsid w:val="00922C48"/>
    <w:rsid w:val="00932124"/>
    <w:rsid w:val="009D7283"/>
    <w:rsid w:val="00A16227"/>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B200F"/>
    <w:rsid w:val="00EE17ED"/>
    <w:rsid w:val="00EE4070"/>
    <w:rsid w:val="00F12C76"/>
    <w:rsid w:val="00F84A5E"/>
    <w:rsid w:val="00F85B35"/>
    <w:rsid w:val="00FB11A4"/>
    <w:rsid w:val="00FD2C3D"/>
    <w:rsid w:val="00FF2D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9E4E"/>
  <w15:chartTrackingRefBased/>
  <w15:docId w15:val="{A4ACFEB1-A37F-4B5D-BCA9-7D6E8A47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362</Words>
  <Characters>2069</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GKO</cp:lastModifiedBy>
  <cp:revision>7</cp:revision>
  <dcterms:created xsi:type="dcterms:W3CDTF">2025-06-28T17:20:00Z</dcterms:created>
  <dcterms:modified xsi:type="dcterms:W3CDTF">2025-07-25T12:44:00Z</dcterms:modified>
</cp:coreProperties>
</file>