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456" w:type="dxa"/>
        <w:tblLook w:val="01E0" w:firstRow="1" w:lastRow="1" w:firstColumn="1" w:lastColumn="1" w:noHBand="0" w:noVBand="0"/>
      </w:tblPr>
      <w:tblGrid>
        <w:gridCol w:w="4928"/>
        <w:gridCol w:w="964"/>
        <w:gridCol w:w="4564"/>
      </w:tblGrid>
      <w:tr w:rsidR="00C74AE5" w:rsidRPr="005C3BF9" w14:paraId="487E81A4" w14:textId="77777777" w:rsidTr="005D00F9">
        <w:trPr>
          <w:trHeight w:val="1985"/>
        </w:trPr>
        <w:tc>
          <w:tcPr>
            <w:tcW w:w="4928" w:type="dxa"/>
          </w:tcPr>
          <w:p w14:paraId="4A87BC0B" w14:textId="77777777" w:rsidR="00C74AE5" w:rsidRPr="00B03496" w:rsidRDefault="00C74AE5" w:rsidP="005D00F9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964" w:type="dxa"/>
          </w:tcPr>
          <w:p w14:paraId="5445D56D" w14:textId="77777777" w:rsidR="00C74AE5" w:rsidRPr="009731EF" w:rsidRDefault="00C74AE5" w:rsidP="005D00F9"/>
        </w:tc>
        <w:tc>
          <w:tcPr>
            <w:tcW w:w="4564" w:type="dxa"/>
          </w:tcPr>
          <w:p w14:paraId="161991DD" w14:textId="77777777" w:rsidR="00C74AE5" w:rsidRPr="00F53ADD" w:rsidRDefault="00C74AE5" w:rsidP="005D00F9">
            <w:pPr>
              <w:rPr>
                <w:sz w:val="28"/>
                <w:szCs w:val="28"/>
              </w:rPr>
            </w:pPr>
            <w:r w:rsidRPr="00F53ADD">
              <w:rPr>
                <w:sz w:val="28"/>
                <w:szCs w:val="28"/>
              </w:rPr>
              <w:t xml:space="preserve">Заместителю генерального </w:t>
            </w:r>
            <w:proofErr w:type="gramStart"/>
            <w:r w:rsidRPr="00F53ADD">
              <w:rPr>
                <w:sz w:val="28"/>
                <w:szCs w:val="28"/>
              </w:rPr>
              <w:t xml:space="preserve">директора  </w:t>
            </w:r>
            <w:r>
              <w:rPr>
                <w:sz w:val="28"/>
                <w:szCs w:val="28"/>
              </w:rPr>
              <w:t>ФГБУ</w:t>
            </w:r>
            <w:proofErr w:type="gramEnd"/>
            <w:r>
              <w:rPr>
                <w:sz w:val="28"/>
                <w:szCs w:val="28"/>
              </w:rPr>
              <w:t xml:space="preserve"> «НЦЭСМП» Минздрава России</w:t>
            </w:r>
          </w:p>
          <w:p w14:paraId="6DFD87E6" w14:textId="77777777" w:rsidR="00C74AE5" w:rsidRDefault="00C74AE5" w:rsidP="005D00F9">
            <w:pPr>
              <w:rPr>
                <w:sz w:val="28"/>
                <w:szCs w:val="28"/>
              </w:rPr>
            </w:pPr>
          </w:p>
          <w:p w14:paraId="325380BC" w14:textId="7E8610C3" w:rsidR="00C74AE5" w:rsidRPr="00246528" w:rsidRDefault="00246528" w:rsidP="005D00F9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________________</w:t>
            </w:r>
          </w:p>
        </w:tc>
      </w:tr>
      <w:tr w:rsidR="00C74AE5" w:rsidRPr="005C3BF9" w14:paraId="7BD22904" w14:textId="77777777" w:rsidTr="005D00F9">
        <w:trPr>
          <w:trHeight w:val="853"/>
        </w:trPr>
        <w:tc>
          <w:tcPr>
            <w:tcW w:w="4928" w:type="dxa"/>
          </w:tcPr>
          <w:p w14:paraId="38404626" w14:textId="77777777" w:rsidR="00C74AE5" w:rsidRPr="007716D1" w:rsidRDefault="00C74AE5" w:rsidP="005D00F9">
            <w:pPr>
              <w:outlineLvl w:val="0"/>
              <w:rPr>
                <w:b/>
                <w:sz w:val="22"/>
                <w:szCs w:val="22"/>
              </w:rPr>
            </w:pPr>
          </w:p>
          <w:p w14:paraId="14CFE3EB" w14:textId="67D88C00" w:rsidR="00C74AE5" w:rsidRPr="00F53ADD" w:rsidRDefault="00C74AE5" w:rsidP="005D00F9">
            <w:pPr>
              <w:outlineLvl w:val="0"/>
              <w:rPr>
                <w:b/>
                <w:sz w:val="22"/>
                <w:szCs w:val="22"/>
              </w:rPr>
            </w:pPr>
            <w:r w:rsidRPr="00E2620B">
              <w:rPr>
                <w:b/>
                <w:sz w:val="22"/>
                <w:szCs w:val="22"/>
              </w:rPr>
              <w:t xml:space="preserve">Задание </w:t>
            </w:r>
            <w:r w:rsidRPr="00F53ADD">
              <w:rPr>
                <w:b/>
                <w:sz w:val="22"/>
                <w:szCs w:val="22"/>
              </w:rPr>
              <w:t>от</w:t>
            </w:r>
            <w:r>
              <w:rPr>
                <w:b/>
                <w:sz w:val="22"/>
                <w:szCs w:val="22"/>
                <w:lang w:val="en-US"/>
              </w:rPr>
              <w:t> </w:t>
            </w:r>
            <w:r>
              <w:rPr>
                <w:b/>
                <w:sz w:val="22"/>
                <w:szCs w:val="22"/>
              </w:rPr>
              <w:t>____________</w:t>
            </w:r>
            <w:r w:rsidRPr="00F53ADD">
              <w:rPr>
                <w:b/>
                <w:sz w:val="22"/>
                <w:szCs w:val="22"/>
              </w:rPr>
              <w:t>. № 25-5-4280804/</w:t>
            </w:r>
            <w:proofErr w:type="spellStart"/>
            <w:r w:rsidRPr="00F53ADD">
              <w:rPr>
                <w:b/>
                <w:sz w:val="22"/>
                <w:szCs w:val="22"/>
              </w:rPr>
              <w:t>ПРеф</w:t>
            </w:r>
            <w:proofErr w:type="spellEnd"/>
            <w:r w:rsidRPr="00F53ADD">
              <w:rPr>
                <w:b/>
                <w:sz w:val="22"/>
                <w:szCs w:val="22"/>
              </w:rPr>
              <w:t>/ЗД/Э</w:t>
            </w:r>
          </w:p>
        </w:tc>
        <w:tc>
          <w:tcPr>
            <w:tcW w:w="964" w:type="dxa"/>
          </w:tcPr>
          <w:p w14:paraId="0667661F" w14:textId="77777777" w:rsidR="00C74AE5" w:rsidRPr="005C3BF9" w:rsidRDefault="00C74AE5" w:rsidP="005D00F9"/>
        </w:tc>
        <w:tc>
          <w:tcPr>
            <w:tcW w:w="4564" w:type="dxa"/>
          </w:tcPr>
          <w:p w14:paraId="47C56C22" w14:textId="77777777" w:rsidR="00C74AE5" w:rsidRPr="005C3BF9" w:rsidRDefault="00C74AE5" w:rsidP="005D00F9"/>
        </w:tc>
      </w:tr>
    </w:tbl>
    <w:p w14:paraId="487C8865" w14:textId="77777777" w:rsidR="00C74AE5" w:rsidRDefault="00C74AE5" w:rsidP="00C74AE5">
      <w:pPr>
        <w:ind w:left="142" w:firstLine="567"/>
        <w:jc w:val="both"/>
        <w:rPr>
          <w:sz w:val="28"/>
          <w:szCs w:val="28"/>
        </w:rPr>
      </w:pPr>
    </w:p>
    <w:p w14:paraId="6C8973F7" w14:textId="77777777" w:rsidR="00C74AE5" w:rsidRDefault="00C74AE5" w:rsidP="00C74AE5">
      <w:pPr>
        <w:ind w:left="142" w:firstLine="567"/>
        <w:jc w:val="center"/>
        <w:rPr>
          <w:sz w:val="28"/>
          <w:szCs w:val="28"/>
        </w:rPr>
      </w:pPr>
    </w:p>
    <w:p w14:paraId="7032AC6F" w14:textId="77961395" w:rsidR="00C74AE5" w:rsidRPr="00C852A8" w:rsidRDefault="00C74AE5" w:rsidP="00C74AE5">
      <w:pPr>
        <w:ind w:left="142" w:firstLine="567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Уважаемая </w:t>
      </w:r>
      <w:r w:rsidR="00205CF6" w:rsidRPr="00F84A5E">
        <w:rPr>
          <w:sz w:val="28"/>
          <w:szCs w:val="28"/>
        </w:rPr>
        <w:t>_____________________</w:t>
      </w:r>
      <w:r>
        <w:rPr>
          <w:sz w:val="28"/>
          <w:szCs w:val="28"/>
        </w:rPr>
        <w:t>!</w:t>
      </w:r>
    </w:p>
    <w:p w14:paraId="630E1921" w14:textId="77777777" w:rsidR="00C74AE5" w:rsidRPr="00C852A8" w:rsidRDefault="00C74AE5" w:rsidP="00C74AE5">
      <w:pPr>
        <w:ind w:left="142" w:firstLine="567"/>
        <w:jc w:val="both"/>
        <w:rPr>
          <w:sz w:val="28"/>
          <w:szCs w:val="28"/>
        </w:rPr>
      </w:pPr>
    </w:p>
    <w:p w14:paraId="2EE6FC1A" w14:textId="4E7E488B" w:rsidR="00C74AE5" w:rsidRPr="00684BE2" w:rsidRDefault="00C74AE5" w:rsidP="00C74AE5">
      <w:pPr>
        <w:autoSpaceDE w:val="0"/>
        <w:autoSpaceDN w:val="0"/>
        <w:adjustRightInd w:val="0"/>
        <w:ind w:firstLine="567"/>
        <w:jc w:val="both"/>
        <w:rPr>
          <w:sz w:val="28"/>
          <w:szCs w:val="28"/>
        </w:rPr>
      </w:pPr>
      <w:r w:rsidRPr="00684BE2">
        <w:rPr>
          <w:sz w:val="28"/>
          <w:szCs w:val="28"/>
        </w:rPr>
      </w:r>
      <w:r w:rsidR="00E52579" w:rsidRPr="00E52579">
        <w:rPr>
          <w:color w:val="FF0000"/>
          <w:sz w:val="28"/>
          <w:szCs w:val="28"/>
        </w:rPr>
      </w:r>
      <w:r w:rsidR="00BD06FB">
        <w:rPr>
          <w:color w:val="FF0000"/>
          <w:sz w:val="28"/>
          <w:szCs w:val="28"/>
        </w:rPr>
      </w:r>
      <w:r w:rsidR="00D4319B">
        <w:rPr>
          <w:rFonts w:eastAsiaTheme="minorEastAsia"/>
          <w:color w:val="FF0000"/>
          <w:sz w:val="28"/>
          <w:szCs w:val="28"/>
          <w:lang w:val="en-US" w:eastAsia="zh-CN"/>
        </w:rPr>
      </w:r>
      <w:r w:rsidR="00E52579" w:rsidRPr="00E52579">
        <w:rPr>
          <w:rFonts w:eastAsiaTheme="minorEastAsia"/>
          <w:color w:val="FF0000"/>
          <w:sz w:val="28"/>
          <w:szCs w:val="28"/>
          <w:lang w:eastAsia="zh-CN"/>
        </w:rPr>
      </w:r>
      <w:r w:rsidR="00E52579" w:rsidRPr="00E52579">
        <w:rPr>
          <w:rFonts w:eastAsiaTheme="minorEastAsia"/>
          <w:color w:val="FF0000"/>
          <w:sz w:val="28"/>
          <w:szCs w:val="28"/>
          <w:lang w:val="en-US" w:eastAsia="zh-CN"/>
        </w:rPr>
      </w:r>
      <w:r w:rsidR="00BD06FB">
        <w:rPr>
          <w:rFonts w:eastAsiaTheme="minorEastAsia"/>
          <w:color w:val="FF0000"/>
          <w:sz w:val="28"/>
          <w:szCs w:val="28"/>
          <w:lang w:eastAsia="zh-CN"/>
        </w:rPr>
      </w:r>
      <w:r w:rsidR="00E52579" w:rsidRPr="00E52579">
        <w:rPr>
          <w:color w:val="FF0000"/>
          <w:sz w:val="28"/>
          <w:szCs w:val="28"/>
        </w:rPr>
      </w:r>
      <w:r w:rsidRPr="0045721A">
        <w:rPr>
          <w:sz w:val="28"/>
          <w:szCs w:val="28"/>
        </w:rPr>
      </w:r>
      <w:r w:rsidRPr="00684BE2">
        <w:rPr>
          <w:sz w:val="28"/>
          <w:szCs w:val="28"/>
        </w:rPr>
      </w:r>
      <w:r w:rsidR="00E52579">
        <w:rPr>
          <w:sz w:val="28"/>
          <w:szCs w:val="28"/>
        </w:rPr>
      </w:r>
      <w:r w:rsidRPr="00684BE2">
        <w:rPr>
          <w:sz w:val="28"/>
          <w:szCs w:val="28"/>
        </w:rPr>
      </w:r>
      <w:r>
        <w:rPr>
          <w:sz w:val="28"/>
          <w:szCs w:val="28"/>
        </w:rPr>
      </w:r>
      <w:r w:rsidR="00F85B35">
        <w:rPr>
          <w:sz w:val="28"/>
          <w:szCs w:val="28"/>
        </w:rPr>
      </w:r>
      <w:r>
        <w:rPr>
          <w:sz w:val="28"/>
          <w:szCs w:val="28"/>
        </w:rPr>
      </w:r>
      <w:r w:rsidR="00F85B35">
        <w:rPr>
          <w:sz w:val="28"/>
          <w:szCs w:val="28"/>
        </w:rPr>
      </w:r>
      <w:r>
        <w:rPr>
          <w:sz w:val="28"/>
          <w:szCs w:val="28"/>
        </w:rPr>
      </w:r>
      <w:r w:rsidRPr="00A71848">
        <w:rPr>
          <w:sz w:val="28"/>
          <w:szCs w:val="28"/>
        </w:rPr>
      </w:r>
      <w:r w:rsidRPr="00684BE2">
        <w:rPr>
          <w:sz w:val="28"/>
          <w:szCs w:val="28"/>
        </w:rPr>
      </w:r>
      <w:r>
        <w:rPr>
          <w:sz w:val="28"/>
          <w:szCs w:val="28"/>
        </w:rPr>
      </w:r>
      <w:r w:rsidRPr="002A6E2B">
        <w:rPr>
          <w:sz w:val="28"/>
          <w:szCs w:val="28"/>
        </w:rPr>
      </w:r>
      <w:r>
        <w:rPr>
          <w:sz w:val="28"/>
          <w:szCs w:val="28"/>
        </w:rPr>
      </w:r>
      <w:r w:rsidRPr="002A6E2B">
        <w:rPr>
          <w:sz w:val="28"/>
          <w:szCs w:val="28"/>
        </w:rPr>
      </w:r>
      <w:r>
        <w:rPr>
          <w:sz w:val="28"/>
          <w:szCs w:val="28"/>
        </w:rPr>
      </w:r>
      <w:r w:rsidRPr="002A6E2B">
        <w:rPr>
          <w:sz w:val="28"/>
          <w:szCs w:val="28"/>
        </w:rPr>
      </w:r>
      <w:r>
        <w:rPr>
          <w:sz w:val="28"/>
          <w:szCs w:val="28"/>
        </w:rPr>
      </w:r>
      <w:r w:rsidRPr="00684BE2">
        <w:rPr>
          <w:sz w:val="28"/>
          <w:szCs w:val="28"/>
        </w:rPr>
      </w:r>
      <w:r>
        <w:rPr>
          <w:sz w:val="28"/>
          <w:szCs w:val="28"/>
        </w:rPr>
      </w:r>
      <w:r>
        <w:rPr>
          <w:rFonts w:eastAsia="Calibri"/>
          <w:sz w:val="28"/>
          <w:szCs w:val="28"/>
        </w:rPr>
      </w:r>
      <w:r w:rsidRPr="009B7DD8">
        <w:rPr>
          <w:rFonts w:eastAsia="Calibri"/>
          <w:sz w:val="28"/>
          <w:szCs w:val="28"/>
        </w:rPr>
      </w:r>
      <w:r>
        <w:rPr>
          <w:rFonts w:eastAsia="Calibri"/>
          <w:sz w:val="28"/>
          <w:szCs w:val="28"/>
        </w:rPr>
      </w:r>
      <w:r>
        <w:t>При проведении экспертизы лекарственного средства Примовист ® , 0,25 ммоль/мл, раствор для внутривенного введения, мною, экспертом, входящим в состав комиссии экспертов по заданию от _____. № _____________, выданному Минздравом России экспертному учреждению в соответствии с положениями Решения Совета ЕЭК от 03.11.2016 N 78 «О Правилах регистрации и экспертизы лекарственных средств для медицинского применения» (далее – Правила) выявлена необходимость направления заявителю запроса о представлении дополнительной информации, необходимых уточнений, касающихся представленных документов и данных регистрационного досье лекарственного препарата.</w:t>
      </w:r>
    </w:p>
    <w:p w14:paraId="3FCE1F39" w14:textId="132DA94F" w:rsidR="00F84A5E" w:rsidRDefault="00C74AE5" w:rsidP="00F84A5E">
      <w:pPr>
        <w:ind w:right="-143" w:firstLine="539"/>
        <w:jc w:val="both"/>
        <w:rPr>
          <w:iCs/>
          <w:sz w:val="28"/>
          <w:szCs w:val="28"/>
        </w:rPr>
      </w:pPr>
      <w:r>
        <w:rPr>
          <w:sz w:val="28"/>
          <w:szCs w:val="28"/>
        </w:rPr>
        <w:t>В целях подготовки всесторонне обоснованного и объективного экспертного отчета</w:t>
      </w:r>
      <w:r w:rsidRPr="00C852A8">
        <w:rPr>
          <w:sz w:val="28"/>
          <w:szCs w:val="28"/>
        </w:rPr>
        <w:t xml:space="preserve"> </w:t>
      </w:r>
      <w:r>
        <w:rPr>
          <w:iCs/>
          <w:sz w:val="28"/>
          <w:szCs w:val="28"/>
        </w:rPr>
        <w:t>необходимо предоставление следующей информации:</w:t>
      </w:r>
    </w:p>
    <w:p w14:paraId="06EEAA4B" w14:textId="77777777" w:rsidR="00FD2C3D" w:rsidRPr="00FD2C3D" w:rsidRDefault="00FD2C3D" w:rsidP="00FD2C3D">
      <w:pPr>
        <w:ind w:right="-143" w:firstLine="539"/>
        <w:jc w:val="both"/>
        <w:rPr>
          <w:sz w:val="28"/>
          <w:szCs w:val="28"/>
        </w:rPr>
      </w:pPr>
      <w:r w:rsidRPr="00FD2C3D">
        <w:rPr>
          <w:sz w:val="28"/>
          <w:szCs w:val="28"/>
        </w:rPr>
        <w:t>Необходимо в разделе 1.3.1. регистрационного досье в форме общего технического документа (в электронном досье с учетом соответствующего кода видов документов) представить проект общей характеристики лекарственного препарата (ОХЛП), который требуется привести в соответствие с учетом Требований, утвержденных Решением Совета ЕЭК от 03.11.2016 № 88:</w:t>
      </w:r>
    </w:p>
    <w:p w14:paraId="0D07B4AC" w14:textId="4A3C9D59" w:rsidR="00FD2C3D" w:rsidRPr="000C78F6" w:rsidRDefault="00FD2C3D" w:rsidP="00FD2C3D">
      <w:pPr>
        <w:ind w:right="-143" w:firstLine="539"/>
        <w:jc w:val="both"/>
        <w:rPr>
          <w:sz w:val="28"/>
          <w:szCs w:val="28"/>
        </w:rPr>
      </w:pPr>
      <w:r w:rsidRPr="00FD2C3D">
        <w:rPr>
          <w:sz w:val="28"/>
          <w:szCs w:val="28"/>
        </w:rPr>
        <w:t>При подготовке ответа на запрос рекомендуется учитывать «Рекомендации по составлению проекта общей характеристики лекарственного препарата (ОХЛП)», размещенные на сайте ФГБУ «НЦЭСМП» Минздрава России в разделе «Экспертиза», в подразделе «Заявителям», в рубрике «Библиотека документов» (далее – Рекомендации к ОХЛП)</w:t>
      </w:r>
      <w:r w:rsidR="000C78F6" w:rsidRPr="000C78F6">
        <w:rPr>
          <w:sz w:val="28"/>
          <w:szCs w:val="28"/>
        </w:rPr>
        <w:t>.</w:t>
      </w:r>
    </w:p>
    <w:p w14:paraId="23CCA299" w14:textId="7EAC27F7" w:rsidR="00F84A5E" w:rsidRPr="00F84A5E" w:rsidRDefault="00F84A5E" w:rsidP="00F84A5E">
      <w:pPr>
        <w:ind w:right="-143" w:firstLine="539"/>
        <w:jc w:val="both"/>
        <w:rPr>
          <w:iCs/>
          <w:sz w:val="28"/>
          <w:szCs w:val="28"/>
        </w:rPr>
      </w:pPr>
      <w:r/>
    </w:p>
    <w:p>
      <w:pPr>
        <w:ind w:firstLine="567"/>
        <w:jc w:val="both"/>
      </w:pPr>
      <w:r>
        <w:rPr>
          <w:b/>
        </w:rPr>
        <w:t xml:space="preserve">1. Что из себя представляет препарат Х, и для чего его применяют: </w:t>
      </w:r>
      <w:r>
        <w:t>раздел не содержит информации о торговом наименовании, действующих веществах и фармакотерапевтической группе препарата. Также отсутствуют указания на показания к применению в соответствии с разделом 4.1 ОХЛП.</w:t>
      </w:r>
    </w:p>
    <w:p>
      <w:pPr>
        <w:ind w:firstLine="567"/>
        <w:jc w:val="both"/>
      </w:pPr>
      <w:r>
        <w:rPr>
          <w:b/>
        </w:rPr>
        <w:t xml:space="preserve">2. О чем следует знать перед &lt;приемом&gt; &lt;применением&gt; препарата Х: </w:t>
      </w:r>
      <w:r>
        <w:t>в разделе отсутствуют стандартные фразы и предупреждения, указанные в рекомендациях. Например, отсутствует фраза «Перед приёмом препарата Х проконсультируйтесь с лечащим врачом». Также не указано, какие меры предосторожности следует предпринять пациенту для минимизации потенциального риска.</w:t>
      </w:r>
    </w:p>
    <w:p>
      <w:pPr>
        <w:ind w:firstLine="567"/>
        <w:jc w:val="both"/>
      </w:pPr>
      <w:r>
        <w:rPr>
          <w:b/>
        </w:rPr>
        <w:t xml:space="preserve">3. &lt;Прием&gt; &lt;Применение&gt; препарата Х: </w:t>
      </w:r>
      <w:r>
        <w:t>отсутствует информация о пути и способе введения препарата. Не указаны стандартные фразы и рекомендации по применению.</w:t>
      </w:r>
    </w:p>
    <w:p>
      <w:pPr>
        <w:ind w:firstLine="567"/>
        <w:jc w:val="both"/>
      </w:pPr>
      <w:r>
        <w:rPr>
          <w:b/>
        </w:rPr>
        <w:t xml:space="preserve">4. Возможные нежелательные реакции: </w:t>
      </w:r>
      <w:r>
        <w:t>в разделе отсутствуют ключевые элементы, предусмотренные рекомендациями. Не выделены наиболее серьёзные нежелательные реакции и не приведены чёткие инструкции относительно принимаемых мер. Отсутствует градация частоты нежелательных реакций и не указано, как группируются нежелательные реакции по их частоте.</w:t>
      </w:r>
    </w:p>
    <w:p>
      <w:pPr>
        <w:ind w:firstLine="567"/>
        <w:jc w:val="both"/>
      </w:pPr>
      <w:r>
        <w:rPr>
          <w:b/>
        </w:rPr>
        <w:t xml:space="preserve">5. Хранение препарата Х: </w:t>
      </w:r>
      <w:r>
        <w:t>отсутствует стандартная фраза о хранении в недоступном для детей месте. Не указано предупреждение о применении препарата после истечения срока годности и соответствующая информация по условию хранения. Нет данных о сроке годности после восстановления, разведения или после первого вскрытия первичной упаковки. Не приведены предупреждения о признаках непригодности препарата к применению. Отсутствует информация по утилизации.</w:t>
      </w:r>
    </w:p>
    <w:p>
      <w:pPr>
        <w:ind w:firstLine="567"/>
        <w:jc w:val="both"/>
      </w:pPr>
      <w:r>
        <w:rPr>
          <w:b/>
        </w:rPr>
        <w:t xml:space="preserve">6. Содержимое упаковки и дополнительные сведения: </w:t>
      </w:r>
      <w:r>
        <w:t>раздел не содержит информации о действующих и вспомогательных веществах, лекарственной форме, внешнем виде препарата и содержимом упаковки, категории отпуска, наименовании и адресах держателя регистрационного удостоверения и производителя. Отсутствует также информация о пострегистрационных мерах.</w:t>
      </w:r>
    </w:p>
    <w:p w14:paraId="799EE8C6" w14:textId="77777777" w:rsidR="00C74AE5" w:rsidRPr="00C852A8" w:rsidRDefault="00C74AE5" w:rsidP="00C74AE5">
      <w:pPr>
        <w:jc w:val="both"/>
        <w:rPr>
          <w:sz w:val="28"/>
          <w:szCs w:val="28"/>
        </w:rPr>
      </w:pPr>
    </w:p>
    <w:tbl>
      <w:tblPr>
        <w:tblpPr w:leftFromText="180" w:rightFromText="180" w:vertAnchor="text" w:horzAnchor="page" w:tblpX="1198" w:tblpY="217"/>
        <w:tblW w:w="10065" w:type="dxa"/>
        <w:tblLook w:val="01E0" w:firstRow="1" w:lastRow="1" w:firstColumn="1" w:lastColumn="1" w:noHBand="0" w:noVBand="0"/>
      </w:tblPr>
      <w:tblGrid>
        <w:gridCol w:w="5920"/>
        <w:gridCol w:w="4145"/>
      </w:tblGrid>
      <w:tr w:rsidR="00C74AE5" w:rsidRPr="004575A1" w14:paraId="6C2863F2" w14:textId="77777777" w:rsidTr="005D00F9">
        <w:tc>
          <w:tcPr>
            <w:tcW w:w="5920" w:type="dxa"/>
          </w:tcPr>
          <w:p w14:paraId="6055001E" w14:textId="77777777" w:rsidR="00C74AE5" w:rsidRPr="004575A1" w:rsidRDefault="00C74AE5" w:rsidP="00D01840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4145" w:type="dxa"/>
          </w:tcPr>
          <w:p w14:paraId="37F27968" w14:textId="77777777" w:rsidR="00C74AE5" w:rsidRPr="004575A1" w:rsidRDefault="00C74AE5" w:rsidP="005D00F9">
            <w:pPr>
              <w:ind w:left="540" w:hanging="180"/>
              <w:jc w:val="right"/>
              <w:rPr>
                <w:sz w:val="28"/>
                <w:szCs w:val="28"/>
              </w:rPr>
            </w:pPr>
          </w:p>
        </w:tc>
      </w:tr>
      <w:tr w:rsidR="00C74AE5" w:rsidRPr="00AD3A1A" w14:paraId="46F478C0" w14:textId="77777777" w:rsidTr="005D00F9">
        <w:tc>
          <w:tcPr>
            <w:tcW w:w="5920" w:type="dxa"/>
          </w:tcPr>
          <w:p w14:paraId="648F1A98" w14:textId="77777777" w:rsidR="00C74AE5" w:rsidRPr="00237EC2" w:rsidRDefault="00C74AE5" w:rsidP="00D01840">
            <w:pPr>
              <w:rPr>
                <w:sz w:val="28"/>
                <w:szCs w:val="28"/>
              </w:rPr>
            </w:pPr>
          </w:p>
        </w:tc>
        <w:tc>
          <w:tcPr>
            <w:tcW w:w="4145" w:type="dxa"/>
            <w:vAlign w:val="bottom"/>
          </w:tcPr>
          <w:p w14:paraId="60FC37C5" w14:textId="77777777" w:rsidR="00C74AE5" w:rsidRPr="00237EC2" w:rsidRDefault="00C74AE5" w:rsidP="005D00F9">
            <w:pPr>
              <w:rPr>
                <w:sz w:val="28"/>
                <w:szCs w:val="28"/>
              </w:rPr>
            </w:pPr>
          </w:p>
        </w:tc>
      </w:tr>
      <w:tr w:rsidR="00C74AE5" w:rsidRPr="00AD3A1A" w14:paraId="3B0721C1" w14:textId="77777777" w:rsidTr="005D00F9">
        <w:tc>
          <w:tcPr>
            <w:tcW w:w="5920" w:type="dxa"/>
          </w:tcPr>
          <w:p w14:paraId="2BC94514" w14:textId="77777777" w:rsidR="00C74AE5" w:rsidRPr="002A6E2B" w:rsidRDefault="00C74AE5" w:rsidP="00D01840">
            <w:pPr>
              <w:rPr>
                <w:sz w:val="28"/>
                <w:szCs w:val="28"/>
              </w:rPr>
            </w:pPr>
          </w:p>
        </w:tc>
        <w:tc>
          <w:tcPr>
            <w:tcW w:w="4145" w:type="dxa"/>
          </w:tcPr>
          <w:p w14:paraId="636BD63F" w14:textId="77777777" w:rsidR="00C74AE5" w:rsidRPr="002A6E2B" w:rsidRDefault="00C74AE5" w:rsidP="005D00F9">
            <w:pPr>
              <w:rPr>
                <w:sz w:val="28"/>
                <w:szCs w:val="28"/>
              </w:rPr>
            </w:pPr>
          </w:p>
        </w:tc>
      </w:tr>
      <w:tr w:rsidR="00C74AE5" w:rsidRPr="00AD3A1A" w14:paraId="33005AF5" w14:textId="77777777" w:rsidTr="005D00F9">
        <w:tc>
          <w:tcPr>
            <w:tcW w:w="5920" w:type="dxa"/>
          </w:tcPr>
          <w:p w14:paraId="1BA6AE0D" w14:textId="6EC8306F" w:rsidR="00C74AE5" w:rsidRPr="00C74AE5" w:rsidRDefault="00C74AE5" w:rsidP="00D01840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>Эксперт</w:t>
            </w:r>
            <w:r>
              <w:rPr>
                <w:sz w:val="28"/>
                <w:szCs w:val="28"/>
                <w:lang w:val="en-US"/>
              </w:rPr>
              <w:t xml:space="preserve"> …</w:t>
            </w:r>
          </w:p>
        </w:tc>
        <w:tc>
          <w:tcPr>
            <w:tcW w:w="4145" w:type="dxa"/>
            <w:vAlign w:val="bottom"/>
          </w:tcPr>
          <w:p w14:paraId="646FE064" w14:textId="7379FD6E" w:rsidR="00C74AE5" w:rsidRPr="00C74AE5" w:rsidRDefault="00C74AE5" w:rsidP="005D00F9">
            <w:pPr>
              <w:jc w:val="righ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Иванов И.И.</w:t>
            </w:r>
          </w:p>
        </w:tc>
      </w:tr>
    </w:tbl>
    <w:p w14:paraId="2FAE41CC" w14:textId="78859152" w:rsidR="00C74AE5" w:rsidRDefault="00E52DCB" w:rsidP="00C74AE5">
      <w:pPr>
        <w:rPr>
          <w:sz w:val="20"/>
        </w:rPr>
      </w:pPr>
      <w:r w:rsidRPr="00B22FDF">
        <w:rPr>
          <w:color w:val="FF0000"/>
          <w:sz w:val="28"/>
          <w:szCs w:val="28"/>
          <w:lang w:val="en-US"/>
        </w:rPr>
      </w:r>
      <w:r>
        <w:rPr>
          <w:color w:val="FF0000"/>
          <w:sz w:val="28"/>
          <w:szCs w:val="28"/>
        </w:rPr>
      </w:r>
      <w:r w:rsidRPr="00B22FDF">
        <w:rPr>
          <w:color w:val="FF0000"/>
          <w:sz w:val="28"/>
          <w:szCs w:val="28"/>
          <w:lang w:val="en-US"/>
        </w:rPr>
      </w:r>
      <w:r>
        <w:rPr>
          <w:color w:val="FF0000"/>
          <w:sz w:val="28"/>
          <w:szCs w:val="28"/>
        </w:rPr>
      </w:r>
      <w:r w:rsidRPr="00B22FDF">
        <w:rPr>
          <w:color w:val="FF0000"/>
          <w:sz w:val="28"/>
          <w:szCs w:val="28"/>
          <w:lang w:val="en-US"/>
        </w:rPr>
      </w:r>
      <w:r>
        <w:t>01.08.2025 г.</w:t>
      </w:r>
    </w:p>
    <w:p w14:paraId="475E3D8D" w14:textId="056C1DC6" w:rsidR="00345710" w:rsidRPr="00345710" w:rsidRDefault="00345710" w:rsidP="00345710">
      <w:pPr>
        <w:rPr>
          <w:sz w:val="20"/>
        </w:rPr>
      </w:pPr>
    </w:p>
    <w:p w14:paraId="6CCC11C5" w14:textId="77777777" w:rsidR="00345710" w:rsidRDefault="00345710" w:rsidP="00345710">
      <w:pPr>
        <w:tabs>
          <w:tab w:val="left" w:pos="1047"/>
        </w:tabs>
        <w:rPr>
          <w:sz w:val="20"/>
        </w:rPr>
        <w:sectPr w:rsidR="00345710" w:rsidSect="00C74AE5">
          <w:headerReference w:type="default" r:id="rId7"/>
          <w:pgSz w:w="11906" w:h="16838"/>
          <w:pgMar w:top="1134" w:right="851" w:bottom="1134" w:left="1134" w:header="709" w:footer="1134" w:gutter="0"/>
          <w:cols w:space="708"/>
          <w:titlePg/>
          <w:docGrid w:linePitch="360"/>
        </w:sectPr>
      </w:pPr>
      <w:r>
        <w:rPr>
          <w:sz w:val="20"/>
        </w:rPr>
        <w:tab/>
      </w:r>
    </w:p>
    <w:p w14:paraId="1F7FC7E8" w14:textId="6759D956" w:rsidR="00345710" w:rsidRPr="000774F1" w:rsidRDefault="000774F1" w:rsidP="000774F1">
      <w:pPr>
        <w:tabs>
          <w:tab w:val="left" w:pos="1047"/>
        </w:tabs>
        <w:jc w:val="right"/>
        <w:rPr>
          <w:b/>
          <w:bCs/>
          <w:sz w:val="28"/>
          <w:szCs w:val="28"/>
        </w:rPr>
      </w:pPr>
      <w:r w:rsidRPr="000774F1">
        <w:rPr>
          <w:b/>
          <w:bCs/>
          <w:sz w:val="28"/>
          <w:szCs w:val="28"/>
        </w:rPr>
        <w:lastRenderedPageBreak/>
        <w:t>Приложение 1</w:t>
      </w:r>
    </w:p>
    <w:p w14:paraId="3D5BFC84" w14:textId="77777777" w:rsidR="000774F1" w:rsidRPr="000774F1" w:rsidRDefault="000774F1" w:rsidP="000774F1">
      <w:pPr>
        <w:jc w:val="center"/>
        <w:rPr>
          <w:b/>
          <w:bCs/>
          <w:sz w:val="28"/>
          <w:szCs w:val="28"/>
        </w:rPr>
      </w:pPr>
      <w:r w:rsidRPr="000774F1">
        <w:rPr>
          <w:b/>
          <w:bCs/>
          <w:sz w:val="28"/>
          <w:szCs w:val="28"/>
        </w:rPr>
        <w:t>ПРОТОКОЛ АНАЛИЗА РАЗЛИЧИЙ ДОКУМЕНТОВ</w:t>
      </w:r>
    </w:p>
    <w:p w14:paraId="0CF31F1C" w14:textId="77777777" w:rsidR="000774F1" w:rsidRDefault="000774F1" w:rsidP="000774F1">
      <w:pPr>
        <w:jc w:val="both"/>
        <w:rPr>
          <w:sz w:val="28"/>
          <w:szCs w:val="28"/>
        </w:rPr>
      </w:pPr>
    </w:p>
    <w:p w14:paraId="65FD2FC4" w14:textId="6E6760A9" w:rsidR="000774F1" w:rsidRDefault="000774F1" w:rsidP="000774F1">
      <w:pPr>
        <w:autoSpaceDE w:val="0"/>
        <w:autoSpaceDN w:val="0"/>
        <w:adjustRightInd w:val="0"/>
        <w:ind w:firstLine="567"/>
        <w:jc w:val="both"/>
        <w:rPr>
          <w:iCs/>
          <w:sz w:val="28"/>
          <w:szCs w:val="28"/>
        </w:rPr>
      </w:pPr>
      <w:r>
        <w:rPr>
          <w:sz w:val="28"/>
          <w:szCs w:val="28"/>
        </w:rPr>
      </w:r>
      <w:r>
        <w:rPr>
          <w:color w:val="FF0000"/>
          <w:sz w:val="28"/>
          <w:szCs w:val="28"/>
        </w:rPr>
      </w:r>
      <w:r w:rsidR="00BD06FB">
        <w:rPr>
          <w:color w:val="FF0000"/>
          <w:sz w:val="28"/>
          <w:szCs w:val="28"/>
        </w:rPr>
      </w:r>
      <w:r w:rsidR="00D4319B">
        <w:rPr>
          <w:rFonts w:eastAsiaTheme="minorEastAsia"/>
          <w:color w:val="FF0000"/>
          <w:sz w:val="28"/>
          <w:szCs w:val="28"/>
          <w:lang w:val="en-US" w:eastAsia="zh-CN"/>
        </w:rPr>
      </w:r>
      <w:r w:rsidR="00D4319B" w:rsidRPr="00D4319B">
        <w:rPr>
          <w:rFonts w:eastAsiaTheme="minorEastAsia"/>
          <w:color w:val="FF0000"/>
          <w:sz w:val="28"/>
          <w:szCs w:val="28"/>
          <w:lang w:eastAsia="zh-CN"/>
        </w:rPr>
      </w:r>
      <w:r w:rsidR="00D4319B">
        <w:rPr>
          <w:rFonts w:eastAsiaTheme="minorEastAsia"/>
          <w:color w:val="FF0000"/>
          <w:sz w:val="28"/>
          <w:szCs w:val="28"/>
          <w:lang w:val="en-US" w:eastAsia="zh-CN"/>
        </w:rPr>
      </w:r>
      <w:r w:rsidR="00BD06FB">
        <w:rPr>
          <w:rFonts w:eastAsiaTheme="minorEastAsia"/>
          <w:color w:val="FF0000"/>
          <w:sz w:val="28"/>
          <w:szCs w:val="28"/>
          <w:lang w:eastAsia="zh-CN"/>
        </w:rPr>
      </w:r>
      <w:r>
        <w:rPr>
          <w:color w:val="FF0000"/>
          <w:sz w:val="28"/>
          <w:szCs w:val="28"/>
        </w:rPr>
      </w:r>
      <w:r>
        <w:rPr>
          <w:sz w:val="28"/>
          <w:szCs w:val="28"/>
        </w:rPr>
      </w:r>
      <w:r w:rsidR="00D4319B" w:rsidRPr="00D4319B">
        <w:rPr>
          <w:color w:val="FF0000"/>
          <w:sz w:val="28"/>
          <w:szCs w:val="28"/>
        </w:rPr>
      </w:r>
      <w:r w:rsidR="00D4319B" w:rsidRPr="00D4319B">
        <w:rPr>
          <w:color w:val="FF0000"/>
          <w:sz w:val="28"/>
          <w:szCs w:val="28"/>
          <w:lang w:val="en-US"/>
        </w:rPr>
      </w:r>
      <w:r w:rsidR="00D4319B" w:rsidRPr="00D4319B">
        <w:rPr>
          <w:color w:val="FF0000"/>
          <w:sz w:val="28"/>
          <w:szCs w:val="28"/>
        </w:rPr>
      </w:r>
      <w:r w:rsidR="00D4319B" w:rsidRPr="00D4319B">
        <w:rPr>
          <w:color w:val="FF0000"/>
          <w:sz w:val="28"/>
          <w:szCs w:val="28"/>
          <w:lang w:val="en-US"/>
        </w:rPr>
      </w:r>
      <w:r w:rsidR="00D4319B" w:rsidRPr="00D4319B">
        <w:rPr>
          <w:color w:val="FF0000"/>
          <w:sz w:val="28"/>
          <w:szCs w:val="28"/>
        </w:rPr>
      </w:r>
      <w:r w:rsidR="00D4319B" w:rsidRPr="00D4319B">
        <w:rPr>
          <w:sz w:val="28"/>
          <w:szCs w:val="28"/>
        </w:rPr>
      </w:r>
      <w:r>
        <w:rPr>
          <w:sz w:val="28"/>
          <w:szCs w:val="28"/>
        </w:rPr>
      </w:r>
      <w:r>
        <w:rPr>
          <w:iCs/>
          <w:sz w:val="28"/>
          <w:szCs w:val="28"/>
        </w:rPr>
      </w:r>
      <w:r>
        <w:t>При проведении сравнения инструкции лекарственного средства Примовист ® , 0,25 ммоль/мл, раствор для внутривенного введения с эталоном  выявлены следующие различия:</w:t>
      </w:r>
    </w:p>
    <w:p w14:paraId="4E9750D2" w14:textId="1F9F0C3D" w:rsidR="000774F1" w:rsidRDefault="000774F1" w:rsidP="000774F1">
      <w:pPr>
        <w:autoSpaceDE w:val="0"/>
        <w:autoSpaceDN w:val="0"/>
        <w:adjustRightInd w:val="0"/>
        <w:ind w:firstLine="567"/>
        <w:jc w:val="both"/>
        <w:rPr>
          <w:iCs/>
          <w:sz w:val="28"/>
          <w:szCs w:val="28"/>
        </w:rPr>
      </w:pP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7280"/>
        <w:gridCol w:w="7280"/>
      </w:tblGrid>
      <w:tr w:rsidR="00FB11A4" w14:paraId="6E603230" w14:textId="77777777" w:rsidTr="00E94612">
        <w:tc>
          <w:tcPr>
            <w:tcW w:w="7280" w:type="dxa"/>
          </w:tcPr>
          <w:p w14:paraId="66304990" w14:textId="38911545" w:rsidR="00FB11A4" w:rsidRPr="00932124" w:rsidRDefault="00FB11A4" w:rsidP="00E94612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932124">
              <w:rPr>
                <w:b/>
                <w:bCs/>
                <w:color w:val="FF0000"/>
                <w:sz w:val="28"/>
                <w:szCs w:val="28"/>
              </w:rPr>
            </w:r>
            <w:r w:rsidRPr="00932124">
              <w:rPr>
                <w:b/>
                <w:bCs/>
                <w:color w:val="FF0000"/>
                <w:sz w:val="28"/>
                <w:szCs w:val="28"/>
                <w:lang w:val="en-US"/>
              </w:rPr>
            </w:r>
            <w:r w:rsidRPr="00932124">
              <w:rPr>
                <w:b/>
                <w:bCs/>
                <w:color w:val="FF0000"/>
                <w:sz w:val="28"/>
                <w:szCs w:val="28"/>
              </w:rPr>
            </w:r>
            <w:r w:rsidRPr="00932124">
              <w:rPr>
                <w:b/>
                <w:bCs/>
                <w:color w:val="FF0000"/>
                <w:sz w:val="28"/>
                <w:szCs w:val="28"/>
                <w:lang w:val="en-US"/>
              </w:rPr>
            </w:r>
            <w:proofErr w:type="gramStart"/>
            <w:r w:rsidRPr="00932124">
              <w:rPr>
                <w:b/>
                <w:bCs/>
                <w:color w:val="FF0000"/>
                <w:sz w:val="28"/>
                <w:szCs w:val="28"/>
              </w:rPr>
            </w:r>
            <w:r w:rsidRPr="00932124">
              <w:rPr>
                <w:b/>
                <w:bCs/>
                <w:sz w:val="28"/>
                <w:szCs w:val="28"/>
              </w:rPr>
            </w:r>
            <w:r w:rsidRPr="00932124">
              <w:rPr>
                <w:b/>
                <w:bCs/>
              </w:rPr>
            </w:r>
            <w:proofErr w:type="gramEnd"/>
            <w:r w:rsidRPr="00932124">
              <w:rPr>
                <w:b/>
                <w:bCs/>
              </w:rPr>
            </w:r>
            <w:r>
              <w:t xml:space="preserve">  (референтный)</w:t>
            </w:r>
          </w:p>
        </w:tc>
        <w:tc>
          <w:tcPr>
            <w:tcW w:w="7280" w:type="dxa"/>
          </w:tcPr>
          <w:p w14:paraId="658304E8" w14:textId="451B4C57" w:rsidR="00FB11A4" w:rsidRPr="00932124" w:rsidRDefault="00FB11A4" w:rsidP="00E94612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932124">
              <w:rPr>
                <w:b/>
                <w:bCs/>
                <w:color w:val="FF0000"/>
                <w:sz w:val="28"/>
                <w:szCs w:val="28"/>
              </w:rPr>
            </w:r>
            <w:r w:rsidRPr="00932124">
              <w:rPr>
                <w:rFonts w:eastAsiaTheme="minorEastAsia"/>
                <w:b/>
                <w:bCs/>
                <w:color w:val="FF0000"/>
                <w:sz w:val="28"/>
                <w:szCs w:val="28"/>
                <w:lang w:val="en-US" w:eastAsia="zh-CN"/>
              </w:rPr>
            </w:r>
            <w:r w:rsidRPr="00932124">
              <w:rPr>
                <w:rFonts w:eastAsiaTheme="minorEastAsia"/>
                <w:b/>
                <w:bCs/>
                <w:color w:val="FF0000"/>
                <w:sz w:val="28"/>
                <w:szCs w:val="28"/>
                <w:lang w:eastAsia="zh-CN"/>
              </w:rPr>
            </w:r>
            <w:r w:rsidRPr="00932124">
              <w:rPr>
                <w:rFonts w:eastAsiaTheme="minorEastAsia"/>
                <w:b/>
                <w:bCs/>
                <w:color w:val="FF0000"/>
                <w:sz w:val="28"/>
                <w:szCs w:val="28"/>
                <w:lang w:val="en-US" w:eastAsia="zh-CN"/>
              </w:rPr>
            </w:r>
            <w:proofErr w:type="gramStart"/>
            <w:r w:rsidRPr="00932124">
              <w:rPr>
                <w:rFonts w:eastAsiaTheme="minorEastAsia"/>
                <w:b/>
                <w:bCs/>
                <w:color w:val="FF0000"/>
                <w:sz w:val="28"/>
                <w:szCs w:val="28"/>
                <w:lang w:eastAsia="zh-CN"/>
              </w:rPr>
            </w:r>
            <w:r w:rsidRPr="00932124">
              <w:rPr>
                <w:b/>
                <w:bCs/>
                <w:color w:val="FF0000"/>
                <w:sz w:val="28"/>
                <w:szCs w:val="28"/>
              </w:rPr>
            </w:r>
            <w:r w:rsidRPr="00932124">
              <w:rPr>
                <w:b/>
                <w:bCs/>
                <w:sz w:val="28"/>
                <w:szCs w:val="28"/>
              </w:rPr>
            </w:r>
            <w:r w:rsidRPr="00932124">
              <w:rPr>
                <w:b/>
                <w:bCs/>
              </w:rPr>
            </w:r>
            <w:proofErr w:type="gramEnd"/>
            <w:r w:rsidRPr="00932124">
              <w:rPr>
                <w:b/>
                <w:bCs/>
              </w:rPr>
            </w:r>
            <w:r>
              <w:t>Примовист ® , 0,25 ммоль/мл, раствор для внутривенного введения  (оцениваемый)</w:t>
            </w:r>
          </w:p>
        </w:tc>
      </w:tr>
      <w:tr w:rsidR="00732AD7" w14:paraId="3A09161D" w14:textId="77777777" w:rsidTr="00E94612">
        <w:tc>
          <w:tcPr>
            <w:tcW w:w="7280" w:type="dxa"/>
          </w:tcPr>
          <w:p w14:paraId="57279A0E" w14:textId="6DE45E94" w:rsidR="00732AD7" w:rsidRPr="00732AD7" w:rsidRDefault="00732AD7" w:rsidP="00732AD7">
            <w:pPr>
              <w:autoSpaceDE w:val="0"/>
              <w:autoSpaceDN w:val="0"/>
              <w:adjustRightInd w:val="0"/>
              <w:ind w:left="113"/>
              <w:jc w:val="both"/>
              <w:rPr>
                <w:b/>
                <w:spacing w:val="1"/>
                <w:sz w:val="24"/>
                <w:szCs w:val="24"/>
              </w:rPr>
            </w:pPr>
            <w:r w:rsidRPr="00833151">
              <w:rPr>
                <w:b/>
                <w:spacing w:val="1"/>
                <w:sz w:val="24"/>
                <w:szCs w:val="24"/>
              </w:rPr>
              <w:t>1. Что из себя представляет препарат Х, и для чего его применяют</w:t>
            </w:r>
          </w:p>
          <w:p/>
        </w:tc>
        <w:tc>
          <w:tcPr>
            <w:tcW w:w="7280" w:type="dxa"/>
          </w:tcPr>
          <w:p w14:paraId="254DF051" w14:textId="6D0D40A2" w:rsidR="00732AD7" w:rsidRPr="00732AD7" w:rsidRDefault="00732AD7" w:rsidP="00732AD7">
            <w:pPr>
              <w:autoSpaceDE w:val="0"/>
              <w:autoSpaceDN w:val="0"/>
              <w:adjustRightInd w:val="0"/>
              <w:ind w:left="113"/>
              <w:jc w:val="both"/>
              <w:rPr>
                <w:b/>
                <w:spacing w:val="1"/>
                <w:sz w:val="24"/>
                <w:szCs w:val="24"/>
              </w:rPr>
            </w:pPr>
            <w:r w:rsidRPr="00833151">
              <w:rPr>
                <w:b/>
                <w:spacing w:val="1"/>
                <w:sz w:val="24"/>
                <w:szCs w:val="24"/>
              </w:rPr>
              <w:t>1. Что из себя представляет препарат Х, и для чего его применяют</w:t>
            </w:r>
          </w:p>
          <w:p/>
        </w:tc>
      </w:tr>
      <w:tr w:rsidR="0007116C" w14:paraId="5B7B95CC" w14:textId="77777777" w:rsidTr="00E94612">
        <w:tc>
          <w:tcPr>
            <w:tcW w:w="7280" w:type="dxa"/>
          </w:tcPr>
          <w:p w14:paraId="0ADF122E" w14:textId="77777777" w:rsidR="00732AD7" w:rsidRPr="00510794" w:rsidRDefault="00732AD7" w:rsidP="00732AD7">
            <w:pPr>
              <w:autoSpaceDE w:val="0"/>
              <w:autoSpaceDN w:val="0"/>
              <w:adjustRightInd w:val="0"/>
              <w:ind w:left="113"/>
              <w:jc w:val="both"/>
              <w:rPr>
                <w:b/>
                <w:spacing w:val="1"/>
                <w:sz w:val="24"/>
                <w:szCs w:val="24"/>
              </w:rPr>
            </w:pPr>
            <w:r w:rsidRPr="00510794">
              <w:rPr>
                <w:b/>
                <w:spacing w:val="1"/>
                <w:sz w:val="24"/>
                <w:szCs w:val="24"/>
              </w:rPr>
              <w:t>2. О чем следует знать перед &lt;приемом&gt; &lt;применением&gt; препарата Х</w:t>
            </w:r>
          </w:p>
          <w:p w14:paraId="318750F7" w14:textId="51415A5F" w:rsidR="0007116C" w:rsidRPr="00732AD7" w:rsidRDefault="0007116C" w:rsidP="00732AD7">
            <w:pPr>
              <w:autoSpaceDE w:val="0"/>
              <w:autoSpaceDN w:val="0"/>
              <w:adjustRightInd w:val="0"/>
              <w:ind w:left="113"/>
              <w:jc w:val="both"/>
              <w:rPr>
                <w:b/>
                <w:spacing w:val="1"/>
                <w:sz w:val="24"/>
                <w:szCs w:val="24"/>
              </w:rPr>
            </w:pPr>
          </w:p>
          <w:p>
            <w:r>
              <w:rPr>
                <w:color w:val="008000"/>
              </w:rPr>
              <w:t>Противопоказания</w:t>
              <w:br/>
              <w:t xml:space="preserve"> Не применяйте препарат Примовист ®, если:</w:t>
              <w:br/>
              <w:br/>
              <w:t>у Вас аллергия на гадоксетовую кислоту или любые другие препараты, содержащие гадолиний, или любые другие компоненты препарата (перечисленные в разделе 6 листка-вкладыша).</w:t>
              <w:br/>
              <w:t>Ваш возраст менее 18 лет.</w:t>
              <w:br/>
              <w:t xml:space="preserve"> Особые указания и меры предосторожности</w:t>
              <w:br/>
              <w:t xml:space="preserve"> Перед применением препарата Примовист ® проконсультируйтесь с Вашим лечащим врачом. Обязательно проинформируйте врача, если у Вас установлен кардиостимулятор или металлический (ферромагнитный) имплант-это обстоятельства, при которых МРТ не проводится.</w:t>
              <w:br/>
              <w:t xml:space="preserve"> До введения Вам препарата Примовист ® обязательно сообщите врачу:</w:t>
              <w:br/>
              <w:br/>
              <w:t>если у Вас бронхиальная астма, аллергия или если ранее возникали аллергические реакции на введение контрастных средств;</w:t>
              <w:br/>
              <w:t>если у Вас нарушена функция почек (почечная недостаточность) или если Вы готовитесь к операции по пересадке печени или недавно перенесли такую операцию. В этом случае применение препарата возможно только после тщательной оценки соотношения риск/польза и в случае того, если информация, полученная при проведении МРТ с контрастным усилением, имеет решающее диагностическое значение и недоступна при проведении МРТ без контрастирования;</w:t>
              <w:br/>
              <w:t>если у Вас тяжелые сердечно-сосудистые заболевания;</w:t>
              <w:br/>
              <w:t>если у Вас нарушение проводимости сердца (синдром удлиненного интервала QT );</w:t>
              <w:br/>
              <w:t>если у Вас ранее наблюдались изменения сердечного ритма после приема препаратов;</w:t>
              <w:br/>
              <w:t>если Ваш возраст 65 лет и старше, Вы должны обращать внимание на определенные симптомы, которые чаще всего наблюдаются, когда Вам вводят препарат Примовист ®: головная боль, тошнота. Сообщите врачу, если у Вас появились данные симптомы. Более подробную информацию о возможных нежелательных реакциях при применении препарата Примовист ® смотрите в разделе 4 листка-вкладыша.</w:t>
              <w:br/>
              <w:t xml:space="preserve"> Аллергические реакции</w:t>
              <w:br/>
              <w:t xml:space="preserve"> После применения препарата Примовист ® могут возникать отсроченные аллергические реакции,</w:t>
              <w:br/>
              <w:br/>
              <w:t>которые проявляются через несколько часов или дней (см. раздел 4 «Возможные нежелательные реакции»).</w:t>
              <w:br/>
              <w:t xml:space="preserve"> Накопление в организме</w:t>
              <w:br/>
              <w:t xml:space="preserve"> Действие препарата Примовист ® обусловлено содержанием в нем металла под названием гадолиний. Исследования показали, что после проведения обследования небольшое количество гадолиния может оставаться в организме, в том числе в головном мозге. Нежелательных реакций из-за того, что гадолиний остается в головном мозге, не</w:t>
              <w:br/>
              <w:br/>
              <w:t>наблюдалось.</w:t>
              <w:br/>
              <w:t xml:space="preserve"> Лабораторно-инструментальные исследования</w:t>
              <w:br/>
              <w:t xml:space="preserve"> Применение препарата Примовист ® может влиять на результаты определения уровня сывороточного железа в крови в течение 24 часов после проведения исследования. Сообщите об этом лечащему врачу, если Вам необходимо сделать анализ крови.</w:t>
              <w:br/>
              <w:t xml:space="preserve"> Вскоре после введения препарата Примовист ® у Вас могут наблюдаться изменения лабораторных показателей. Сообщите Вашему лечащему врачу, если Вам недавно вводили Примовист ®, при сдаче анализа крови или мочи.</w:t>
              <w:br/>
              <w:t xml:space="preserve"> Дети и подростки</w:t>
              <w:br/>
              <w:t xml:space="preserve"> Не применяйте препарат Примовист ® у детей в возрасте от 0 до 18 лет вследствие недостаточности данных об эффективности и безопасности.</w:t>
              <w:br/>
              <w:t xml:space="preserve"> Другие препараты и препарат Примовист ®</w:t>
              <w:br/>
              <w:t xml:space="preserve"> Сообщите Вашему лечащему врачу о том, что Вы принимаете, недавно принимали или можете начать принимать какие-либо другие лекарственные препараты.</w:t>
              <w:br/>
              <w:t xml:space="preserve"> Особенно важно сообщить о следующих препаратах:</w:t>
              <w:br/>
              <w:br/>
              <w:t>препараты для лечения высокого артериального давления или других сердечных заболеваний (бета-адреноблокаторы);</w:t>
              <w:br/>
              <w:t>препараты, которые изменяют ритм или частоту сердечных сокращений;</w:t>
              <w:br/>
              <w:t>рифампицин-препарат для лечения туберкулеза или некоторых других инфекций.</w:t>
              <w:br/>
              <w:t xml:space="preserve"> Препарат Примовист ® с пищей и напитками</w:t>
              <w:br/>
              <w:t xml:space="preserve"> Воздержитесь от приема пищи в течение 2-х часов до введения препарата, в связи с возможностью появления тошноты и рвоты при использовании контрастных средств для МРТ.</w:t>
              <w:br/>
              <w:t xml:space="preserve"> Беременность и грудное вскармливание</w:t>
              <w:br/>
              <w:t xml:space="preserve"> Если Вы беременны или кормите грудью, думаете, что забеременели, или планируете</w:t>
              <w:br/>
              <w:br/>
              <w:t>беременность, перед началом применения препарата проконсультируйтесь с</w:t>
              <w:br/>
              <w:br/>
              <w:t>лечащим врачом.</w:t>
              <w:br/>
              <w:t xml:space="preserve"> Беременность</w:t>
              <w:br/>
              <w:t xml:space="preserve"> Вы должны сообщить Вашему лечащему врачу, если Вы подозреваете, что беременны или можете забеременеть, так как не следует проводить обследования с применением препарата Примовист ® во время беременности, кроме случаев крайней необходимости.</w:t>
              <w:br/>
              <w:t xml:space="preserve"> Грудное вскармливание</w:t>
              <w:br/>
              <w:t xml:space="preserve"> Сообщите Вашему лечащему врачу, если Вы кормите грудью или собираетесь начать грудное вскармливание. Ваш лечащий врач после проведения исследования даст Вам рекомендацию прервать грудное вскармливание и не возобновлять в течение 24 часов после введения препарата Примовист ®.</w:t>
              <w:br/>
              <w:t xml:space="preserve"> Управление транспортными средствами и работа с механизмами</w:t>
              <w:br/>
              <w:t xml:space="preserve"> Неизвестно.</w:t>
              <w:br/>
              <w:t xml:space="preserve"> Препарат Примовист ® содержит натрий</w:t>
              <w:br/>
              <w:t xml:space="preserve"> Данный препарат содержит 3,6 ммоль (или 82 мг) натрия на дозу, рассчитанную на человека с массой тела 70 кг (эквивалентно 4,1% от рекомендуемого для взрослого человека максимального ежедневного поступления соли с пищей). Это необходимо учитывать, если Вы находитесь на диете с ограничением поступления натрия.</w:t>
            </w:r>
          </w:p>
        </w:tc>
        <w:tc>
          <w:tcPr>
            <w:tcW w:w="7280" w:type="dxa"/>
          </w:tcPr>
          <w:p w14:paraId="02CC16F9" w14:textId="77777777" w:rsidR="00732AD7" w:rsidRPr="00510794" w:rsidRDefault="00732AD7" w:rsidP="00732AD7">
            <w:pPr>
              <w:autoSpaceDE w:val="0"/>
              <w:autoSpaceDN w:val="0"/>
              <w:adjustRightInd w:val="0"/>
              <w:ind w:left="113"/>
              <w:jc w:val="both"/>
              <w:rPr>
                <w:b/>
                <w:spacing w:val="1"/>
                <w:sz w:val="24"/>
                <w:szCs w:val="24"/>
              </w:rPr>
            </w:pPr>
            <w:r w:rsidRPr="00510794">
              <w:rPr>
                <w:b/>
                <w:spacing w:val="1"/>
                <w:sz w:val="24"/>
                <w:szCs w:val="24"/>
              </w:rPr>
              <w:t>2. О чем следует знать перед &lt;приемом&gt; &lt;применением&gt; препарата Х</w:t>
            </w:r>
          </w:p>
          <w:p w14:paraId="2F39E7BA" w14:textId="24CFC18F" w:rsidR="0007116C" w:rsidRPr="00732AD7" w:rsidRDefault="0007116C" w:rsidP="00732AD7">
            <w:pPr>
              <w:autoSpaceDE w:val="0"/>
              <w:autoSpaceDN w:val="0"/>
              <w:adjustRightInd w:val="0"/>
              <w:ind w:left="113"/>
              <w:jc w:val="both"/>
              <w:rPr>
                <w:b/>
                <w:spacing w:val="1"/>
                <w:sz w:val="24"/>
                <w:szCs w:val="24"/>
              </w:rPr>
            </w:pPr>
          </w:p>
          <w:p/>
        </w:tc>
      </w:tr>
      <w:tr w:rsidR="0007116C" w14:paraId="1E094F75" w14:textId="77777777" w:rsidTr="00E94612">
        <w:tc>
          <w:tcPr>
            <w:tcW w:w="7280" w:type="dxa"/>
          </w:tcPr>
          <w:p w14:paraId="275DBAC0" w14:textId="77777777" w:rsidR="00732AD7" w:rsidRPr="00510794" w:rsidRDefault="00732AD7" w:rsidP="00732AD7">
            <w:pPr>
              <w:autoSpaceDE w:val="0"/>
              <w:autoSpaceDN w:val="0"/>
              <w:adjustRightInd w:val="0"/>
              <w:ind w:left="113"/>
              <w:jc w:val="both"/>
              <w:rPr>
                <w:b/>
                <w:spacing w:val="1"/>
                <w:sz w:val="24"/>
                <w:szCs w:val="24"/>
              </w:rPr>
            </w:pPr>
            <w:r w:rsidRPr="00510794">
              <w:rPr>
                <w:b/>
                <w:spacing w:val="1"/>
                <w:sz w:val="24"/>
                <w:szCs w:val="24"/>
              </w:rPr>
              <w:t>3. &lt;Прием&gt; &lt;Применение&gt; препарата Х</w:t>
            </w:r>
          </w:p>
          <w:p w14:paraId="2373621D" w14:textId="2E1052AD" w:rsidR="0007116C" w:rsidRPr="00732AD7" w:rsidRDefault="0007116C" w:rsidP="00732AD7">
            <w:pPr>
              <w:autoSpaceDE w:val="0"/>
              <w:autoSpaceDN w:val="0"/>
              <w:adjustRightInd w:val="0"/>
              <w:ind w:left="113"/>
              <w:jc w:val="both"/>
              <w:rPr>
                <w:b/>
                <w:spacing w:val="1"/>
                <w:sz w:val="24"/>
                <w:szCs w:val="24"/>
              </w:rPr>
            </w:pPr>
          </w:p>
          <w:p>
            <w:r>
              <w:rPr>
                <w:color w:val="008000"/>
              </w:rPr>
              <w:t>Препарат</w:t>
            </w:r>
            <w:r>
              <w:t xml:space="preserve"> </w:t>
            </w:r>
            <w:r>
              <w:rPr>
                <w:color w:val="008000"/>
              </w:rPr>
              <w:t>Примовист</w:t>
            </w:r>
            <w:r>
              <w:t xml:space="preserve"> </w:t>
            </w:r>
            <w:r>
              <w:rPr>
                <w:color w:val="008000"/>
              </w:rPr>
              <w:t>®</w:t>
            </w:r>
            <w:r>
              <w:t xml:space="preserve"> </w:t>
            </w:r>
            <w:r>
              <w:rPr>
                <w:color w:val="008000"/>
              </w:rPr>
              <w:t>вводит</w:t>
            </w:r>
            <w:r>
              <w:t xml:space="preserve"> </w:t>
            </w:r>
            <w:r>
              <w:rPr>
                <w:color w:val="008000"/>
              </w:rPr>
              <w:t>врач или медицинская сестра. При появлении сомнений посоветуйтесь с лечащим врачом.</w:t>
              <w:br/>
              <w:t xml:space="preserve"> Рекомендуемая доза</w:t>
            </w:r>
            <w:r>
              <w:br/>
              <w:t xml:space="preserve"> В</w:t>
            </w:r>
            <w:r>
              <w:rPr>
                <w:color w:val="008000"/>
              </w:rPr>
              <w:t>рач определит подходящую дозу препарата в зависимости от массы тела, области сканирования, возраста, состояния Вашего здоровья.</w:t>
              <w:br/>
              <w:t xml:space="preserve"> Особые группы пациентов</w:t>
              <w:br/>
              <w:t xml:space="preserve"> Пациенты с почечной и печеночной недостаточностью</w:t>
              <w:br/>
              <w:t xml:space="preserve"> Применение препарата Примовист ® не рекомендуется пациентам с тяжелыми заболеваниями почек и пациентам, которым недавно была проведена или в ближайшее время будет проведена пересадка (трансплантация) печени. Однако, если применение необходимо, Вам должны ввести одну дозу препарата Примовист ® во время томографии. Повторное в</w:t>
            </w:r>
            <w:r>
              <w:t xml:space="preserve">ведение </w:t>
            </w:r>
            <w:r>
              <w:rPr>
                <w:color w:val="008000"/>
              </w:rPr>
              <w:t>не должно о</w:t>
            </w:r>
            <w:r>
              <w:t>с</w:t>
            </w:r>
            <w:r>
              <w:rPr>
                <w:color w:val="008000"/>
              </w:rPr>
              <w:t>уществляться в течение как минимум 7 дней.</w:t>
              <w:br/>
              <w:t xml:space="preserve"> Пациенты</w:t>
            </w:r>
            <w:r>
              <w:t xml:space="preserve"> по</w:t>
            </w:r>
            <w:r>
              <w:rPr>
                <w:color w:val="008000"/>
              </w:rPr>
              <w:t>жилого возраста</w:t>
              <w:br/>
              <w:t xml:space="preserve"> Нет необходи</w:t>
            </w:r>
            <w:r>
              <w:t>мо</w:t>
            </w:r>
            <w:r>
              <w:rPr>
                <w:color w:val="008000"/>
              </w:rPr>
              <w:t>сти корректировать дозу, если Ваш возраст 65 лет или больше.</w:t>
              <w:br/>
              <w:t xml:space="preserve"> Путь и (или) способ введения</w:t>
              <w:br/>
              <w:t xml:space="preserve"> Препарат Примовист ® вводится внутривенно. Воздержитесь от приема пи</w:t>
            </w:r>
            <w:r>
              <w:t>щ</w:t>
            </w:r>
            <w:r>
              <w:rPr>
                <w:color w:val="008000"/>
              </w:rPr>
              <w:t>и в течение 2-х часов до введения препарата в связи с возможност</w:t>
            </w:r>
            <w:r>
              <w:t xml:space="preserve">ью </w:t>
            </w:r>
            <w:r>
              <w:rPr>
                <w:color w:val="008000"/>
              </w:rPr>
              <w:t>поя</w:t>
            </w:r>
            <w:r>
              <w:t>в</w:t>
            </w:r>
            <w:r>
              <w:rPr>
                <w:color w:val="008000"/>
              </w:rPr>
              <w:t xml:space="preserve">ления </w:t>
            </w:r>
            <w:r>
              <w:t>то</w:t>
            </w:r>
            <w:r>
              <w:rPr>
                <w:color w:val="008000"/>
              </w:rPr>
              <w:t>шноты и рвоты при использовании контрастных средств для МРТ. Если воз</w:t>
            </w:r>
            <w:r>
              <w:t>м</w:t>
            </w:r>
            <w:r>
              <w:rPr>
                <w:color w:val="008000"/>
              </w:rPr>
              <w:t>ожно, перед введением препарата примите горизонтальное положение. После введения препарата Ваш лечащий врач или медсестра должны наблюдать за Вашим состоянием как минимум в течение получаса, поскольку большая часть нежелательных реакций развивается именно в этот период времени. При наличии вопросов по применению препарата обр</w:t>
            </w:r>
            <w:r>
              <w:t>ати</w:t>
            </w:r>
            <w:r>
              <w:rPr>
                <w:color w:val="008000"/>
              </w:rPr>
              <w:t>т</w:t>
            </w:r>
            <w:r>
              <w:t>е</w:t>
            </w:r>
            <w:r>
              <w:rPr>
                <w:color w:val="008000"/>
              </w:rPr>
              <w:t>сь к лечащему врачу или медицин</w:t>
            </w:r>
            <w:r>
              <w:t xml:space="preserve">ской </w:t>
            </w:r>
            <w:r>
              <w:t>с</w:t>
            </w:r>
            <w:r>
              <w:rPr>
                <w:color w:val="008000"/>
              </w:rPr>
              <w:t>естре.</w:t>
              <w:br/>
              <w:t xml:space="preserve"> Если Вы получили препарата Примов</w:t>
            </w:r>
            <w:r>
              <w:t>ист</w:t>
            </w:r>
            <w:r>
              <w:rPr>
                <w:color w:val="008000"/>
              </w:rPr>
              <w:t xml:space="preserve"> ® больше, ч</w:t>
            </w:r>
            <w:r>
              <w:t>ем</w:t>
            </w:r>
            <w:r>
              <w:t xml:space="preserve"> </w:t>
            </w:r>
            <w:r>
              <w:rPr>
                <w:color w:val="008000"/>
              </w:rPr>
              <w:t>следовало</w:t>
            </w:r>
            <w:r>
              <w:br/>
            </w:r>
            <w:r>
              <w:t xml:space="preserve"> </w:t>
            </w:r>
            <w:r>
              <w:rPr>
                <w:color w:val="008000"/>
              </w:rPr>
              <w:t>Маловероятно,</w:t>
            </w:r>
            <w:r>
              <w:t xml:space="preserve"> </w:t>
            </w:r>
            <w:r>
              <w:rPr>
                <w:color w:val="008000"/>
              </w:rPr>
              <w:t>что</w:t>
            </w:r>
            <w:r>
              <w:t xml:space="preserve"> </w:t>
            </w:r>
            <w:r>
              <w:rPr>
                <w:color w:val="008000"/>
              </w:rPr>
              <w:t>Вы</w:t>
            </w:r>
            <w:r>
              <w:t xml:space="preserve"> </w:t>
            </w:r>
            <w:r>
              <w:rPr>
                <w:color w:val="008000"/>
              </w:rPr>
              <w:t>получите</w:t>
            </w:r>
            <w:r>
              <w:t xml:space="preserve"> </w:t>
            </w:r>
            <w:r>
              <w:rPr>
                <w:color w:val="008000"/>
              </w:rPr>
              <w:t>препарата</w:t>
            </w:r>
            <w:r>
              <w:t xml:space="preserve"> </w:t>
            </w:r>
            <w:r>
              <w:rPr>
                <w:color w:val="008000"/>
              </w:rPr>
              <w:t>Примовист ® больше, чем следует. Однако, если это произойдет, Ваш лечащий врач должен контролировать любые последующие симптомы.</w:t>
              <w:br/>
              <w:t xml:space="preserve"> При наличии вопросов по применению препарата обратитесь к Вашему лечащему врачу.</w:t>
            </w:r>
          </w:p>
        </w:tc>
        <w:tc>
          <w:tcPr>
            <w:tcW w:w="7280" w:type="dxa"/>
          </w:tcPr>
          <w:p w14:paraId="68DAD98E" w14:textId="77777777" w:rsidR="00732AD7" w:rsidRPr="00510794" w:rsidRDefault="00732AD7" w:rsidP="00732AD7">
            <w:pPr>
              <w:autoSpaceDE w:val="0"/>
              <w:autoSpaceDN w:val="0"/>
              <w:adjustRightInd w:val="0"/>
              <w:ind w:left="113"/>
              <w:jc w:val="both"/>
              <w:rPr>
                <w:b/>
                <w:spacing w:val="1"/>
                <w:sz w:val="24"/>
                <w:szCs w:val="24"/>
              </w:rPr>
            </w:pPr>
            <w:r w:rsidRPr="00510794">
              <w:rPr>
                <w:b/>
                <w:spacing w:val="1"/>
                <w:sz w:val="24"/>
                <w:szCs w:val="24"/>
              </w:rPr>
              <w:t>3. &lt;Прием&gt; &lt;Применение&gt; препарата Х</w:t>
            </w:r>
          </w:p>
          <w:p w14:paraId="1C87BA78" w14:textId="5334DD08" w:rsidR="0007116C" w:rsidRPr="00732AD7" w:rsidRDefault="0007116C" w:rsidP="00732AD7">
            <w:pPr>
              <w:autoSpaceDE w:val="0"/>
              <w:autoSpaceDN w:val="0"/>
              <w:adjustRightInd w:val="0"/>
              <w:ind w:left="113"/>
              <w:jc w:val="both"/>
              <w:rPr>
                <w:b/>
                <w:spacing w:val="1"/>
                <w:sz w:val="24"/>
                <w:szCs w:val="24"/>
              </w:rPr>
            </w:pPr>
          </w:p>
          <w:p>
            <w:r>
              <w:rPr>
                <w:color w:val="FF0000"/>
              </w:rPr>
              <w:t>&lt;!--</w:t>
            </w:r>
            <w:r>
              <w:t xml:space="preserve"> </w:t>
            </w:r>
            <w:r>
              <w:rPr>
                <w:color w:val="FF0000"/>
              </w:rPr>
              <w:t>image</w:t>
            </w:r>
            <w:r>
              <w:t xml:space="preserve"> </w:t>
            </w:r>
            <w:r>
              <w:rPr>
                <w:color w:val="FF0000"/>
              </w:rPr>
              <w:t>--&gt;</w:t>
              <w:br/>
              <w:t>&lt;!--</w:t>
            </w:r>
            <w:r>
              <w:t xml:space="preserve"> </w:t>
            </w:r>
            <w:r>
              <w:rPr>
                <w:color w:val="FF0000"/>
              </w:rPr>
              <w:t>image</w:t>
            </w:r>
            <w:r>
              <w:t xml:space="preserve"> </w:t>
            </w:r>
            <w:r>
              <w:rPr>
                <w:color w:val="FF0000"/>
              </w:rPr>
              <w:t>--&gt;</w:t>
            </w:r>
            <w:r>
              <w:br/>
              <w:t xml:space="preserve"> В</w:t>
            </w:r>
            <w:r>
              <w:t xml:space="preserve">ведение </w:t>
            </w:r>
            <w:r>
              <w:t>с</w:t>
            </w:r>
            <w:r>
              <w:t xml:space="preserve"> по</w:t>
            </w:r>
            <w:r>
              <w:t>мо</w:t>
            </w:r>
            <w:r>
              <w:t>щ</w:t>
            </w:r>
            <w:r>
              <w:t xml:space="preserve">ью </w:t>
            </w:r>
            <w:r>
              <w:rPr>
                <w:color w:val="FF0000"/>
              </w:rPr>
              <w:t>а</w:t>
            </w:r>
            <w:r>
              <w:t>в</w:t>
            </w:r>
            <w:r>
              <w:t>то</w:t>
            </w:r>
            <w:r>
              <w:t>м</w:t>
            </w:r>
            <w:r>
              <w:t>ати</w:t>
            </w:r>
            <w:r>
              <w:rPr>
                <w:color w:val="FF0000"/>
              </w:rPr>
              <w:t>ч</w:t>
            </w:r>
            <w:r>
              <w:t>е</w:t>
            </w:r>
            <w:r>
              <w:t xml:space="preserve">ской </w:t>
            </w:r>
            <w:r>
              <w:rPr>
                <w:color w:val="FF0000"/>
              </w:rPr>
              <w:t xml:space="preserve">инъекционной </w:t>
            </w:r>
            <w:r>
              <w:t>с</w:t>
            </w:r>
            <w:r>
              <w:t>ист</w:t>
            </w:r>
            <w:r>
              <w:t>ем</w:t>
            </w:r>
            <w:r>
              <w:rPr>
                <w:color w:val="FF0000"/>
              </w:rPr>
              <w:t>ы</w:t>
              <w:br/>
              <w:t>&lt;!--</w:t>
            </w:r>
            <w:r>
              <w:t xml:space="preserve"> </w:t>
            </w:r>
            <w:r>
              <w:rPr>
                <w:color w:val="FF0000"/>
              </w:rPr>
              <w:t>image --&gt;</w:t>
            </w:r>
            <w:r>
              <w:br/>
            </w:r>
            <w:r>
              <w:rPr>
                <w:color w:val="FF0000"/>
              </w:rPr>
              <w:t>&lt;!--</w:t>
            </w:r>
            <w:r>
              <w:t xml:space="preserve"> </w:t>
            </w:r>
            <w:r>
              <w:rPr>
                <w:color w:val="FF0000"/>
              </w:rPr>
              <w:t>image</w:t>
            </w:r>
            <w:r>
              <w:t xml:space="preserve"> </w:t>
            </w:r>
            <w:r>
              <w:rPr>
                <w:color w:val="FF0000"/>
              </w:rPr>
              <w:t>--&gt;</w:t>
              <w:br/>
              <w:t>&lt;!--</w:t>
            </w:r>
            <w:r>
              <w:t xml:space="preserve"> </w:t>
            </w:r>
            <w:r>
              <w:rPr>
                <w:color w:val="FF0000"/>
              </w:rPr>
              <w:t>image</w:t>
            </w:r>
            <w:r>
              <w:t xml:space="preserve"> </w:t>
            </w:r>
            <w:r>
              <w:rPr>
                <w:color w:val="FF0000"/>
              </w:rPr>
              <w:t>--&gt;</w:t>
              <w:br/>
              <w:t>&lt;!--</w:t>
            </w:r>
            <w:r>
              <w:t xml:space="preserve"> </w:t>
            </w:r>
            <w:r>
              <w:rPr>
                <w:color w:val="FF0000"/>
              </w:rPr>
              <w:t>image</w:t>
            </w:r>
            <w:r>
              <w:t xml:space="preserve"> </w:t>
            </w:r>
            <w:r>
              <w:rPr>
                <w:color w:val="FF0000"/>
              </w:rPr>
              <w:t>--&gt;</w:t>
            </w:r>
          </w:p>
        </w:tc>
      </w:tr>
      <w:tr w:rsidR="00732AD7" w14:paraId="4FE185C9" w14:textId="77777777" w:rsidTr="00E94612">
        <w:tc>
          <w:tcPr>
            <w:tcW w:w="7280" w:type="dxa"/>
          </w:tcPr>
          <w:p w14:paraId="19D65D91" w14:textId="77777777" w:rsidR="00732AD7" w:rsidRPr="00510794" w:rsidRDefault="00732AD7" w:rsidP="00732AD7">
            <w:pPr>
              <w:autoSpaceDE w:val="0"/>
              <w:autoSpaceDN w:val="0"/>
              <w:adjustRightInd w:val="0"/>
              <w:ind w:left="113"/>
              <w:jc w:val="both"/>
              <w:rPr>
                <w:b/>
                <w:spacing w:val="1"/>
                <w:sz w:val="24"/>
                <w:szCs w:val="24"/>
              </w:rPr>
            </w:pPr>
            <w:r w:rsidRPr="00510794">
              <w:rPr>
                <w:b/>
                <w:spacing w:val="1"/>
                <w:sz w:val="24"/>
                <w:szCs w:val="24"/>
              </w:rPr>
              <w:t>4. Возможные нежелательные реакции</w:t>
            </w:r>
          </w:p>
          <w:p w14:paraId="5ECF6D2F" w14:textId="77777777" w:rsidR="00732AD7" w:rsidRPr="00510794" w:rsidRDefault="00732AD7" w:rsidP="00732AD7">
            <w:pPr>
              <w:autoSpaceDE w:val="0"/>
              <w:autoSpaceDN w:val="0"/>
              <w:adjustRightInd w:val="0"/>
              <w:ind w:left="113"/>
              <w:jc w:val="both"/>
              <w:rPr>
                <w:b/>
                <w:spacing w:val="1"/>
                <w:sz w:val="24"/>
                <w:szCs w:val="24"/>
              </w:rPr>
            </w:pPr>
          </w:p>
          <w:p>
            <w:r>
              <w:rPr>
                <w:color w:val="008000"/>
              </w:rPr>
              <w:t>Подобно другим лекарственным препаратам препарат Примовист ® может вызывать нежелательные реакции, однако возникают они не у всех.</w:t>
              <w:br/>
              <w:t xml:space="preserve"> В случае возникновения нежелательных реакций немедленно свяжитесь с Вашим лечащим врачом.</w:t>
              <w:br/>
              <w:t xml:space="preserve"> После применения препарата Примовист ® могут возникнуть отсроченные реакции, которые проявляются через несколько часов или дней.</w:t>
              <w:br/>
              <w:t xml:space="preserve"> Немедленно сообщите Вашему врачу, если Вы испытываете какие-либо из следующих признаков серьезной нежелательной реакции-анафилактического шока:</w:t>
              <w:br/>
              <w:br/>
              <w:t>предобморочное состояние или потеря сознания;</w:t>
              <w:br/>
              <w:t>резкое снижение артериального давления;</w:t>
              <w:br/>
              <w:t>нарушение дыхания;</w:t>
              <w:br/>
              <w:t>бледно-синюшная, холодная, влажная кожа.</w:t>
              <w:br/>
              <w:t xml:space="preserve"> Другие возможные нежелательные реакции, которые могут наблюдаться при применении препарата Примовист ® в зависимости от частоты их возникновения:</w:t>
              <w:br/>
              <w:t xml:space="preserve"> Часто (могут возникать не более чем у 1 человека из 10)</w:t>
              <w:br/>
              <w:br/>
              <w:t>головная боль</w:t>
              <w:br/>
              <w:br/>
              <w:t>тошнота</w:t>
              <w:br/>
              <w:t xml:space="preserve"> Нечасто (могут возникать не более чем у 1 человека из 10 0 )</w:t>
              <w:br/>
              <w:br/>
              <w:t>головокружение</w:t>
              <w:br/>
              <w:t>онемение или покалывание</w:t>
              <w:br/>
              <w:t>снижение способности ощущать вкус или запахи</w:t>
              <w:br/>
              <w:t>повышение артериального давления</w:t>
              <w:br/>
              <w:t>приливы</w:t>
              <w:br/>
              <w:t>нарушения дыхания</w:t>
              <w:br/>
              <w:t>рвота</w:t>
              <w:br/>
              <w:t>сухость во рту</w:t>
              <w:br/>
              <w:t>кожная сыпь</w:t>
              <w:br/>
              <w:t>сильный зуд, распространяющийся на все тело или глаза</w:t>
              <w:br/>
              <w:t>боль в спине, боль в груди</w:t>
              <w:br/>
              <w:t>реакции в месте инъекции, такие как жжение, холод, раздражение, боль</w:t>
              <w:br/>
              <w:t>ощущение жара</w:t>
              <w:br/>
              <w:t>озноб</w:t>
              <w:br/>
              <w:t>утомляемость</w:t>
              <w:br/>
              <w:t>плохое самочувствие</w:t>
              <w:br/>
              <w:t xml:space="preserve"> Редко (могут возникать не более чем у 1 человека из 1000)</w:t>
              <w:br/>
              <w:br/>
              <w:t>двигательное беспокойство (акатизия)</w:t>
              <w:br/>
              <w:t>неконтролируемое дрожание (тремор)</w:t>
              <w:br/>
              <w:t>ощущение учащенного сердцебиения</w:t>
              <w:br/>
              <w:t>нерегулярное сердцебиение (признаки блокады сердца)</w:t>
              <w:br/>
              <w:t>дискомфорт во рту, повышенная выработка слюны</w:t>
              <w:br/>
              <w:t>кожная сыпь красного цвета с пузырьками или пятнами</w:t>
              <w:br/>
              <w:t>повышенное потоотделение</w:t>
              <w:br/>
              <w:t>чувство дискомфорта, общее чувство недомогания</w:t>
              <w:br/>
              <w:t xml:space="preserve"> Частота неизвестна (исходя из имеющихся данных частоту возникновения определить</w:t>
              <w:br/>
              <w:br/>
              <w:t>невозможно)</w:t>
              <w:br/>
              <w:br/>
              <w:t>отек гортани и глотки, кожные высыпания (крапивница), отек лица, ринит, конъюнктивит, боль в животе, нарушение чувствительности (гипестезия), чихание, кашель</w:t>
              <w:br/>
              <w:t>быстрое сердцебиение (тахикардия)</w:t>
              <w:br/>
              <w:br/>
              <w:t>· двигательное беспокойство</w:t>
              <w:br/>
              <w:t xml:space="preserve"> Имеются сообщения о развитии нефрогенного системного фиброза (заболевания, которое вызывает уплотнение кожи и может поражать также мягкие ткани и внутренние органы), связанного с применением других гадолинийсодержащих контрастных средств.</w:t>
              <w:br/>
              <w:t xml:space="preserve"> В случае возникновения какой-либо нежелательной реакции свяжитесь с Вашим лечащим врачом. Это касается любой нежелательной реакции, включая не перечисленные выше.</w:t>
              <w:br/>
              <w:t xml:space="preserve"> Сообщение о нежелательных реакциях</w:t>
              <w:br/>
              <w:t xml:space="preserve"> Если у Вас возникают какие-либо нежелательные реакции, проконсультируйтесь с лечащим врачом. Данная рекомендация распространяется на любые возможные нежелательные реакции, в том числе на не перечисленные в листке-вкладыше. Вы также можете сообщить о нежелательных реакциях напрямую (см. ниже). Сообщая о нежелательных реакциях, Вы помогаете получить больше сведений о безопасности лекарственного препарата.</w:t>
              <w:br/>
              <w:t xml:space="preserve"> Российская Федерация</w:t>
              <w:br/>
              <w:t xml:space="preserve"> Федеральная служба по надзору в сфере здравоохранения (Росздравнадзор)</w:t>
              <w:br/>
              <w:t xml:space="preserve"> Адрес: 109012, Москва, Славянская площадь, д. 4, стр. 1</w:t>
              <w:br/>
              <w:t xml:space="preserve"> Телефон: +7 800 550 99 03</w:t>
              <w:br/>
              <w:t xml:space="preserve"> Электронная почта: pharm@roszdravnadzor.gov.ru</w:t>
              <w:br/>
              <w:t xml:space="preserve"> https://roszdravnadzor.gov.ru</w:t>
              <w:br/>
              <w:t xml:space="preserve"> Республика Казахстан</w:t>
              <w:br/>
              <w:br/>
              <w:t>«Национальный центр экспертизы лекарственных средств и медицинских изделий» Комитета медицинского и фармацевтического контроля Министерства здравоохранения Республики</w:t>
              <w:br/>
              <w:t xml:space="preserve"> Казахстан</w:t>
              <w:br/>
              <w:t xml:space="preserve"> Адрес: 010000, г. Астана, район Байконыр, ул. А. Иманова, 13 (БЦ «Нурсаулет 2»)</w:t>
              <w:br/>
              <w:t xml:space="preserve"> Телефон:</w:t>
              <w:br/>
              <w:br/>
              <w:t>+7 7172 23 51 35</w:t>
              <w:br/>
              <w:t xml:space="preserve"> Электронная почта: farm@dari.kz http://www.ndda.kz</w:t>
              <w:br/>
              <w:t xml:space="preserve"> Республика Беларусь</w:t>
              <w:br/>
              <w:t xml:space="preserve"> РУП «Центр экспертиз и испытаний в здравоохранении»</w:t>
              <w:br/>
              <w:t xml:space="preserve"> Адрес: 220037, г. Минск, Товарищеский пер., 2а</w:t>
              <w:br/>
              <w:t xml:space="preserve"> Телефон: +375 17 242 00 29</w:t>
              <w:br/>
              <w:t xml:space="preserve"> Электронная почта: rcpl@rceth.by</w:t>
              <w:br/>
              <w:t xml:space="preserve"> http://www.rceth.by</w:t>
            </w:r>
          </w:p>
        </w:tc>
        <w:tc>
          <w:tcPr>
            <w:tcW w:w="7280" w:type="dxa"/>
          </w:tcPr>
          <w:p w14:paraId="569C93DE" w14:textId="2F1A0BCC" w:rsidR="00732AD7" w:rsidRPr="00732AD7" w:rsidRDefault="00732AD7" w:rsidP="00732AD7">
            <w:pPr>
              <w:autoSpaceDE w:val="0"/>
              <w:autoSpaceDN w:val="0"/>
              <w:adjustRightInd w:val="0"/>
              <w:ind w:left="113"/>
              <w:jc w:val="both"/>
              <w:rPr>
                <w:b/>
                <w:spacing w:val="1"/>
                <w:sz w:val="24"/>
                <w:szCs w:val="24"/>
              </w:rPr>
            </w:pPr>
            <w:r w:rsidRPr="00510794">
              <w:rPr>
                <w:b/>
                <w:spacing w:val="1"/>
                <w:sz w:val="24"/>
                <w:szCs w:val="24"/>
              </w:rPr>
              <w:t>4. Возможные нежелательные реакции</w:t>
            </w:r>
          </w:p>
          <w:p/>
        </w:tc>
      </w:tr>
      <w:tr w:rsidR="00732AD7" w14:paraId="6BD0AEF6" w14:textId="77777777" w:rsidTr="00E94612">
        <w:tc>
          <w:tcPr>
            <w:tcW w:w="7280" w:type="dxa"/>
          </w:tcPr>
          <w:p w14:paraId="031D32BE" w14:textId="77777777" w:rsidR="00732AD7" w:rsidRPr="00510794" w:rsidRDefault="00732AD7" w:rsidP="00732AD7">
            <w:pPr>
              <w:autoSpaceDE w:val="0"/>
              <w:autoSpaceDN w:val="0"/>
              <w:adjustRightInd w:val="0"/>
              <w:ind w:left="113"/>
              <w:jc w:val="both"/>
              <w:rPr>
                <w:b/>
                <w:spacing w:val="1"/>
                <w:sz w:val="24"/>
                <w:szCs w:val="24"/>
              </w:rPr>
            </w:pPr>
            <w:r w:rsidRPr="00510794">
              <w:rPr>
                <w:b/>
                <w:spacing w:val="1"/>
                <w:sz w:val="24"/>
                <w:szCs w:val="24"/>
              </w:rPr>
              <w:t>5. Хранение препарата Х</w:t>
            </w:r>
          </w:p>
          <w:p w14:paraId="6EE20260" w14:textId="77777777" w:rsidR="00732AD7" w:rsidRPr="00510794" w:rsidRDefault="00732AD7" w:rsidP="00732AD7">
            <w:pPr>
              <w:autoSpaceDE w:val="0"/>
              <w:autoSpaceDN w:val="0"/>
              <w:adjustRightInd w:val="0"/>
              <w:ind w:left="113"/>
              <w:jc w:val="both"/>
              <w:rPr>
                <w:b/>
                <w:spacing w:val="1"/>
                <w:sz w:val="24"/>
                <w:szCs w:val="24"/>
              </w:rPr>
            </w:pPr>
          </w:p>
          <w:p>
            <w:r>
              <w:t>&lt;!-- image --&gt;</w:t>
            </w:r>
            <w:r>
              <w:rPr>
                <w:color w:val="008000"/>
              </w:rPr>
              <w:br/>
              <w:br/>
              <w:t>&lt;!-- image --&gt;</w:t>
              <w:br/>
              <w:br/>
              <w:t>&lt;!-- image --&gt;</w:t>
              <w:br/>
              <w:br/>
              <w:t>&lt;!-- image --&gt;</w:t>
              <w:br/>
              <w:br/>
              <w:t>&lt;!-- image --&gt;</w:t>
              <w:br/>
              <w:br/>
              <w:t>&lt;!-- image --&gt;</w:t>
              <w:br/>
              <w:br/>
              <w:t>&lt;!-- image --&gt;</w:t>
              <w:br/>
              <w:br/>
              <w:t>&lt;!-- image --&gt;</w:t>
            </w:r>
          </w:p>
        </w:tc>
        <w:tc>
          <w:tcPr>
            <w:tcW w:w="7280" w:type="dxa"/>
          </w:tcPr>
          <w:p w14:paraId="7467DDE2" w14:textId="77777777" w:rsidR="00732AD7" w:rsidRPr="00510794" w:rsidRDefault="00732AD7" w:rsidP="00732AD7">
            <w:pPr>
              <w:autoSpaceDE w:val="0"/>
              <w:autoSpaceDN w:val="0"/>
              <w:adjustRightInd w:val="0"/>
              <w:ind w:left="113"/>
              <w:jc w:val="both"/>
              <w:rPr>
                <w:b/>
                <w:spacing w:val="1"/>
                <w:sz w:val="24"/>
                <w:szCs w:val="24"/>
              </w:rPr>
            </w:pPr>
            <w:r w:rsidRPr="00510794">
              <w:rPr>
                <w:b/>
                <w:spacing w:val="1"/>
                <w:sz w:val="24"/>
                <w:szCs w:val="24"/>
              </w:rPr>
              <w:t>5. Хранение препарата Х</w:t>
            </w:r>
          </w:p>
          <w:p w14:paraId="6F8210F0" w14:textId="77777777" w:rsidR="00732AD7" w:rsidRPr="00510794" w:rsidRDefault="00732AD7" w:rsidP="00732AD7">
            <w:pPr>
              <w:autoSpaceDE w:val="0"/>
              <w:autoSpaceDN w:val="0"/>
              <w:adjustRightInd w:val="0"/>
              <w:ind w:left="113"/>
              <w:jc w:val="both"/>
              <w:rPr>
                <w:b/>
                <w:spacing w:val="1"/>
                <w:sz w:val="24"/>
                <w:szCs w:val="24"/>
              </w:rPr>
            </w:pPr>
          </w:p>
          <w:p>
            <w:r>
              <w:t>&lt;!-- image --&gt;</w:t>
            </w:r>
          </w:p>
        </w:tc>
      </w:tr>
      <w:tr w:rsidR="00732AD7" w14:paraId="41BDF0A8" w14:textId="77777777" w:rsidTr="00E94612">
        <w:tc>
          <w:tcPr>
            <w:tcW w:w="7280" w:type="dxa"/>
          </w:tcPr>
          <w:p w14:paraId="1B7F9296" w14:textId="77777777" w:rsidR="00732AD7" w:rsidRPr="00510794" w:rsidRDefault="00732AD7" w:rsidP="00732AD7">
            <w:pPr>
              <w:autoSpaceDE w:val="0"/>
              <w:autoSpaceDN w:val="0"/>
              <w:adjustRightInd w:val="0"/>
              <w:ind w:left="113"/>
              <w:jc w:val="both"/>
              <w:rPr>
                <w:b/>
                <w:spacing w:val="1"/>
                <w:sz w:val="24"/>
                <w:szCs w:val="24"/>
              </w:rPr>
            </w:pPr>
            <w:r w:rsidRPr="00510794">
              <w:rPr>
                <w:b/>
                <w:spacing w:val="1"/>
                <w:sz w:val="24"/>
                <w:szCs w:val="24"/>
              </w:rPr>
              <w:t>6. Содержимое упаковки и дополнительные сведения</w:t>
            </w:r>
          </w:p>
          <w:p w14:paraId="4F8E6836" w14:textId="77777777" w:rsidR="00732AD7" w:rsidRPr="00510794" w:rsidRDefault="00732AD7" w:rsidP="00732AD7">
            <w:pPr>
              <w:autoSpaceDE w:val="0"/>
              <w:autoSpaceDN w:val="0"/>
              <w:adjustRightInd w:val="0"/>
              <w:ind w:left="113"/>
              <w:jc w:val="both"/>
              <w:rPr>
                <w:b/>
                <w:spacing w:val="1"/>
                <w:sz w:val="24"/>
                <w:szCs w:val="24"/>
              </w:rPr>
            </w:pPr>
          </w:p>
          <w:p>
            <w:r>
              <w:rPr>
                <w:color w:val="008000"/>
              </w:rPr>
              <w:t>Препарат</w:t>
            </w:r>
            <w:r>
              <w:t xml:space="preserve"> </w:t>
            </w:r>
            <w:r>
              <w:rPr>
                <w:color w:val="008000"/>
              </w:rPr>
              <w:t>Примовист ® содержит</w:t>
              <w:br/>
              <w:t xml:space="preserve"> Действующим веществом является гадоксетовая кислота.</w:t>
              <w:br/>
              <w:t xml:space="preserve"> 1 мл раствора содержит 0,25 ммоль (181,430 мг) гадоксетовой кислоты (в виде динатриевой соли).</w:t>
              <w:br/>
              <w:t xml:space="preserve"> Каждый шприц 7,5 мл содержит 1361 мг гадоксетовой кислоты (в виде динатриевой соли).</w:t>
              <w:br/>
              <w:t xml:space="preserve"> Каждый шприц 10 мл содержит 1814 мг гадоксетовой кислоты (в виде динатриевой соли).</w:t>
              <w:br/>
              <w:t xml:space="preserve"> Прочими вспомогательными веществами являются:</w:t>
              <w:br/>
              <w:br/>
              <w:t>калоксетовой кислоты тринатриевая соль</w:t>
              <w:br/>
              <w:t>трометамол</w:t>
              <w:br/>
              <w:t>хлористоводородная кислота 3,6 %</w:t>
              <w:br/>
              <w:t>натрия гидроксид</w:t>
              <w:br/>
              <w:t>вода для инъекций</w:t>
              <w:br/>
              <w:t xml:space="preserve"> Для получения дополнительной информации смотрите раздел 2, подраздел «Препарат Примовист ® содержит натрий».</w:t>
              <w:br/>
              <w:t xml:space="preserve"> Внешний вид препарата Примовист ® и содержимое упаковки</w:t>
              <w:br/>
              <w:t xml:space="preserve"> Раствор для внутривенного введения.</w:t>
              <w:br/>
              <w:t xml:space="preserve"> Препарат Примовист ® представляет собой прозрачный, от бесцветного до светло-желтого или коричневатого, или слегка коричневато-желтого, или слегка зеленовато-желтого цвета, раствор, свободный от механических включений.</w:t>
              <w:br/>
              <w:t xml:space="preserve"> Предварительно наполненные по 7,5 мл или 10 мл шприцы из бесцветного стекла типа 1 или</w:t>
              <w:br/>
              <w:br/>
              <w:t>бесцветные прозрачные шприцы из циклоолефинового полимера.</w:t>
              <w:br/>
              <w:t xml:space="preserve"> Каждый шприц помещают в специальный герметичный контейнер из ПВХ.</w:t>
              <w:br/>
              <w:t xml:space="preserve"> По 1 шприцу в контейнере вместе с листком-вкладышем помещают в картонную пачку, снабженную контролем первого вскрытия.</w:t>
              <w:br/>
              <w:t xml:space="preserve"> Держатель регистрационного удостоверения</w:t>
              <w:br/>
              <w:t xml:space="preserve"> Байер АГ, Кайзер-Вильгельм-Аллее, 1, 51373 Леверкузен, Германия</w:t>
              <w:br/>
              <w:t xml:space="preserve"> Bayer AG, Ka</w:t>
            </w:r>
            <w:r>
              <w:t>i</w:t>
            </w:r>
            <w:r>
              <w:rPr>
                <w:color w:val="008000"/>
              </w:rPr>
              <w:t>ser-Wilhelm-Allee, 1, 51373 Leverkusen, Ger</w:t>
            </w:r>
            <w:r>
              <w:t>ma</w:t>
            </w:r>
            <w:r>
              <w:rPr>
                <w:color w:val="008000"/>
              </w:rPr>
              <w:t>ny</w:t>
              <w:br/>
              <w:t xml:space="preserve"> Производитель</w:t>
              <w:br/>
              <w:t xml:space="preserve"> Байер АГ, Мюллерштрассе 178, 13353 Берлин, Германия</w:t>
              <w:br/>
              <w:t xml:space="preserve"> Bayer AG, Mullerstrass</w:t>
            </w:r>
            <w:r>
              <w:t xml:space="preserve">e </w:t>
            </w:r>
            <w:r>
              <w:rPr>
                <w:color w:val="008000"/>
              </w:rPr>
              <w:t>178, 13353 Berlin, Germany</w:t>
              <w:br/>
              <w:t xml:space="preserve"> За любой информацией о препарате, а также в случаях возникновения претензий следует обращаться к местному представителю держателя регистрационного удостоверения:</w:t>
              <w:br/>
              <w:t xml:space="preserve"> Российская Федерация</w:t>
              <w:br/>
              <w:t xml:space="preserve"> АО «БАЙЕР»</w:t>
              <w:br/>
              <w:t xml:space="preserve"> 107113 Москва, 3</w:t>
            </w:r>
            <w:r>
              <w:t>-</w:t>
            </w:r>
            <w:r>
              <w:rPr>
                <w:color w:val="008000"/>
              </w:rPr>
              <w:t>я Рыбинская ул., д. 18, стр. 2, Россия</w:t>
              <w:br/>
              <w:t xml:space="preserve"> Тел.: +7 (495) 231 12 00</w:t>
              <w:br/>
              <w:t xml:space="preserve"> www.bayer.ru</w:t>
              <w:br/>
              <w:t xml:space="preserve"> Республика Казахстан</w:t>
              <w:br/>
              <w:t xml:space="preserve"> ТОО «Байер КАЗ»</w:t>
              <w:br/>
              <w:t xml:space="preserve"> 050057 Алматы, ул. Тимирязева, 42, пав. 15, офис 301, Казахстан</w:t>
              <w:br/>
              <w:br/>
              <w:t>тел. +7</w:t>
              <w:br/>
              <w:t xml:space="preserve"> 727 258 80 40</w:t>
              <w:br/>
              <w:t xml:space="preserve"> www.bayer.ru</w:t>
              <w:br/>
              <w:t xml:space="preserve"> В случаях возникновения претензий на территории Республики Беларусь следует обращаться:</w:t>
              <w:br/>
              <w:t xml:space="preserve"> Республика Беларусь</w:t>
              <w:br/>
              <w:t xml:space="preserve"> 220089 г. Минск, пр. Дзержинского 57, помещение 54, Беларусь</w:t>
              <w:br/>
              <w:t xml:space="preserve"> Тел.: +375 17 239 54 20</w:t>
              <w:br/>
              <w:t xml:space="preserve"> www.bayer.ru</w:t>
              <w:br/>
              <w:t xml:space="preserve"> Листок</w:t>
            </w:r>
            <w:r>
              <w:t>-</w:t>
            </w:r>
            <w:r>
              <w:rPr>
                <w:color w:val="008000"/>
              </w:rPr>
              <w:t>вкладыш пересмотрен</w:t>
              <w:br/>
              <w:t xml:space="preserve"> Прочие источники информации</w:t>
            </w:r>
            <w:r>
              <w:br/>
              <w:t xml:space="preserve"> Под</w:t>
            </w:r>
            <w:r>
              <w:rPr>
                <w:color w:val="008000"/>
              </w:rPr>
              <w:t>робные сведения о данном препарате содержатся на веб-Союза https://eec.eaeunion.org.</w:t>
              <w:br/>
              <w:br/>
              <w:t>сайте Евразийско</w:t>
            </w:r>
            <w:r>
              <w:t>го</w:t>
            </w:r>
            <w:r>
              <w:rPr>
                <w:color w:val="008000"/>
              </w:rPr>
              <w:t xml:space="preserve"> Экономического</w:t>
              <w:br/>
              <w:t xml:space="preserve"> Следующие сведения предназначены исключительно для медицинских работников:</w:t>
              <w:br/>
              <w:t xml:space="preserve"> Режим дозирования и способ применения</w:t>
              <w:br/>
              <w:t xml:space="preserve"> Режим дозирования</w:t>
              <w:br/>
              <w:t xml:space="preserve"> 0,1 мл/кг препарата Примовист ® (что соответствует 25 мкмоль/кг массы тела).</w:t>
              <w:br/>
              <w:t xml:space="preserve"> Особые группы пациен</w:t>
            </w:r>
            <w:r>
              <w:t>тов</w:t>
            </w:r>
            <w:r>
              <w:rPr>
                <w:color w:val="008000"/>
              </w:rPr>
              <w:t>:</w:t>
              <w:br/>
              <w:t xml:space="preserve"> П</w:t>
            </w:r>
            <w:r>
              <w:t>а</w:t>
            </w:r>
            <w:r>
              <w:rPr>
                <w:color w:val="008000"/>
              </w:rPr>
              <w:t>циенты пожилого возраста</w:t>
              <w:br/>
              <w:t xml:space="preserve"> Коррекции дозы не требуется. Учитывая данные</w:t>
            </w:r>
            <w:r>
              <w:t xml:space="preserve"> к</w:t>
            </w:r>
            <w:r>
              <w:rPr>
                <w:color w:val="008000"/>
              </w:rPr>
              <w:t>линических исследований и опыт применения препарата в клинической практике, различий в эффективности и безопасности у молодых и пожилых (старше 65 лет) пациентов не выявлено.</w:t>
              <w:br/>
              <w:t xml:space="preserve"> Пациенты с нарушениями функции печени</w:t>
              <w:br/>
              <w:t xml:space="preserve"> Коррекции дозы не требуется. Учитывая данные клинических исследований и опыт применения препарата в клинической практике, различий в эффективности и безопасности у пациентов с нормальной и нарушенной функцией печени не выявлено.</w:t>
              <w:br/>
              <w:t xml:space="preserve"> Пациенты с нарушениями функции почек</w:t>
              <w:br/>
              <w:t xml:space="preserve"> В ходе клинических исследований различий в эффективности и безопасности применения препарата у пациентов с нормальной и нарушенной функцией почек обнаружено не было. У пациентов с нарушениями функции почек замедлено выведение гадоксетовой кислоты, однако для получения изображения высокого качества, коррекцию дозы проводить не следует.</w:t>
              <w:br/>
              <w:t xml:space="preserve"> Правила</w:t>
            </w:r>
            <w:r>
              <w:t xml:space="preserve"> использовани</w:t>
            </w:r>
            <w:r>
              <w:rPr>
                <w:color w:val="008000"/>
              </w:rPr>
              <w:t>я/обращения</w:t>
            </w:r>
            <w:r>
              <w:t xml:space="preserve"> </w:t>
            </w:r>
            <w:r>
              <w:rPr>
                <w:color w:val="008000"/>
              </w:rPr>
              <w:t xml:space="preserve">с </w:t>
            </w:r>
            <w:r>
              <w:t>п</w:t>
            </w:r>
            <w:r>
              <w:rPr>
                <w:color w:val="008000"/>
              </w:rPr>
              <w:t>репаратом</w:t>
              <w:br/>
              <w:t xml:space="preserve"> Визуальный осмотр</w:t>
              <w:br/>
              <w:t xml:space="preserve"> Лекарственный препарат необходимо тщательно осмотреть перед применением.</w:t>
              <w:br/>
              <w:t xml:space="preserve"> Препарат Примовист ® не следует применять в случае выраженного изменения цвета, появления механических включений и при наличии дефектов упаковки.</w:t>
              <w:br/>
              <w:t xml:space="preserve"> Предварительно наполненные шприцы</w:t>
              <w:br/>
              <w:t xml:space="preserve"> П</w:t>
            </w:r>
            <w:r>
              <w:t xml:space="preserve">редварительно наполненный шприц </w:t>
            </w:r>
            <w:r>
              <w:rPr>
                <w:color w:val="008000"/>
              </w:rPr>
              <w:t>с</w:t>
            </w:r>
            <w:r>
              <w:t>ле</w:t>
            </w:r>
            <w:r>
              <w:rPr>
                <w:color w:val="008000"/>
              </w:rPr>
              <w:t>дует вы</w:t>
            </w:r>
            <w:r>
              <w:t>н</w:t>
            </w:r>
            <w:r>
              <w:rPr>
                <w:color w:val="008000"/>
              </w:rPr>
              <w:t>уть из упак</w:t>
            </w:r>
            <w:r>
              <w:t>ов</w:t>
            </w:r>
            <w:r>
              <w:rPr>
                <w:color w:val="008000"/>
              </w:rPr>
              <w:t>ки и приготовить для инъекции непосредственно перед обследованием. Колпачок с наполненн</w:t>
            </w:r>
            <w:r>
              <w:t xml:space="preserve">ого </w:t>
            </w:r>
            <w:r>
              <w:rPr>
                <w:color w:val="008000"/>
              </w:rPr>
              <w:t>шприца следует снять непосредственно перед введением препарата.</w:t>
              <w:br/>
              <w:t xml:space="preserve"> Остаток неис</w:t>
            </w:r>
            <w:r>
              <w:t>пол</w:t>
            </w:r>
            <w:r>
              <w:rPr>
                <w:color w:val="008000"/>
              </w:rPr>
              <w:t>ьзованного контрастного средства следует уничтожить.</w:t>
              <w:br/>
              <w:t xml:space="preserve"> Способ применения</w:t>
              <w:br/>
              <w:t xml:space="preserve"> Препарат Примовист ® предназначен для внутривенного введения.</w:t>
              <w:br/>
              <w:t xml:space="preserve"> Доза вводится в неразведенном виде путем внутривенной болюсной инъекции.</w:t>
              <w:br/>
              <w:t xml:space="preserve"> После болюсной инъекции препарата Примовист ® динамическая визуализация в артериальной,</w:t>
              <w:br/>
              <w:br/>
              <w:t>портовенозной и равновесной фазах позволяет получить неодинаковую временную картину контрастирования разных типов поражений печени. Эта информация дает возможность классифицировать выявленные образования (доброкачественные/злокачественные) и описать их специфические характеристики. Данный метод исследования дополнительно улучшает визуализацию гиперваскулярных поражений печени.</w:t>
              <w:br/>
              <w:t xml:space="preserve"> Отсроченная (гепатоспецифическая) фаза начинается пр</w:t>
            </w:r>
            <w:r>
              <w:t>имер</w:t>
            </w:r>
            <w:r>
              <w:rPr>
                <w:color w:val="008000"/>
              </w:rPr>
              <w:t>но через 10 минут после инъекции (в подтвержд</w:t>
            </w:r>
            <w:r>
              <w:t>а</w:t>
            </w:r>
            <w:r>
              <w:rPr>
                <w:color w:val="008000"/>
              </w:rPr>
              <w:t>ющих исследованиях большинство данных были получены через 20 минут после инъекции</w:t>
            </w:r>
            <w:r>
              <w:t>)</w:t>
            </w:r>
            <w:r>
              <w:rPr>
                <w:color w:val="008000"/>
              </w:rPr>
              <w:t>, при этом период визуализации длится не менее 120 минут. У пациентов, которым требуется гемодиализ, а также у пациентов с повышенной концентрацией билирубина (&gt; 3 мг/дл) период визуализации сокращается до 60 минут.</w:t>
              <w:br/>
              <w:t xml:space="preserve"> Выявление поражений улучшается при контрастировании паренхимы печени во время гепатоспецифической фазы, позволяя определить количество очагов поражения, их сегментарное расположение, визуализацию и границы. Различие поражений печени по характеру динамики контрастирования/вымывания контрастного средства позволяет получить дополнительную информацию.</w:t>
              <w:br/>
              <w:t xml:space="preserve"> Печеночная экскреция препарата Примовист ® обеспечивает контрастирование желчевыводящей системы.</w:t>
              <w:br/>
              <w:t xml:space="preserve"> Необходимо соблюдать общепринятые меры предосторожности при проведении магнитно-резонансной томографии. При наличии у пациента кардиостимулятора и ферромагнитного имплантируемого устройства не рекомендуется проведение магнитно-резонансной томографии.</w:t>
              <w:br/>
              <w:t xml:space="preserve"> В течение двух часов перед обследованием пациент должен воздерживаться от приема пищи для снижения риска аспирации, поскольку все контрастные средства могут вызывать такие побочные действия как тошнота и рвота.</w:t>
              <w:br/>
              <w:t xml:space="preserve"> По возможности, во время введения контрастного средства пациент должен находиться в горизонтальном положении.</w:t>
              <w:br/>
              <w:t xml:space="preserve"> Противопоказания</w:t>
              <w:br/>
              <w:t xml:space="preserve"> Гиперчувствительность к гадоксетовой кислоте или к любым другим лекарственным препаратам, содержащим гадолиний, или к любому из вспомогательных веществ.</w:t>
              <w:br/>
              <w:t>Препарат не рекомендован к применению у детей от 0 до 18 лет вследствие недостаточности</w:t>
              <w:br/>
              <w:br/>
              <w:t>данных об эффективности и безопасности.</w:t>
              <w:br/>
              <w:t xml:space="preserve"> Особые указания и меры предосторожности при применении</w:t>
              <w:br/>
              <w:t xml:space="preserve"> Препарат Примовист ® должен применяться только специалистами здравоохранения, имеющими клинический опыт проведения МРТ и использоваться только в том случае, когда необходимая диагностическая информация не может быть получена с помощью МРТ без усиления контрастности изображения. Применение препарата должно сопровождаться соблюдением общепринятых правил безопасности проведения магнитно-резонансных исследований (в т. ч., исключение использования ферромагнитных изделий, например, кардиостимулятора или аневризматических клипс).</w:t>
              <w:br/>
              <w:t xml:space="preserve"> Гиперчувствительность</w:t>
              <w:br/>
              <w:t xml:space="preserve"> Как и для других препаратов этого класса, введение препарата Примовист ® может быть связано с развитием реакций гиперчувствительности/аллергических реакций или других проявлений идиосинкразии, характеризующихся сердечно-сосудистыми, дыхательными или кожными проявлениями. Возможны тяжелые реакции, в том числе анафилактический шок.</w:t>
            </w:r>
            <w:r>
              <w:br/>
              <w:t xml:space="preserve"> Р</w:t>
            </w:r>
            <w:r>
              <w:rPr>
                <w:color w:val="008000"/>
              </w:rPr>
              <w:t>иск развития реакций повышенной чувствительности возрастает при наличии:</w:t>
              <w:br/>
              <w:br/>
              <w:t>-ранее имевших место реакций на введение контрастных средств;</w:t>
              <w:br/>
              <w:t>-бронхиальной астмы;</w:t>
              <w:br/>
              <w:t>-аллергических заболеваний.</w:t>
              <w:br/>
              <w:t xml:space="preserve"> Большинство из перечисленных реакций проявляются в течение 30 минут после введения препарата. В связи с этим рекомендуется последующее наблюдение за пациентом после проведения исследования.</w:t>
              <w:br/>
              <w:t xml:space="preserve"> В связи с возможностью развития реакций гиперчувствительности необходимо наличие соответствующих лекарственных средств и готовность к оказанию неотложной медицинской помощи.</w:t>
              <w:br/>
              <w:t xml:space="preserve"> В редких сл</w:t>
            </w:r>
            <w:r>
              <w:t>уч</w:t>
            </w:r>
            <w:r>
              <w:rPr>
                <w:color w:val="008000"/>
              </w:rPr>
              <w:t>аях могут наблюдаться отсроченные реакции (от нескольких часов до нескольких дней).</w:t>
              <w:br/>
              <w:t xml:space="preserve"> Пациенты с развитием подобных реакций на фоне приема бета-адреноблокаторов могут быть резистентны к лечению бета-агонистами.</w:t>
              <w:br/>
              <w:t xml:space="preserve"> Сердечно-сосудистые заболевания</w:t>
              <w:br/>
              <w:t xml:space="preserve"> Данные по введению препарата Примовист ® пациентам с тяжелыми сердечно-сосудистыми заболеваниями ограничены, поэтому в этих случаях необходимо соблюдать осторожность.</w:t>
              <w:br/>
              <w:t xml:space="preserve"> Необходимо особенно тщательно оценивать соотношение польза/риск у пациентов с риском развития аритмий, в частности у пациентов с удлиненным интервалом QT и при применении ЛС, удлиняющих интервал QT.</w:t>
              <w:br/>
              <w:t xml:space="preserve"> Нарушения функции почек</w:t>
              <w:br/>
              <w:t xml:space="preserve"> У пациентов с нормальной функцией почек гадоксетовая кислота выводится почками и через ЖКТ в равном соотношении.</w:t>
              <w:br/>
              <w:t xml:space="preserve"> Перед введением препарата Примовист ® всем пациентам следует провести обследование на наличие возможного нарушения функции почек с помощью сбора анамнеза и/или проведения лабораторных тестов.</w:t>
              <w:br/>
              <w:t xml:space="preserve"> У пациентов с тяжелыми нарушениями функции почек замедлено выведение контрастных средств, поэтому в таких случаях необходимо тщательно оценивать соотношение польза/риск.</w:t>
              <w:br/>
              <w:t xml:space="preserve"> Повтор</w:t>
            </w:r>
            <w:r>
              <w:t>ное введение</w:t>
            </w:r>
            <w:r>
              <w:rPr>
                <w:color w:val="008000"/>
              </w:rPr>
              <w:t xml:space="preserve"> не должно осуществляться в течение 7 дней у пациентов с острыми или хроническими тяжелыми нарушениями функции почек.</w:t>
              <w:br/>
              <w:t xml:space="preserve"> Гадоксетовая кислота может быть удалена из организма с помощью гемодиализа. Приблизительно 30% введенной дозы выводится из организма после однократного трехчасового сеанса гемодиализа, начатого через 1 час после инъекции. У пациентов с терминальной почечной недостаточностью гадоксетовая кислота практически полностью выводилась путем гемодиализа и за счет экскреции с желчью в течение 6 дней, а у большинства пациентов-в течение 3 дней.</w:t>
              <w:br/>
              <w:t xml:space="preserve"> У пациентов, уже находящихся на гемодиализе во время применения препарата Примовист ®, после введения препарата следует быстро начать процедуру гемодиализа для улучшения выведения контрастного средства из организма.</w:t>
              <w:br/>
              <w:t xml:space="preserve"> Имеются сообщения о связи нефрогенного системного фиброза (НСФ) с использованием некоторых гадолинийсодержащих контрастных средств у пациентов с острыми или хроническими тяжелыми нарушениями функции почек (СКФ &lt;30 мл/мин/1,73 м 2 ) и острой почечной недостаточностью любой степени тяжести вследствие гепаторенального синдрома или в период до и после трансплантации печени. Хотя при введении диагностической дозы препарата Примовист ® системная экспозиция гадолиния является низкой, и существуют два пути выведения (почками и через ЖКТ), возможность возникновения НСФ после введения препарата не исключена. Поэтому применять препарат Примовист ® у таких пациентов можно лишь после тщательной оценки соотношения польза/риск.</w:t>
              <w:br/>
              <w:t xml:space="preserve"> Общие нарушения и реакции в месте введения</w:t>
              <w:br/>
              <w:t xml:space="preserve"> Необходимо строго избегать внутримышечного введения препарата, поскольку оно может быть причиной развития реакций непереносимости в месте введения, включая очаговый некроз.</w:t>
              <w:br/>
              <w:t xml:space="preserve"> Накопление гадолиния</w:t>
              <w:br/>
              <w:t xml:space="preserve"> При применении гадолинийсодержащих препаратов необходимо учитывать возможность накопления действующего вещества в головном мозге и других органах, в связи с чем они должны использоваться только в случаях крайней необходимости, при невозможности проведения альтернативных методов диагностики и в минимально возможных дозах, позволяющих получить</w:t>
              <w:br/>
              <w:br/>
              <w:t>необходимое изображение. Применять только в качестве препарата второй линии, при невозможности применения макроциклических гадолинийсодержащих контрастных средств.</w:t>
              <w:br/>
              <w:t xml:space="preserve"> Содержание натрия</w:t>
              <w:br/>
              <w:t xml:space="preserve"> Данный препарат содержит натрий: 11,7 мг/мл.</w:t>
              <w:br/>
              <w:t xml:space="preserve"> Взаимодействие с другими лекарственными препаратами и другие виды взаимодействия</w:t>
              <w:br/>
              <w:t xml:space="preserve"> Взаимодействие с ингибиторами транспортного белка органических анионов</w:t>
              <w:br/>
              <w:t xml:space="preserve"> Исследования на животных показали, что соединения, принадлежащие к классу анионных лекарственных препаратов, например, рифампицин, уменьшают захват гадоксетовой кислоты клетками печени, тем самым снижая эффективность контрастирования печени. В этом случае ожидаемая польза от введения препарата Примовист ® может проявиться не в полной мере. По данным исследований у животных других взаимодействий с лекарственными препаратами выявлено не было.</w:t>
              <w:br/>
              <w:t xml:space="preserve"> В исследовании у здоровых добровольцев было показано, что одновременное применение с ингибитором транспортного белка органических анионов эритромицином не оказывало влияния на эффективность и фармакокинетику гадоксетовой кислоты. Прочих клинических исследований по взаимодействию с другими лекарственными препаратами не проводилось.</w:t>
              <w:br/>
              <w:t xml:space="preserve"> Влияние повышенного содержания билирубина или ферритина</w:t>
              <w:br/>
              <w:t xml:space="preserve"> Повышение концентрации билирубина (&gt; 3 мг/дл) или ферритина может уменьшить эффективность контрастирования печени препаратом Примовист ®. При применении препарата Примовист ® у таких пациентов процедуру магнитно-резонансной томографии необходимо завершить не позже, чем через 60 минут после введения препарата.</w:t>
              <w:br/>
              <w:t xml:space="preserve"> Влияние на результаты диагностических тестов</w:t>
              <w:br/>
              <w:t xml:space="preserve"> При определении содержания железа в сыворотке крови комплексонометрическими методами (например, методом комплексообразования с ферроценом) в течение 24 часов после обследования с использованием препарата Примовист ® возможно получение ложно завышенных или ложно заниженных значений из-за присутствия в растворе контрастного препарата свободного комплексообразующего вещества тринатриевой соли калоксетовой кислоты.</w:t>
              <w:br/>
              <w:t xml:space="preserve"> Фертильность, беременность и лактация</w:t>
              <w:br/>
              <w:t xml:space="preserve"> Беременность</w:t>
              <w:br/>
              <w:t xml:space="preserve"> Клинические данные по применению гадоксетовой кислоты у беременных отсутствуют.</w:t>
              <w:br/>
              <w:t xml:space="preserve"> Исследования на животных показали признаки репродуктивной токсичности при повторных введениях препарата в высоких дозах.</w:t>
              <w:br/>
              <w:t xml:space="preserve"> Потенциальный риск для человека неизвестен.</w:t>
              <w:br/>
              <w:t xml:space="preserve"> Отсутствует опыт применения препарата Примовист ® у людей во время беременности. Не следует применять препарат Примовист ® для обследования беременных женщин, за исключением тех случаев, когда проведение МРТ с контрастным усилением представляется крайне необходимым и предполагаемая польза для матери от его применения превышает потенциальный риск для плода.</w:t>
              <w:br/>
              <w:t xml:space="preserve"> Лактация</w:t>
              <w:br/>
              <w:t xml:space="preserve"> Неизвестно, выделяется ли гадоксетовая кислота в грудное молоко человека.</w:t>
              <w:br/>
              <w:t xml:space="preserve"> Доклинические исследования показали, что малые количества гадоксетовой кислоты (менее 0,5% от внутривенно введенной дозы) выделяются в грудное молоко, при этом его всасывание через желудочно-кишечный тракт незначительно (приблизительно 0,4% от пероральной дозы выводится почками).</w:t>
              <w:br/>
              <w:t xml:space="preserve"> Грудное вскармливание следует прекратить на 24 часа после введения препарата Примовист ®.</w:t>
              <w:br/>
              <w:t xml:space="preserve"> Фертильность</w:t>
              <w:br/>
              <w:t xml:space="preserve"> Исследования на животных не выявили нарушения фертильности.</w:t>
              <w:br/>
              <w:t xml:space="preserve"> Несовместимость</w:t>
              <w:br/>
              <w:t xml:space="preserve"> Ввиду отсутствия исследований о несовместимости данный медицинский препарат не должен смешиваться с другими лекарственными средствами.</w:t>
              <w:br/>
              <w:t xml:space="preserve"> Особые меры предосторожности при уничтожении использованного лекарственного препарата или отходов, полученных после применения лекарственного препарата и другие манипуляции с препаратом</w:t>
              <w:br/>
              <w:t xml:space="preserve"> Инструкции по работе с препаратом</w:t>
              <w:br/>
              <w:t xml:space="preserve"> После инъекции контрастного средства внутривенную канюлю/катетер следует промыть 0,9% раствором хлорида натрия.</w:t>
              <w:br/>
              <w:t xml:space="preserve"> Утилизация</w:t>
              <w:br/>
              <w:t xml:space="preserve"> Весь оставшийся лекарственный препарат и отходы следует уничтожить в соответствии с установленным национальным законодательством требованиями.</w:t>
              <w:br/>
              <w:t xml:space="preserve"> Отклеивающаяся этикетка на шприцах должна быть приклеена к истории болезни пациента, чтобы предоставить точную информацию об использованном гадолинийсодержащем контрастном средстве. Используемая доза также должна быть указана в письменном виде.</w:t>
              <w:br/>
              <w:t xml:space="preserve"> Если используются электронные карты пациентов, в карту пациента должны быть внесены название препарата, номер серии и доза.</w:t>
              <w:br/>
              <w:t xml:space="preserve"> Подготовка к использованию (стеклянный шприц)</w:t>
              <w:br/>
            </w:r>
            <w:r>
              <w:br/>
              <w:t>&lt;!-- image --&gt;</w:t>
            </w:r>
            <w:r>
              <w:rPr>
                <w:color w:val="008000"/>
              </w:rPr>
              <w:br/>
              <w:br/>
              <w:t>&lt;!-- image --&gt;</w:t>
            </w:r>
          </w:p>
        </w:tc>
        <w:tc>
          <w:tcPr>
            <w:tcW w:w="7280" w:type="dxa"/>
          </w:tcPr>
          <w:p w14:paraId="47D75540" w14:textId="77777777" w:rsidR="00732AD7" w:rsidRPr="00510794" w:rsidRDefault="00732AD7" w:rsidP="00732AD7">
            <w:pPr>
              <w:autoSpaceDE w:val="0"/>
              <w:autoSpaceDN w:val="0"/>
              <w:adjustRightInd w:val="0"/>
              <w:ind w:left="113"/>
              <w:jc w:val="both"/>
              <w:rPr>
                <w:b/>
                <w:spacing w:val="1"/>
                <w:sz w:val="24"/>
                <w:szCs w:val="24"/>
              </w:rPr>
            </w:pPr>
            <w:r w:rsidRPr="00510794">
              <w:rPr>
                <w:b/>
                <w:spacing w:val="1"/>
                <w:sz w:val="24"/>
                <w:szCs w:val="24"/>
              </w:rPr>
              <w:t>6. Содержимое упаковки и дополнительные сведения</w:t>
            </w:r>
          </w:p>
          <w:p w14:paraId="2540CB24" w14:textId="77777777" w:rsidR="00732AD7" w:rsidRPr="00510794" w:rsidRDefault="00732AD7" w:rsidP="00732AD7">
            <w:pPr>
              <w:autoSpaceDE w:val="0"/>
              <w:autoSpaceDN w:val="0"/>
              <w:adjustRightInd w:val="0"/>
              <w:ind w:left="113"/>
              <w:jc w:val="both"/>
              <w:rPr>
                <w:b/>
                <w:spacing w:val="1"/>
                <w:sz w:val="24"/>
                <w:szCs w:val="24"/>
              </w:rPr>
            </w:pPr>
          </w:p>
          <w:p>
            <w:r>
              <w:rPr>
                <w:color w:val="FF0000"/>
              </w:rPr>
              <w:t>&lt;!--</w:t>
            </w:r>
            <w:r>
              <w:t xml:space="preserve"> </w:t>
            </w:r>
            <w:r>
              <w:t>i</w:t>
            </w:r>
            <w:r>
              <w:t>ma</w:t>
            </w:r>
            <w:r>
              <w:rPr>
                <w:color w:val="FF0000"/>
              </w:rPr>
              <w:t>g</w:t>
            </w:r>
            <w:r>
              <w:t xml:space="preserve">e </w:t>
            </w:r>
            <w:r>
              <w:t>-</w:t>
            </w:r>
            <w:r>
              <w:t>-</w:t>
            </w:r>
            <w:r>
              <w:rPr>
                <w:color w:val="FF0000"/>
              </w:rPr>
              <w:t>&gt;</w:t>
            </w:r>
            <w:r>
              <w:br/>
              <w:t xml:space="preserve"> Под</w:t>
            </w:r>
            <w:r>
              <w:t>го</w:t>
            </w:r>
            <w:r>
              <w:t>тов</w:t>
            </w:r>
            <w:r>
              <w:rPr>
                <w:color w:val="FF0000"/>
              </w:rPr>
              <w:t>к</w:t>
            </w:r>
            <w:r>
              <w:t>а</w:t>
            </w:r>
            <w:r>
              <w:t xml:space="preserve"> к</w:t>
            </w:r>
            <w:r>
              <w:t xml:space="preserve"> использовани</w:t>
            </w:r>
            <w:r>
              <w:rPr>
                <w:color w:val="FF0000"/>
              </w:rPr>
              <w:t>ю</w:t>
            </w:r>
            <w:r>
              <w:t xml:space="preserve"> </w:t>
            </w:r>
            <w:r>
              <w:rPr>
                <w:color w:val="FF0000"/>
              </w:rPr>
              <w:t>(</w:t>
            </w:r>
            <w:r>
              <w:t>п</w:t>
            </w:r>
            <w:r>
              <w:t xml:space="preserve">редварительно наполненный шприц </w:t>
            </w:r>
            <w:r>
              <w:rPr>
                <w:color w:val="FF0000"/>
              </w:rPr>
              <w:t>из</w:t>
              <w:br/>
              <w:t>циклоо</w:t>
            </w:r>
            <w:r>
              <w:t>ле</w:t>
            </w:r>
            <w:r>
              <w:rPr>
                <w:color w:val="FF0000"/>
              </w:rPr>
              <w:t>фи</w:t>
            </w:r>
            <w:r>
              <w:t>н</w:t>
            </w:r>
            <w:r>
              <w:t>ов</w:t>
            </w:r>
            <w:r>
              <w:t xml:space="preserve">ого </w:t>
            </w:r>
            <w:r>
              <w:t>пол</w:t>
            </w:r>
            <w:r>
              <w:t>имер</w:t>
            </w:r>
            <w:r>
              <w:t>а</w:t>
            </w:r>
            <w:r>
              <w:t>)</w:t>
            </w:r>
            <w:r>
              <w:br/>
              <w:t xml:space="preserve"> Р</w:t>
            </w:r>
            <w:r>
              <w:t>уч</w:t>
            </w:r>
            <w:r>
              <w:t>ное введение</w:t>
            </w:r>
            <w:r>
              <w:br/>
              <w:t>&lt;!-- image --&gt;</w:t>
            </w:r>
          </w:p>
        </w:tc>
      </w:tr>
    </w:tbl>
    <w:p w14:paraId="33A5440C" w14:textId="77777777" w:rsidR="00FB11A4" w:rsidRDefault="00FB11A4" w:rsidP="000774F1">
      <w:pPr>
        <w:autoSpaceDE w:val="0"/>
        <w:autoSpaceDN w:val="0"/>
        <w:adjustRightInd w:val="0"/>
        <w:ind w:firstLine="567"/>
        <w:jc w:val="both"/>
        <w:rPr>
          <w:iCs/>
          <w:sz w:val="28"/>
          <w:szCs w:val="28"/>
        </w:rPr>
      </w:pPr>
    </w:p>
    <w:p w14:paraId="7CF395D3" w14:textId="77777777" w:rsidR="000774F1" w:rsidRPr="000774F1" w:rsidRDefault="000774F1" w:rsidP="000774F1">
      <w:pPr>
        <w:tabs>
          <w:tab w:val="left" w:pos="1047"/>
        </w:tabs>
        <w:jc w:val="center"/>
        <w:rPr>
          <w:b/>
          <w:bCs/>
          <w:sz w:val="20"/>
        </w:rPr>
      </w:pPr>
    </w:p>
    <w:sectPr w:rsidR="000774F1" w:rsidRPr="000774F1" w:rsidSect="00345710">
      <w:pgSz w:w="16838" w:h="11906" w:orient="landscape"/>
      <w:pgMar w:top="1134" w:right="1134" w:bottom="851" w:left="1134" w:header="709" w:footer="1134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41AFEE" w14:textId="77777777" w:rsidR="000A657B" w:rsidRDefault="000A657B" w:rsidP="00C74AE5">
      <w:r>
        <w:separator/>
      </w:r>
    </w:p>
  </w:endnote>
  <w:endnote w:type="continuationSeparator" w:id="0">
    <w:p w14:paraId="20C4E33F" w14:textId="77777777" w:rsidR="000A657B" w:rsidRDefault="000A657B" w:rsidP="00C74AE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FAA6573" w14:textId="77777777" w:rsidR="000A657B" w:rsidRDefault="000A657B" w:rsidP="00C74AE5">
      <w:r>
        <w:separator/>
      </w:r>
    </w:p>
  </w:footnote>
  <w:footnote w:type="continuationSeparator" w:id="0">
    <w:p w14:paraId="46EE037C" w14:textId="77777777" w:rsidR="000A657B" w:rsidRDefault="000A657B" w:rsidP="00C74AE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A8E6FA" w14:textId="77777777" w:rsidR="00BF4506" w:rsidRPr="00C46EDD" w:rsidRDefault="001B0ECA">
    <w:pPr>
      <w:pStyle w:val="ae"/>
      <w:jc w:val="center"/>
      <w:rPr>
        <w:sz w:val="28"/>
        <w:szCs w:val="28"/>
      </w:rPr>
    </w:pPr>
    <w:r w:rsidRPr="00C46EDD">
      <w:rPr>
        <w:sz w:val="28"/>
        <w:szCs w:val="28"/>
      </w:rPr>
      <w:fldChar w:fldCharType="begin"/>
    </w:r>
    <w:r w:rsidRPr="00C46EDD">
      <w:rPr>
        <w:sz w:val="28"/>
        <w:szCs w:val="28"/>
      </w:rPr>
      <w:instrText xml:space="preserve"> PAGE   \* MERGEFORMAT </w:instrText>
    </w:r>
    <w:r w:rsidRPr="00C46EDD">
      <w:rPr>
        <w:sz w:val="28"/>
        <w:szCs w:val="28"/>
      </w:rPr>
      <w:fldChar w:fldCharType="separate"/>
    </w:r>
    <w:r>
      <w:rPr>
        <w:noProof/>
        <w:sz w:val="28"/>
        <w:szCs w:val="28"/>
      </w:rPr>
      <w:t>2</w:t>
    </w:r>
    <w:r w:rsidRPr="00C46EDD">
      <w:rPr>
        <w:sz w:val="28"/>
        <w:szCs w:val="28"/>
      </w:rPr>
      <w:fldChar w:fldCharType="end"/>
    </w:r>
  </w:p>
  <w:p w14:paraId="54B20206" w14:textId="77777777" w:rsidR="00BF4506" w:rsidRDefault="00BF4506">
    <w:pPr>
      <w:pStyle w:val="a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094218"/>
    <w:multiLevelType w:val="multilevel"/>
    <w:tmpl w:val="B800742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>
      <w:start w:val="1"/>
      <w:numFmt w:val="decimal"/>
      <w:isLgl/>
      <w:lvlText w:val="%1.%2.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1" w15:restartNumberingAfterBreak="0">
    <w:nsid w:val="128368A9"/>
    <w:multiLevelType w:val="multilevel"/>
    <w:tmpl w:val="B800742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>
      <w:start w:val="1"/>
      <w:numFmt w:val="decimal"/>
      <w:isLgl/>
      <w:lvlText w:val="%1.%2.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2" w15:restartNumberingAfterBreak="0">
    <w:nsid w:val="185B0734"/>
    <w:multiLevelType w:val="hybridMultilevel"/>
    <w:tmpl w:val="0318E9F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9923F18"/>
    <w:multiLevelType w:val="hybridMultilevel"/>
    <w:tmpl w:val="BB543FF8"/>
    <w:lvl w:ilvl="0" w:tplc="BE3C9586">
      <w:start w:val="1"/>
      <w:numFmt w:val="decimal"/>
      <w:lvlText w:val="%1."/>
      <w:lvlJc w:val="left"/>
      <w:pPr>
        <w:ind w:left="47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93" w:hanging="360"/>
      </w:pPr>
    </w:lvl>
    <w:lvl w:ilvl="2" w:tplc="0419001B" w:tentative="1">
      <w:start w:val="1"/>
      <w:numFmt w:val="lowerRoman"/>
      <w:lvlText w:val="%3."/>
      <w:lvlJc w:val="right"/>
      <w:pPr>
        <w:ind w:left="1913" w:hanging="180"/>
      </w:pPr>
    </w:lvl>
    <w:lvl w:ilvl="3" w:tplc="0419000F" w:tentative="1">
      <w:start w:val="1"/>
      <w:numFmt w:val="decimal"/>
      <w:lvlText w:val="%4."/>
      <w:lvlJc w:val="left"/>
      <w:pPr>
        <w:ind w:left="2633" w:hanging="360"/>
      </w:pPr>
    </w:lvl>
    <w:lvl w:ilvl="4" w:tplc="04190019" w:tentative="1">
      <w:start w:val="1"/>
      <w:numFmt w:val="lowerLetter"/>
      <w:lvlText w:val="%5."/>
      <w:lvlJc w:val="left"/>
      <w:pPr>
        <w:ind w:left="3353" w:hanging="360"/>
      </w:pPr>
    </w:lvl>
    <w:lvl w:ilvl="5" w:tplc="0419001B" w:tentative="1">
      <w:start w:val="1"/>
      <w:numFmt w:val="lowerRoman"/>
      <w:lvlText w:val="%6."/>
      <w:lvlJc w:val="right"/>
      <w:pPr>
        <w:ind w:left="4073" w:hanging="180"/>
      </w:pPr>
    </w:lvl>
    <w:lvl w:ilvl="6" w:tplc="0419000F" w:tentative="1">
      <w:start w:val="1"/>
      <w:numFmt w:val="decimal"/>
      <w:lvlText w:val="%7."/>
      <w:lvlJc w:val="left"/>
      <w:pPr>
        <w:ind w:left="4793" w:hanging="360"/>
      </w:pPr>
    </w:lvl>
    <w:lvl w:ilvl="7" w:tplc="04190019" w:tentative="1">
      <w:start w:val="1"/>
      <w:numFmt w:val="lowerLetter"/>
      <w:lvlText w:val="%8."/>
      <w:lvlJc w:val="left"/>
      <w:pPr>
        <w:ind w:left="5513" w:hanging="360"/>
      </w:pPr>
    </w:lvl>
    <w:lvl w:ilvl="8" w:tplc="0419001B" w:tentative="1">
      <w:start w:val="1"/>
      <w:numFmt w:val="lowerRoman"/>
      <w:lvlText w:val="%9."/>
      <w:lvlJc w:val="right"/>
      <w:pPr>
        <w:ind w:left="6233" w:hanging="180"/>
      </w:pPr>
    </w:lvl>
  </w:abstractNum>
  <w:abstractNum w:abstractNumId="4" w15:restartNumberingAfterBreak="0">
    <w:nsid w:val="22AD0D45"/>
    <w:multiLevelType w:val="hybridMultilevel"/>
    <w:tmpl w:val="E5D47B6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9B85E7C"/>
    <w:multiLevelType w:val="multilevel"/>
    <w:tmpl w:val="F6C0C778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6" w15:restartNumberingAfterBreak="0">
    <w:nsid w:val="5B1B66F8"/>
    <w:multiLevelType w:val="hybridMultilevel"/>
    <w:tmpl w:val="DEC002AA"/>
    <w:lvl w:ilvl="0" w:tplc="0419000F">
      <w:start w:val="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2540030"/>
    <w:multiLevelType w:val="hybridMultilevel"/>
    <w:tmpl w:val="468A91E4"/>
    <w:lvl w:ilvl="0" w:tplc="D81C24FC">
      <w:start w:val="1"/>
      <w:numFmt w:val="decimal"/>
      <w:lvlText w:val="%1."/>
      <w:lvlJc w:val="left"/>
      <w:pPr>
        <w:ind w:left="47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93" w:hanging="360"/>
      </w:pPr>
    </w:lvl>
    <w:lvl w:ilvl="2" w:tplc="0419001B" w:tentative="1">
      <w:start w:val="1"/>
      <w:numFmt w:val="lowerRoman"/>
      <w:lvlText w:val="%3."/>
      <w:lvlJc w:val="right"/>
      <w:pPr>
        <w:ind w:left="1913" w:hanging="180"/>
      </w:pPr>
    </w:lvl>
    <w:lvl w:ilvl="3" w:tplc="0419000F" w:tentative="1">
      <w:start w:val="1"/>
      <w:numFmt w:val="decimal"/>
      <w:lvlText w:val="%4."/>
      <w:lvlJc w:val="left"/>
      <w:pPr>
        <w:ind w:left="2633" w:hanging="360"/>
      </w:pPr>
    </w:lvl>
    <w:lvl w:ilvl="4" w:tplc="04190019" w:tentative="1">
      <w:start w:val="1"/>
      <w:numFmt w:val="lowerLetter"/>
      <w:lvlText w:val="%5."/>
      <w:lvlJc w:val="left"/>
      <w:pPr>
        <w:ind w:left="3353" w:hanging="360"/>
      </w:pPr>
    </w:lvl>
    <w:lvl w:ilvl="5" w:tplc="0419001B" w:tentative="1">
      <w:start w:val="1"/>
      <w:numFmt w:val="lowerRoman"/>
      <w:lvlText w:val="%6."/>
      <w:lvlJc w:val="right"/>
      <w:pPr>
        <w:ind w:left="4073" w:hanging="180"/>
      </w:pPr>
    </w:lvl>
    <w:lvl w:ilvl="6" w:tplc="0419000F" w:tentative="1">
      <w:start w:val="1"/>
      <w:numFmt w:val="decimal"/>
      <w:lvlText w:val="%7."/>
      <w:lvlJc w:val="left"/>
      <w:pPr>
        <w:ind w:left="4793" w:hanging="360"/>
      </w:pPr>
    </w:lvl>
    <w:lvl w:ilvl="7" w:tplc="04190019" w:tentative="1">
      <w:start w:val="1"/>
      <w:numFmt w:val="lowerLetter"/>
      <w:lvlText w:val="%8."/>
      <w:lvlJc w:val="left"/>
      <w:pPr>
        <w:ind w:left="5513" w:hanging="360"/>
      </w:pPr>
    </w:lvl>
    <w:lvl w:ilvl="8" w:tplc="0419001B" w:tentative="1">
      <w:start w:val="1"/>
      <w:numFmt w:val="lowerRoman"/>
      <w:lvlText w:val="%9."/>
      <w:lvlJc w:val="right"/>
      <w:pPr>
        <w:ind w:left="6233" w:hanging="180"/>
      </w:pPr>
    </w:lvl>
  </w:abstractNum>
  <w:abstractNum w:abstractNumId="8" w15:restartNumberingAfterBreak="0">
    <w:nsid w:val="67F624F6"/>
    <w:multiLevelType w:val="hybridMultilevel"/>
    <w:tmpl w:val="DFAC8AFE"/>
    <w:lvl w:ilvl="0" w:tplc="0419000F">
      <w:start w:val="9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BDA5D33"/>
    <w:multiLevelType w:val="hybridMultilevel"/>
    <w:tmpl w:val="B0E252BA"/>
    <w:lvl w:ilvl="0" w:tplc="5506545C">
      <w:start w:val="1"/>
      <w:numFmt w:val="decimal"/>
      <w:lvlText w:val="%1."/>
      <w:lvlJc w:val="left"/>
      <w:pPr>
        <w:ind w:left="47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93" w:hanging="360"/>
      </w:pPr>
    </w:lvl>
    <w:lvl w:ilvl="2" w:tplc="0419001B" w:tentative="1">
      <w:start w:val="1"/>
      <w:numFmt w:val="lowerRoman"/>
      <w:lvlText w:val="%3."/>
      <w:lvlJc w:val="right"/>
      <w:pPr>
        <w:ind w:left="1913" w:hanging="180"/>
      </w:pPr>
    </w:lvl>
    <w:lvl w:ilvl="3" w:tplc="0419000F" w:tentative="1">
      <w:start w:val="1"/>
      <w:numFmt w:val="decimal"/>
      <w:lvlText w:val="%4."/>
      <w:lvlJc w:val="left"/>
      <w:pPr>
        <w:ind w:left="2633" w:hanging="360"/>
      </w:pPr>
    </w:lvl>
    <w:lvl w:ilvl="4" w:tplc="04190019" w:tentative="1">
      <w:start w:val="1"/>
      <w:numFmt w:val="lowerLetter"/>
      <w:lvlText w:val="%5."/>
      <w:lvlJc w:val="left"/>
      <w:pPr>
        <w:ind w:left="3353" w:hanging="360"/>
      </w:pPr>
    </w:lvl>
    <w:lvl w:ilvl="5" w:tplc="0419001B" w:tentative="1">
      <w:start w:val="1"/>
      <w:numFmt w:val="lowerRoman"/>
      <w:lvlText w:val="%6."/>
      <w:lvlJc w:val="right"/>
      <w:pPr>
        <w:ind w:left="4073" w:hanging="180"/>
      </w:pPr>
    </w:lvl>
    <w:lvl w:ilvl="6" w:tplc="0419000F" w:tentative="1">
      <w:start w:val="1"/>
      <w:numFmt w:val="decimal"/>
      <w:lvlText w:val="%7."/>
      <w:lvlJc w:val="left"/>
      <w:pPr>
        <w:ind w:left="4793" w:hanging="360"/>
      </w:pPr>
    </w:lvl>
    <w:lvl w:ilvl="7" w:tplc="04190019" w:tentative="1">
      <w:start w:val="1"/>
      <w:numFmt w:val="lowerLetter"/>
      <w:lvlText w:val="%8."/>
      <w:lvlJc w:val="left"/>
      <w:pPr>
        <w:ind w:left="5513" w:hanging="360"/>
      </w:pPr>
    </w:lvl>
    <w:lvl w:ilvl="8" w:tplc="0419001B" w:tentative="1">
      <w:start w:val="1"/>
      <w:numFmt w:val="lowerRoman"/>
      <w:lvlText w:val="%9."/>
      <w:lvlJc w:val="right"/>
      <w:pPr>
        <w:ind w:left="6233" w:hanging="180"/>
      </w:pPr>
    </w:lvl>
  </w:abstractNum>
  <w:abstractNum w:abstractNumId="10" w15:restartNumberingAfterBreak="0">
    <w:nsid w:val="6F211C8F"/>
    <w:multiLevelType w:val="hybridMultilevel"/>
    <w:tmpl w:val="CAD4C28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CD67FD0"/>
    <w:multiLevelType w:val="multilevel"/>
    <w:tmpl w:val="47669D1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24"/>
      </w:rPr>
    </w:lvl>
    <w:lvl w:ilvl="1">
      <w:start w:val="1"/>
      <w:numFmt w:val="decimal"/>
      <w:isLgl/>
      <w:lvlText w:val="%1.%2.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2" w15:restartNumberingAfterBreak="0">
    <w:nsid w:val="7FA95858"/>
    <w:multiLevelType w:val="hybridMultilevel"/>
    <w:tmpl w:val="1F9C1E60"/>
    <w:lvl w:ilvl="0" w:tplc="0419000F">
      <w:start w:val="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998357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356345856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712655810">
    <w:abstractNumId w:val="0"/>
  </w:num>
  <w:num w:numId="4" w16cid:durableId="653532769">
    <w:abstractNumId w:val="5"/>
  </w:num>
  <w:num w:numId="5" w16cid:durableId="2048674257">
    <w:abstractNumId w:val="12"/>
  </w:num>
  <w:num w:numId="6" w16cid:durableId="601374872">
    <w:abstractNumId w:val="6"/>
  </w:num>
  <w:num w:numId="7" w16cid:durableId="377168461">
    <w:abstractNumId w:val="8"/>
  </w:num>
  <w:num w:numId="8" w16cid:durableId="1357928677">
    <w:abstractNumId w:val="11"/>
  </w:num>
  <w:num w:numId="9" w16cid:durableId="1171065159">
    <w:abstractNumId w:val="1"/>
  </w:num>
  <w:num w:numId="10" w16cid:durableId="1605065670">
    <w:abstractNumId w:val="2"/>
  </w:num>
  <w:num w:numId="11" w16cid:durableId="1917392890">
    <w:abstractNumId w:val="4"/>
  </w:num>
  <w:num w:numId="12" w16cid:durableId="265968212">
    <w:abstractNumId w:val="7"/>
  </w:num>
  <w:num w:numId="13" w16cid:durableId="746657296">
    <w:abstractNumId w:val="3"/>
  </w:num>
  <w:num w:numId="14" w16cid:durableId="101399716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1B12"/>
    <w:rsid w:val="00001B51"/>
    <w:rsid w:val="000529AD"/>
    <w:rsid w:val="0006497D"/>
    <w:rsid w:val="0007116C"/>
    <w:rsid w:val="000774F1"/>
    <w:rsid w:val="000838C5"/>
    <w:rsid w:val="000A657B"/>
    <w:rsid w:val="000B1B12"/>
    <w:rsid w:val="000C78F6"/>
    <w:rsid w:val="000D5229"/>
    <w:rsid w:val="00173FF2"/>
    <w:rsid w:val="001B0ECA"/>
    <w:rsid w:val="00205CF6"/>
    <w:rsid w:val="00246528"/>
    <w:rsid w:val="002C6418"/>
    <w:rsid w:val="00345710"/>
    <w:rsid w:val="00371EFA"/>
    <w:rsid w:val="003720D7"/>
    <w:rsid w:val="00376F9C"/>
    <w:rsid w:val="003807DE"/>
    <w:rsid w:val="003D6C68"/>
    <w:rsid w:val="004B7813"/>
    <w:rsid w:val="00577D01"/>
    <w:rsid w:val="00595AD0"/>
    <w:rsid w:val="005C7560"/>
    <w:rsid w:val="005D25A2"/>
    <w:rsid w:val="00606AEF"/>
    <w:rsid w:val="00622B6B"/>
    <w:rsid w:val="006B359C"/>
    <w:rsid w:val="006C0B77"/>
    <w:rsid w:val="00714AA5"/>
    <w:rsid w:val="00724547"/>
    <w:rsid w:val="00732AD7"/>
    <w:rsid w:val="007835D3"/>
    <w:rsid w:val="007B1FD4"/>
    <w:rsid w:val="008232B2"/>
    <w:rsid w:val="008242FF"/>
    <w:rsid w:val="008648E4"/>
    <w:rsid w:val="00870751"/>
    <w:rsid w:val="00922C48"/>
    <w:rsid w:val="00932124"/>
    <w:rsid w:val="009D7283"/>
    <w:rsid w:val="00A16227"/>
    <w:rsid w:val="00AC3A98"/>
    <w:rsid w:val="00AD16C2"/>
    <w:rsid w:val="00AE40AD"/>
    <w:rsid w:val="00B22FDF"/>
    <w:rsid w:val="00B32A72"/>
    <w:rsid w:val="00B915B7"/>
    <w:rsid w:val="00B92EF4"/>
    <w:rsid w:val="00BD06FB"/>
    <w:rsid w:val="00BF4506"/>
    <w:rsid w:val="00C13B68"/>
    <w:rsid w:val="00C17D40"/>
    <w:rsid w:val="00C74AE5"/>
    <w:rsid w:val="00C86F15"/>
    <w:rsid w:val="00D01840"/>
    <w:rsid w:val="00D4319B"/>
    <w:rsid w:val="00D86F35"/>
    <w:rsid w:val="00DC262A"/>
    <w:rsid w:val="00E52579"/>
    <w:rsid w:val="00E52DCB"/>
    <w:rsid w:val="00E64A95"/>
    <w:rsid w:val="00EA59DF"/>
    <w:rsid w:val="00EB200F"/>
    <w:rsid w:val="00EE17ED"/>
    <w:rsid w:val="00EE4070"/>
    <w:rsid w:val="00F12C76"/>
    <w:rsid w:val="00F84A5E"/>
    <w:rsid w:val="00F85B35"/>
    <w:rsid w:val="00FB11A4"/>
    <w:rsid w:val="00FD2C3D"/>
    <w:rsid w:val="00FF2D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F49E4E"/>
  <w15:chartTrackingRefBased/>
  <w15:docId w15:val="{A4ACFEB1-A37F-4B5D-BCA9-7D6E8A473F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SimSun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13B68"/>
    <w:pPr>
      <w:spacing w:after="0" w:line="240" w:lineRule="auto"/>
    </w:pPr>
    <w:rPr>
      <w:rFonts w:ascii="Times New Roman" w:eastAsia="Times New Roman" w:hAnsi="Times New Roman" w:cs="Times New Roman"/>
      <w:sz w:val="26"/>
      <w:szCs w:val="20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0B1B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B1B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B1B1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B1B1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B1B1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B1B12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B1B12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B1B12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B1B12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B1B12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B1B1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B1B12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B1B12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0B1B12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0B1B12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0B1B12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0B1B12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0B1B12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0B1B1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B1B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B1B12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B1B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B1B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B1B12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0B1B1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B1B12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B1B12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B1B12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0B1B12"/>
    <w:rPr>
      <w:b/>
      <w:bCs/>
      <w:smallCaps/>
      <w:color w:val="2E74B5" w:themeColor="accent1" w:themeShade="BF"/>
      <w:spacing w:val="5"/>
    </w:rPr>
  </w:style>
  <w:style w:type="paragraph" w:styleId="ac">
    <w:name w:val="footer"/>
    <w:basedOn w:val="a"/>
    <w:link w:val="ad"/>
    <w:uiPriority w:val="99"/>
    <w:unhideWhenUsed/>
    <w:rsid w:val="00C74AE5"/>
    <w:pPr>
      <w:tabs>
        <w:tab w:val="center" w:pos="4677"/>
        <w:tab w:val="right" w:pos="9355"/>
      </w:tabs>
    </w:pPr>
  </w:style>
  <w:style w:type="character" w:customStyle="1" w:styleId="ad">
    <w:name w:val="Нижний колонтитул Знак"/>
    <w:basedOn w:val="a0"/>
    <w:link w:val="ac"/>
    <w:uiPriority w:val="99"/>
    <w:rsid w:val="00C74AE5"/>
    <w:rPr>
      <w:rFonts w:ascii="Times New Roman" w:eastAsia="Times New Roman" w:hAnsi="Times New Roman" w:cs="Times New Roman"/>
      <w:sz w:val="26"/>
      <w:szCs w:val="20"/>
      <w:lang w:eastAsia="ru-RU"/>
    </w:rPr>
  </w:style>
  <w:style w:type="paragraph" w:styleId="ae">
    <w:name w:val="header"/>
    <w:basedOn w:val="a"/>
    <w:link w:val="af"/>
    <w:uiPriority w:val="99"/>
    <w:unhideWhenUsed/>
    <w:rsid w:val="00C74AE5"/>
    <w:pPr>
      <w:tabs>
        <w:tab w:val="center" w:pos="4677"/>
        <w:tab w:val="right" w:pos="9355"/>
      </w:tabs>
    </w:pPr>
  </w:style>
  <w:style w:type="character" w:customStyle="1" w:styleId="af">
    <w:name w:val="Верхний колонтитул Знак"/>
    <w:basedOn w:val="a0"/>
    <w:link w:val="ae"/>
    <w:uiPriority w:val="99"/>
    <w:rsid w:val="00C74AE5"/>
    <w:rPr>
      <w:rFonts w:ascii="Times New Roman" w:eastAsia="Times New Roman" w:hAnsi="Times New Roman" w:cs="Times New Roman"/>
      <w:sz w:val="26"/>
      <w:szCs w:val="20"/>
      <w:lang w:eastAsia="ru-RU"/>
    </w:rPr>
  </w:style>
  <w:style w:type="paragraph" w:styleId="af0">
    <w:name w:val="Normal (Web)"/>
    <w:basedOn w:val="a"/>
    <w:uiPriority w:val="99"/>
    <w:semiHidden/>
    <w:unhideWhenUsed/>
    <w:rsid w:val="00C74AE5"/>
    <w:pPr>
      <w:spacing w:before="100" w:beforeAutospacing="1" w:after="100" w:afterAutospacing="1"/>
    </w:pPr>
    <w:rPr>
      <w:sz w:val="24"/>
      <w:szCs w:val="24"/>
    </w:rPr>
  </w:style>
  <w:style w:type="paragraph" w:customStyle="1" w:styleId="Default">
    <w:name w:val="Default"/>
    <w:rsid w:val="00C74AE5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table" w:styleId="af1">
    <w:name w:val="Table Grid"/>
    <w:basedOn w:val="a1"/>
    <w:uiPriority w:val="39"/>
    <w:rsid w:val="00FB11A4"/>
    <w:pPr>
      <w:spacing w:after="0" w:line="240" w:lineRule="auto"/>
    </w:pPr>
    <w:rPr>
      <w:rFonts w:eastAsiaTheme="minorHAns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2">
    <w:name w:val="Hyperlink"/>
    <w:basedOn w:val="a0"/>
    <w:uiPriority w:val="99"/>
    <w:unhideWhenUsed/>
    <w:rsid w:val="00FB11A4"/>
    <w:rPr>
      <w:color w:val="0563C1" w:themeColor="hyperlink"/>
      <w:u w:val="single"/>
    </w:rPr>
  </w:style>
  <w:style w:type="character" w:styleId="af3">
    <w:name w:val="FollowedHyperlink"/>
    <w:basedOn w:val="a0"/>
    <w:uiPriority w:val="99"/>
    <w:semiHidden/>
    <w:unhideWhenUsed/>
    <w:rsid w:val="00FB11A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61295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407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0983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003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362</Words>
  <Characters>2069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GKO</dc:creator>
  <cp:keywords/>
  <dc:description/>
  <cp:lastModifiedBy>GKO</cp:lastModifiedBy>
  <cp:revision>7</cp:revision>
  <dcterms:created xsi:type="dcterms:W3CDTF">2025-06-28T17:20:00Z</dcterms:created>
  <dcterms:modified xsi:type="dcterms:W3CDTF">2025-07-25T12:44:00Z</dcterms:modified>
</cp:coreProperties>
</file>