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56" w:type="dxa"/>
        <w:tblLook w:val="01E0"/>
      </w:tblPr>
      <w:tblGrid>
        <w:gridCol w:w="4928"/>
        <w:gridCol w:w="964"/>
        <w:gridCol w:w="4564"/>
      </w:tblGrid>
      <w:tr w:rsidR="00C74AE5" w:rsidRPr="005C3BF9" w:rsidTr="005D00F9">
        <w:trPr>
          <w:trHeight w:val="1985"/>
        </w:trPr>
        <w:tc>
          <w:tcPr>
            <w:tcW w:w="4928" w:type="dxa"/>
          </w:tcPr>
          <w:p w:rsidR="00C74AE5" w:rsidRPr="00B03496" w:rsidRDefault="00C74AE5" w:rsidP="005D00F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4" w:type="dxa"/>
          </w:tcPr>
          <w:p w:rsidR="00C74AE5" w:rsidRPr="009731EF" w:rsidRDefault="00C74AE5" w:rsidP="005D00F9"/>
        </w:tc>
        <w:tc>
          <w:tcPr>
            <w:tcW w:w="4564" w:type="dxa"/>
          </w:tcPr>
          <w:p w:rsidR="00C74AE5" w:rsidRPr="00F53ADD" w:rsidRDefault="00C74AE5" w:rsidP="005D00F9">
            <w:pPr>
              <w:rPr>
                <w:sz w:val="28"/>
                <w:szCs w:val="28"/>
              </w:rPr>
            </w:pPr>
            <w:r w:rsidRPr="00F53ADD">
              <w:rPr>
                <w:sz w:val="28"/>
                <w:szCs w:val="28"/>
              </w:rPr>
              <w:t xml:space="preserve">Заместителю генерального директора  </w:t>
            </w:r>
            <w:r>
              <w:rPr>
                <w:sz w:val="28"/>
                <w:szCs w:val="28"/>
              </w:rPr>
              <w:t>ФГБУ «НЦЭСМП» Минздрава России</w:t>
            </w:r>
          </w:p>
          <w:p w:rsidR="00C74AE5" w:rsidRDefault="00C74AE5" w:rsidP="005D00F9">
            <w:pPr>
              <w:rPr>
                <w:sz w:val="28"/>
                <w:szCs w:val="28"/>
              </w:rPr>
            </w:pPr>
          </w:p>
          <w:p w:rsidR="00C74AE5" w:rsidRPr="00246528" w:rsidRDefault="00246528" w:rsidP="005D00F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________________</w:t>
            </w:r>
          </w:p>
        </w:tc>
      </w:tr>
      <w:tr w:rsidR="00C74AE5" w:rsidRPr="005C3BF9" w:rsidTr="005D00F9">
        <w:trPr>
          <w:trHeight w:val="853"/>
        </w:trPr>
        <w:tc>
          <w:tcPr>
            <w:tcW w:w="4928" w:type="dxa"/>
          </w:tcPr>
          <w:p w:rsidR="00C74AE5" w:rsidRPr="007716D1" w:rsidRDefault="00C74AE5" w:rsidP="005D00F9">
            <w:pPr>
              <w:outlineLvl w:val="0"/>
              <w:rPr>
                <w:b/>
                <w:sz w:val="22"/>
                <w:szCs w:val="22"/>
              </w:rPr>
            </w:pPr>
          </w:p>
          <w:p w:rsidR="00C74AE5" w:rsidRPr="00F53ADD" w:rsidRDefault="00C74AE5" w:rsidP="005D00F9">
            <w:pPr>
              <w:outlineLvl w:val="0"/>
              <w:rPr>
                <w:b/>
                <w:sz w:val="22"/>
                <w:szCs w:val="22"/>
              </w:rPr>
            </w:pPr>
            <w:r w:rsidRPr="00E2620B">
              <w:rPr>
                <w:b/>
                <w:sz w:val="22"/>
                <w:szCs w:val="22"/>
              </w:rPr>
              <w:t xml:space="preserve">Задание </w:t>
            </w:r>
            <w:r w:rsidRPr="00F53ADD">
              <w:rPr>
                <w:b/>
                <w:sz w:val="22"/>
                <w:szCs w:val="22"/>
              </w:rPr>
              <w:t>от</w:t>
            </w:r>
            <w:r>
              <w:rPr>
                <w:b/>
                <w:sz w:val="22"/>
                <w:szCs w:val="22"/>
                <w:lang w:val="en-US"/>
              </w:rPr>
              <w:t> </w:t>
            </w:r>
            <w:r>
              <w:rPr>
                <w:b/>
                <w:sz w:val="22"/>
                <w:szCs w:val="22"/>
              </w:rPr>
              <w:t>____________</w:t>
            </w:r>
            <w:r w:rsidRPr="00F53ADD">
              <w:rPr>
                <w:b/>
                <w:sz w:val="22"/>
                <w:szCs w:val="22"/>
              </w:rPr>
              <w:t>. № 25-5-4280804/ПРеф/ЗД/Э</w:t>
            </w:r>
          </w:p>
        </w:tc>
        <w:tc>
          <w:tcPr>
            <w:tcW w:w="964" w:type="dxa"/>
          </w:tcPr>
          <w:p w:rsidR="00C74AE5" w:rsidRPr="005C3BF9" w:rsidRDefault="00C74AE5" w:rsidP="005D00F9"/>
        </w:tc>
        <w:tc>
          <w:tcPr>
            <w:tcW w:w="4564" w:type="dxa"/>
          </w:tcPr>
          <w:p w:rsidR="00C74AE5" w:rsidRPr="005C3BF9" w:rsidRDefault="00C74AE5" w:rsidP="005D00F9"/>
        </w:tc>
      </w:tr>
    </w:tbl>
    <w:p w:rsidR="00C74AE5" w:rsidRDefault="00C74AE5" w:rsidP="00C74AE5">
      <w:pPr>
        <w:ind w:left="142" w:firstLine="567"/>
        <w:jc w:val="both"/>
        <w:rPr>
          <w:sz w:val="28"/>
          <w:szCs w:val="28"/>
        </w:rPr>
      </w:pPr>
    </w:p>
    <w:p w:rsidR="00C74AE5" w:rsidRDefault="00C74AE5" w:rsidP="00C74AE5">
      <w:pPr>
        <w:ind w:left="142" w:firstLine="567"/>
        <w:jc w:val="center"/>
        <w:rPr>
          <w:sz w:val="28"/>
          <w:szCs w:val="28"/>
        </w:rPr>
      </w:pPr>
    </w:p>
    <w:p w:rsidR="00C74AE5" w:rsidRPr="00C852A8" w:rsidRDefault="00C74AE5" w:rsidP="00C74AE5">
      <w:pPr>
        <w:ind w:left="142"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Уважаемая </w:t>
      </w:r>
      <w:r w:rsidR="00205CF6" w:rsidRPr="00F84A5E">
        <w:rPr>
          <w:sz w:val="28"/>
          <w:szCs w:val="28"/>
        </w:rPr>
        <w:t>_____________________</w:t>
      </w:r>
      <w:r>
        <w:rPr>
          <w:sz w:val="28"/>
          <w:szCs w:val="28"/>
        </w:rPr>
        <w:t>!</w:t>
      </w:r>
    </w:p>
    <w:p w:rsidR="00C74AE5" w:rsidRPr="00C852A8" w:rsidRDefault="00C74AE5" w:rsidP="00C74AE5">
      <w:pPr>
        <w:ind w:left="142" w:firstLine="567"/>
        <w:jc w:val="both"/>
        <w:rPr>
          <w:sz w:val="28"/>
          <w:szCs w:val="28"/>
        </w:rPr>
      </w:pPr>
    </w:p>
    <w:p w:rsidR="00C74AE5" w:rsidRPr="00684BE2" w:rsidRDefault="00C74AE5" w:rsidP="00C74AE5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>
        <w:rPr>
          <w:sz w:val="28"/>
        </w:rPr>
        <w:t>При проведении экспертизы лекарственного средства ЛИНЕЗОЛИД, 200 мг, таблетки, покрытые пленочной оболочкой.</w:t>
      </w:r>
      <w:r>
        <w:rPr>
          <w:sz w:val="28"/>
        </w:rPr>
        <w:br/>
        <w:t>ЛИНЕЗОЛИД, 300 мг, таблетки, покрытые пленочной оболочкой.</w:t>
      </w:r>
      <w:r>
        <w:rPr>
          <w:sz w:val="28"/>
        </w:rPr>
        <w:br/>
        <w:t>ЛИНЕЗОЛИД, 600 мг, таблетки, покрытые пленочной оболочкой., мною, экспертом, входящим в состав комиссии экспертов по заданию от _____. № _____________, выданному Минздравом России экспертному учреждению в соответствии с положениями Решения Совета ЕЭК от 03.11.2016 N 78 «О Правилах регистрации и экспертизы лекарственных средств для медицинского применения» (далее – Правила) выявлена необходимость направления заявителю запроса о представлении дополнительной информации, необходимых уточнений, касающихся представленных документов и данных регистрационного досье лекарственного препарата.</w:t>
      </w:r>
    </w:p>
    <w:p w:rsidR="00F84A5E" w:rsidRDefault="00C74AE5" w:rsidP="00F84A5E">
      <w:pPr>
        <w:ind w:right="-143" w:firstLine="53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В целях подготовки всесторонне обоснованного и объективного экспертного отчета</w:t>
      </w:r>
      <w:r>
        <w:rPr>
          <w:iCs/>
          <w:sz w:val="28"/>
          <w:szCs w:val="28"/>
        </w:rPr>
        <w:t>необходимо предоставление следующей информации:</w:t>
      </w:r>
    </w:p>
    <w:p w:rsidR="00FD2C3D" w:rsidRPr="00FD2C3D" w:rsidRDefault="00FD2C3D" w:rsidP="00FD2C3D">
      <w:pPr>
        <w:ind w:right="-143" w:firstLine="539"/>
        <w:jc w:val="both"/>
        <w:rPr>
          <w:sz w:val="28"/>
          <w:szCs w:val="28"/>
        </w:rPr>
      </w:pPr>
      <w:r w:rsidRPr="00FD2C3D">
        <w:rPr>
          <w:sz w:val="28"/>
          <w:szCs w:val="28"/>
        </w:rPr>
        <w:t>Необходимо в разделе 1.3.1. регистрационного досье в форме общего технического документа (в электронном досье с учетом соответствующего кода видов документов) представить проект общей характеристики лекарственного препарата (ОХЛП), который требуется привести в соответствие с учетом Требований, утвержденных Решением Совета ЕЭК от 03.11.2016 № 88:</w:t>
      </w:r>
    </w:p>
    <w:p w:rsidR="00FD2C3D" w:rsidRPr="000C78F6" w:rsidRDefault="00FD2C3D" w:rsidP="00FD2C3D">
      <w:pPr>
        <w:ind w:right="-143" w:firstLine="539"/>
        <w:jc w:val="both"/>
        <w:rPr>
          <w:sz w:val="28"/>
          <w:szCs w:val="28"/>
        </w:rPr>
      </w:pPr>
      <w:r w:rsidRPr="00FD2C3D">
        <w:rPr>
          <w:sz w:val="28"/>
          <w:szCs w:val="28"/>
        </w:rPr>
        <w:t>При подготовке ответа на запрос рекомендуется учитывать «Рекомендации по составлению проекта общей характеристики лекарственного препарата (ОХЛП)», размещенные на сайте ФГБУ «НЦЭСМП» Минздрава России в разделе «Экспертиза», в подразделе «Заявителям», в рубрике «Библиотека документов» (далее – Рекомендации к ОХЛП)</w:t>
      </w:r>
      <w:r w:rsidR="000C78F6" w:rsidRPr="000C78F6">
        <w:rPr>
          <w:sz w:val="28"/>
          <w:szCs w:val="28"/>
        </w:rPr>
        <w:t>.</w:t>
      </w:r>
    </w:p>
    <w:p w:rsidR="00F84A5E" w:rsidRPr="00F84A5E" w:rsidRDefault="00F84A5E" w:rsidP="00F84A5E">
      <w:pPr>
        <w:ind w:right="-143" w:firstLine="539"/>
        <w:jc w:val="both"/>
        <w:rPr>
          <w:iCs/>
          <w:sz w:val="28"/>
          <w:szCs w:val="28"/>
        </w:rPr>
      </w:pPr>
    </w:p>
    <w:p w:rsidR="00573EB3" w:rsidRDefault="00E42A7E">
      <w:pPr>
        <w:ind w:firstLine="567"/>
        <w:jc w:val="both"/>
      </w:pPr>
      <w:r>
        <w:rPr>
          <w:b/>
          <w:sz w:val="28"/>
        </w:rPr>
        <w:t xml:space="preserve">4.3 Противопоказания: </w:t>
      </w:r>
      <w:r>
        <w:rPr>
          <w:sz w:val="28"/>
        </w:rPr>
        <w:t>в разделе не указаны ссы</w:t>
      </w:r>
      <w:r>
        <w:rPr>
          <w:sz w:val="28"/>
        </w:rPr>
        <w:t>лки на соответствующие разделы инструкции, где приводятся более подробные сведения (например, ссылки на разделы 4.4 или 4.6). Также не указано, что недостаточность данных сама по себе не является противопоказанием.</w:t>
      </w:r>
    </w:p>
    <w:p w:rsidR="00573EB3" w:rsidRDefault="00E42A7E">
      <w:pPr>
        <w:ind w:firstLine="567"/>
        <w:jc w:val="both"/>
      </w:pPr>
      <w:r>
        <w:rPr>
          <w:b/>
          <w:sz w:val="28"/>
        </w:rPr>
        <w:t>4.4 Особые указания и меры предосторожнос</w:t>
      </w:r>
      <w:r>
        <w:rPr>
          <w:b/>
          <w:sz w:val="28"/>
        </w:rPr>
        <w:t xml:space="preserve">ти при применении: </w:t>
      </w:r>
      <w:r>
        <w:rPr>
          <w:sz w:val="28"/>
        </w:rPr>
        <w:t xml:space="preserve">в разделе не выделены особо важные сведения по безопасности полужирным шрифтом и не заключены в рамку, как рекомендовано в пункте инструкции. </w:t>
      </w:r>
      <w:r>
        <w:rPr>
          <w:sz w:val="28"/>
        </w:rPr>
        <w:lastRenderedPageBreak/>
        <w:t>Также подраздел «Вспомогательные вещества» и «Дети» отсутствуют, хотя они должны быть включены,</w:t>
      </w:r>
      <w:r>
        <w:rPr>
          <w:sz w:val="28"/>
        </w:rPr>
        <w:t xml:space="preserve"> если применимо.</w:t>
      </w:r>
    </w:p>
    <w:p w:rsidR="00573EB3" w:rsidRDefault="00E42A7E">
      <w:pPr>
        <w:ind w:firstLine="567"/>
        <w:jc w:val="both"/>
      </w:pPr>
      <w:r>
        <w:rPr>
          <w:b/>
          <w:sz w:val="28"/>
        </w:rPr>
        <w:t xml:space="preserve">4.6 Фертильность, беременность и лактация: </w:t>
      </w:r>
      <w:r>
        <w:rPr>
          <w:sz w:val="28"/>
        </w:rPr>
        <w:t xml:space="preserve">в разделе «Беременность» указано, что исследований безопасности применения линезолида при беременности не проводилось, и применение возможно только в случае, если предполагаемая польза от терапии </w:t>
      </w:r>
      <w:r>
        <w:rPr>
          <w:sz w:val="28"/>
        </w:rPr>
        <w:t xml:space="preserve">для матери превосходит потенциальный риск для плода. Однако не представлены выводы доклинических исследований репродуктивной токсичности и более подробные сведения о значимых нежелательных явлениях, возникших у эмбриона, плода, новорожденного, беременной. </w:t>
      </w:r>
      <w:r>
        <w:rPr>
          <w:sz w:val="28"/>
        </w:rPr>
        <w:t>В разделе «Лактация» указано, что неизвестно, выделяется ли линезолид с грудным молоком, и рекомендуется прекратить грудное вскармливание при назначении препарата матери в период лактации, но не представлены клинические данные о применении линезолида у мла</w:t>
      </w:r>
      <w:r>
        <w:rPr>
          <w:sz w:val="28"/>
        </w:rPr>
        <w:t>денцев, находившихся на грудном вскармливании, и сведения о нежелательных реакциях у детей, находящихся на грудном вскармливании.</w:t>
      </w:r>
    </w:p>
    <w:p w:rsidR="00573EB3" w:rsidRDefault="00E42A7E">
      <w:pPr>
        <w:ind w:firstLine="567"/>
        <w:jc w:val="both"/>
      </w:pPr>
      <w:r>
        <w:rPr>
          <w:b/>
          <w:sz w:val="28"/>
        </w:rPr>
        <w:t xml:space="preserve">4.7 Влияние на способность управлять транспортными средствами и работать с механизмами: </w:t>
      </w:r>
      <w:r>
        <w:rPr>
          <w:sz w:val="28"/>
        </w:rPr>
        <w:t>в инструкции указано, что не рекоменду</w:t>
      </w:r>
      <w:r>
        <w:rPr>
          <w:sz w:val="28"/>
        </w:rPr>
        <w:t>ется управлять транспортными средствами и заниматься деятельностью, связанной с повышенным риском, однако не указано, какое именно влияние оказывает препарат на способность управлять транспортными средствами и работать с механизмами. Согласно рекомендациям</w:t>
      </w:r>
      <w:r>
        <w:rPr>
          <w:sz w:val="28"/>
        </w:rPr>
        <w:t>, необходимо было указать степень влияния (несущественное, слабое, умеренное или выраженное), а также представить особые указания и меры предосторожности при применении препарата, если он оказывает умеренное или выраженное влияние.</w:t>
      </w:r>
    </w:p>
    <w:p w:rsidR="00573EB3" w:rsidRDefault="00E42A7E">
      <w:pPr>
        <w:ind w:firstLine="567"/>
        <w:jc w:val="both"/>
      </w:pPr>
      <w:r>
        <w:rPr>
          <w:b/>
          <w:sz w:val="28"/>
        </w:rPr>
        <w:t>4.8 Нежелательные реакци</w:t>
      </w:r>
      <w:r>
        <w:rPr>
          <w:b/>
          <w:sz w:val="28"/>
        </w:rPr>
        <w:t xml:space="preserve">и: </w:t>
      </w:r>
      <w:r>
        <w:rPr>
          <w:sz w:val="28"/>
        </w:rPr>
        <w:t>в разделе «Резюме профиля безопасности» указано, что нежелательные явления обычно лёгкой или средней степени выраженности, однако не перечислены наиболее серьёзные нежелательные реакции. В разделе «Резюме нежелательных реакций» не все нежелательные реак</w:t>
      </w:r>
      <w:r>
        <w:rPr>
          <w:sz w:val="28"/>
        </w:rPr>
        <w:t>ции сгруппированы в соответствии с перечнем системно-органных классов в порядке убывания их серьёзности. Также не все категории частоты нежелательных реакций указаны в соответствии со стандартными терминами.</w:t>
      </w:r>
    </w:p>
    <w:p w:rsidR="00573EB3" w:rsidRDefault="00E42A7E">
      <w:pPr>
        <w:ind w:firstLine="567"/>
        <w:jc w:val="both"/>
      </w:pPr>
      <w:r>
        <w:rPr>
          <w:b/>
          <w:sz w:val="28"/>
        </w:rPr>
        <w:t xml:space="preserve">4.9 Передозировка: </w:t>
      </w:r>
      <w:r>
        <w:rPr>
          <w:sz w:val="28"/>
        </w:rPr>
        <w:t>в разделе «Лечение» отсутству</w:t>
      </w:r>
      <w:r>
        <w:rPr>
          <w:sz w:val="28"/>
        </w:rPr>
        <w:t>ют рекомендации по применению специфических агонистов (антагонистов), антидотов и методов, повышающих элиминацию ЛП, кроме гемодиализа. Также не описаны превентивные меры, основанные на генетических факторах, и не приведены сведения об особых группах пацие</w:t>
      </w:r>
      <w:r>
        <w:rPr>
          <w:sz w:val="28"/>
        </w:rPr>
        <w:t>нтов.</w:t>
      </w:r>
    </w:p>
    <w:p w:rsidR="00573EB3" w:rsidRDefault="00E42A7E">
      <w:pPr>
        <w:ind w:firstLine="567"/>
        <w:jc w:val="both"/>
      </w:pPr>
      <w:r>
        <w:rPr>
          <w:b/>
          <w:sz w:val="28"/>
        </w:rPr>
        <w:t xml:space="preserve">6.2 Несовместимость: </w:t>
      </w:r>
      <w:r>
        <w:rPr>
          <w:sz w:val="28"/>
        </w:rPr>
        <w:t>в разделе указано только «Не применимо», что не соответствует рекомендациям. Необходимо включить одну из стандартных фраз о несовместимости или указать, что исследований совместимости не проводилось.</w:t>
      </w:r>
    </w:p>
    <w:p w:rsidR="00573EB3" w:rsidRDefault="00E42A7E">
      <w:pPr>
        <w:ind w:firstLine="567"/>
        <w:jc w:val="both"/>
      </w:pPr>
      <w:r>
        <w:rPr>
          <w:b/>
          <w:sz w:val="28"/>
        </w:rPr>
        <w:t>6.6 Особые меры предосторожно</w:t>
      </w:r>
      <w:r>
        <w:rPr>
          <w:b/>
          <w:sz w:val="28"/>
        </w:rPr>
        <w:t xml:space="preserve">сти при уничтожении использованного лекарственного препарата или отходов, полученных после применения лекарственного препарата, и другие манипуляции с препаратом: </w:t>
      </w:r>
      <w:r>
        <w:rPr>
          <w:sz w:val="28"/>
        </w:rPr>
        <w:t>в разделе указано только «Особые требования отсутствуют.», однако в рекомендациях указано, чт</w:t>
      </w:r>
      <w:r>
        <w:rPr>
          <w:sz w:val="28"/>
        </w:rPr>
        <w:t xml:space="preserve">о при отсутствии особых указаний по применению или инструкции по </w:t>
      </w:r>
      <w:r>
        <w:rPr>
          <w:sz w:val="28"/>
        </w:rPr>
        <w:lastRenderedPageBreak/>
        <w:t>работе для работника аптеки и других медицинских работников, следует привести стандартную формулировку «&lt;Весь оставшийся лекарственный препарат и отходы следует уничтожить (утилизировать) в с</w:t>
      </w:r>
      <w:r>
        <w:rPr>
          <w:sz w:val="28"/>
        </w:rPr>
        <w:t>оответствии с требованиями законодательства государств – членов Евразийского экономического союза.&gt;». Отсутствует данная стандартная фраза.</w:t>
      </w:r>
    </w:p>
    <w:p w:rsidR="00573EB3" w:rsidRDefault="00E42A7E">
      <w:pPr>
        <w:ind w:firstLine="567"/>
        <w:jc w:val="both"/>
      </w:pPr>
      <w:r>
        <w:rPr>
          <w:b/>
          <w:sz w:val="28"/>
        </w:rPr>
        <w:t xml:space="preserve">8. НОМЕР РЕГИСТРАЦИОННОГО УДОСТОВЕРЕНИЯ: </w:t>
      </w:r>
      <w:r>
        <w:rPr>
          <w:sz w:val="28"/>
        </w:rPr>
        <w:t>отсутствует информация о том, кто и когда заполнил раздел инструкции, а так</w:t>
      </w:r>
      <w:r>
        <w:rPr>
          <w:sz w:val="28"/>
        </w:rPr>
        <w:t>же нет указания на внесение изменений в действующую ОХЛП. Присутствует только номер ЛП-No(001766)-(РГ-RU), который не относится к заполнению раздела.</w:t>
      </w:r>
    </w:p>
    <w:p w:rsidR="00C74AE5" w:rsidRPr="00C852A8" w:rsidRDefault="00C74AE5" w:rsidP="00C74AE5">
      <w:pPr>
        <w:jc w:val="both"/>
        <w:rPr>
          <w:sz w:val="28"/>
          <w:szCs w:val="28"/>
        </w:rPr>
      </w:pPr>
    </w:p>
    <w:tbl>
      <w:tblPr>
        <w:tblpPr w:leftFromText="180" w:rightFromText="180" w:vertAnchor="text" w:horzAnchor="page" w:tblpX="1198" w:tblpY="217"/>
        <w:tblW w:w="10065" w:type="dxa"/>
        <w:tblLook w:val="01E0"/>
      </w:tblPr>
      <w:tblGrid>
        <w:gridCol w:w="5920"/>
        <w:gridCol w:w="4145"/>
      </w:tblGrid>
      <w:tr w:rsidR="00C74AE5" w:rsidRPr="004575A1" w:rsidTr="005D00F9">
        <w:tc>
          <w:tcPr>
            <w:tcW w:w="5920" w:type="dxa"/>
          </w:tcPr>
          <w:p w:rsidR="00C74AE5" w:rsidRPr="004575A1" w:rsidRDefault="00C74AE5" w:rsidP="00D018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:rsidR="00C74AE5" w:rsidRPr="004575A1" w:rsidRDefault="00C74AE5" w:rsidP="005D00F9">
            <w:pPr>
              <w:ind w:left="540" w:hanging="180"/>
              <w:jc w:val="right"/>
              <w:rPr>
                <w:sz w:val="28"/>
                <w:szCs w:val="28"/>
              </w:rPr>
            </w:pPr>
          </w:p>
        </w:tc>
      </w:tr>
      <w:tr w:rsidR="00C74AE5" w:rsidRPr="00AD3A1A" w:rsidTr="005D00F9">
        <w:tc>
          <w:tcPr>
            <w:tcW w:w="5920" w:type="dxa"/>
          </w:tcPr>
          <w:p w:rsidR="00C74AE5" w:rsidRPr="00237EC2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  <w:vAlign w:val="bottom"/>
          </w:tcPr>
          <w:p w:rsidR="00C74AE5" w:rsidRPr="00237EC2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:rsidTr="005D00F9">
        <w:tc>
          <w:tcPr>
            <w:tcW w:w="5920" w:type="dxa"/>
          </w:tcPr>
          <w:p w:rsidR="00C74AE5" w:rsidRPr="002A6E2B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:rsidR="00C74AE5" w:rsidRPr="002A6E2B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:rsidTr="005D00F9">
        <w:tc>
          <w:tcPr>
            <w:tcW w:w="5920" w:type="dxa"/>
          </w:tcPr>
          <w:p w:rsidR="00C74AE5" w:rsidRPr="00C74AE5" w:rsidRDefault="00C74AE5" w:rsidP="00D018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Эксперт</w:t>
            </w:r>
            <w:r>
              <w:rPr>
                <w:sz w:val="28"/>
                <w:szCs w:val="28"/>
                <w:lang w:val="en-US"/>
              </w:rPr>
              <w:t xml:space="preserve"> …</w:t>
            </w:r>
          </w:p>
        </w:tc>
        <w:tc>
          <w:tcPr>
            <w:tcW w:w="4145" w:type="dxa"/>
            <w:vAlign w:val="bottom"/>
          </w:tcPr>
          <w:p w:rsidR="00C74AE5" w:rsidRPr="00C74AE5" w:rsidRDefault="00C74AE5" w:rsidP="005D00F9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Иванов И.И.</w:t>
            </w:r>
          </w:p>
        </w:tc>
      </w:tr>
    </w:tbl>
    <w:p w:rsidR="00C74AE5" w:rsidRDefault="00E52DCB" w:rsidP="00C74AE5">
      <w:pPr>
        <w:rPr>
          <w:sz w:val="20"/>
        </w:rPr>
      </w:pPr>
      <w:r>
        <w:rPr>
          <w:sz w:val="28"/>
        </w:rPr>
        <w:t>02.09.2025 г.</w:t>
      </w:r>
    </w:p>
    <w:p w:rsidR="00345710" w:rsidRPr="00345710" w:rsidRDefault="00345710" w:rsidP="00345710">
      <w:pPr>
        <w:rPr>
          <w:sz w:val="20"/>
        </w:rPr>
      </w:pPr>
    </w:p>
    <w:p w:rsidR="00345710" w:rsidRDefault="00345710" w:rsidP="00345710">
      <w:pPr>
        <w:tabs>
          <w:tab w:val="left" w:pos="1047"/>
        </w:tabs>
        <w:rPr>
          <w:sz w:val="20"/>
        </w:rPr>
        <w:sectPr w:rsidR="00345710" w:rsidSect="00C74AE5">
          <w:headerReference w:type="default" r:id="rId7"/>
          <w:pgSz w:w="11906" w:h="16838"/>
          <w:pgMar w:top="1134" w:right="851" w:bottom="1134" w:left="1134" w:header="709" w:footer="1134" w:gutter="0"/>
          <w:cols w:space="708"/>
          <w:titlePg/>
          <w:docGrid w:linePitch="360"/>
        </w:sectPr>
      </w:pPr>
      <w:r>
        <w:rPr>
          <w:sz w:val="20"/>
        </w:rPr>
        <w:tab/>
      </w:r>
    </w:p>
    <w:p w:rsidR="00345710" w:rsidRPr="000774F1" w:rsidRDefault="000774F1" w:rsidP="000774F1">
      <w:pPr>
        <w:tabs>
          <w:tab w:val="left" w:pos="1047"/>
        </w:tabs>
        <w:jc w:val="right"/>
        <w:rPr>
          <w:b/>
          <w:bCs/>
          <w:sz w:val="28"/>
          <w:szCs w:val="28"/>
        </w:rPr>
      </w:pPr>
      <w:r w:rsidRPr="000774F1">
        <w:rPr>
          <w:b/>
          <w:bCs/>
          <w:sz w:val="28"/>
          <w:szCs w:val="28"/>
        </w:rPr>
        <w:lastRenderedPageBreak/>
        <w:t>Приложение 1</w:t>
      </w:r>
    </w:p>
    <w:p w:rsidR="000774F1" w:rsidRPr="000774F1" w:rsidRDefault="000774F1" w:rsidP="000774F1">
      <w:pPr>
        <w:jc w:val="center"/>
        <w:rPr>
          <w:b/>
          <w:bCs/>
          <w:sz w:val="28"/>
          <w:szCs w:val="28"/>
        </w:rPr>
      </w:pPr>
      <w:r w:rsidRPr="000774F1">
        <w:rPr>
          <w:b/>
          <w:bCs/>
          <w:sz w:val="28"/>
          <w:szCs w:val="28"/>
        </w:rPr>
        <w:t>ПРОТОКОЛ АНАЛИЗА РАЗЛИЧИЙ ДОКУМЕНТОВ</w:t>
      </w:r>
    </w:p>
    <w:p w:rsidR="000774F1" w:rsidRDefault="000774F1" w:rsidP="000774F1">
      <w:pPr>
        <w:jc w:val="both"/>
        <w:rPr>
          <w:sz w:val="28"/>
          <w:szCs w:val="28"/>
        </w:rPr>
      </w:pPr>
    </w:p>
    <w:p w:rsidR="000774F1" w:rsidRDefault="000774F1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  <w:r>
        <w:rPr>
          <w:sz w:val="28"/>
        </w:rPr>
        <w:t>При проведении сравнения инструкции лекарственного средства ЛИНЕЗОЛИД, 200 мг, таблетки, покрытые пленочной оболочкой.</w:t>
      </w:r>
      <w:r>
        <w:rPr>
          <w:sz w:val="28"/>
        </w:rPr>
        <w:br/>
        <w:t>ЛИНЕЗОЛИД, 300 мг, таблетки, покрытые пленочной оболочкой.</w:t>
      </w:r>
      <w:r>
        <w:rPr>
          <w:sz w:val="28"/>
        </w:rPr>
        <w:br/>
        <w:t>ЛИНЕЗОЛИД, 600 мг, таблетки, покрытые пленочной оболочкой. с эталоном ЛИНЕЗОЛИД, 200 мг, таблетки, покрытые пленочной оболочкой.</w:t>
      </w:r>
      <w:r>
        <w:rPr>
          <w:sz w:val="28"/>
        </w:rPr>
        <w:br/>
        <w:t>ЛИНЕЗОЛИД, 300 мг, таблетки, покрытые пленочной оболочкой.</w:t>
      </w:r>
      <w:r>
        <w:rPr>
          <w:sz w:val="28"/>
        </w:rPr>
        <w:br/>
        <w:t>ЛИНЕЗОЛИД, 600 мг, таблетки, покрытые пленочной оболочкой. выявлены следующие различия:</w:t>
      </w:r>
    </w:p>
    <w:p w:rsidR="000774F1" w:rsidRDefault="000774F1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tbl>
      <w:tblPr>
        <w:tblStyle w:val="af1"/>
        <w:tblW w:w="0" w:type="auto"/>
        <w:tblLook w:val="04A0"/>
      </w:tblPr>
      <w:tblGrid>
        <w:gridCol w:w="7280"/>
        <w:gridCol w:w="7280"/>
      </w:tblGrid>
      <w:tr w:rsidR="00FB11A4" w:rsidTr="00E94612">
        <w:tc>
          <w:tcPr>
            <w:tcW w:w="7280" w:type="dxa"/>
          </w:tcPr>
          <w:p w:rsidR="00FB11A4" w:rsidRPr="00932124" w:rsidRDefault="00FB11A4" w:rsidP="00E9461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sz w:val="28"/>
              </w:rPr>
              <w:t>ЛИНЕЗОЛИД, 200 мг, таблетки, покрытые пленочной оболочкой.</w:t>
            </w:r>
            <w:r>
              <w:rPr>
                <w:sz w:val="28"/>
              </w:rPr>
              <w:br/>
              <w:t>ЛИНЕЗОЛИД, 300 мг, таблетки, покрытые пленочной оболочкой.</w:t>
            </w:r>
            <w:r>
              <w:rPr>
                <w:sz w:val="28"/>
              </w:rPr>
              <w:br/>
              <w:t>ЛИНЕЗОЛИД, 600 мг, таблетки, покрытые пленочной оболочкой.  (референтный)</w:t>
            </w:r>
          </w:p>
        </w:tc>
        <w:tc>
          <w:tcPr>
            <w:tcW w:w="7280" w:type="dxa"/>
          </w:tcPr>
          <w:p w:rsidR="00FB11A4" w:rsidRPr="00932124" w:rsidRDefault="00FB11A4" w:rsidP="00E9461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sz w:val="28"/>
              </w:rPr>
              <w:t>ЛИНЕЗОЛИД, 200 мг, таблетки, покрытые пленочной оболочкой.</w:t>
            </w:r>
            <w:r>
              <w:rPr>
                <w:sz w:val="28"/>
              </w:rPr>
              <w:br/>
              <w:t>ЛИНЕЗОЛИД, 300 мг, таблетки, покрытые пленочной оболочкой.</w:t>
            </w:r>
            <w:r>
              <w:rPr>
                <w:sz w:val="28"/>
              </w:rPr>
              <w:br/>
              <w:t>ЛИНЕЗОЛИД, 600 мг, таблетки, покрытые пленочной оболочкой.  (оцениваемый)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z w:val="24"/>
              </w:rPr>
            </w:pPr>
            <w:r w:rsidRPr="00655BDA">
              <w:rPr>
                <w:b/>
                <w:sz w:val="24"/>
              </w:rPr>
              <w:t>1.</w:t>
            </w:r>
            <w:r w:rsidRPr="00B32A72">
              <w:rPr>
                <w:b/>
                <w:sz w:val="24"/>
              </w:rPr>
              <w:t>НАИМЕНОВАНИЕ ЛЕКАРСТВЕННОГО ПРЕПАРАТА</w:t>
            </w:r>
          </w:p>
          <w:p w:rsidR="00573EB3" w:rsidRDefault="00E42A7E">
            <w:r>
              <w:t>ЛИНЕЗОЛИД, 200 мг, таблетки, покрытые пленочной оболочкой.</w:t>
            </w:r>
            <w:r>
              <w:br/>
              <w:t xml:space="preserve"> ЛИНЕЗОЛИД, 300 мг, таблетки, покрытые пленочной оболочкой.</w:t>
            </w:r>
            <w:r>
              <w:br/>
              <w:t xml:space="preserve"> ЛИНЕЗОЛИД, 600 мг, таблетки, покрытые пленочной оболочкой.</w:t>
            </w:r>
          </w:p>
        </w:tc>
        <w:tc>
          <w:tcPr>
            <w:tcW w:w="7280" w:type="dxa"/>
          </w:tcPr>
          <w:p w:rsidR="0007116C" w:rsidRPr="00B32A72" w:rsidRDefault="0007116C" w:rsidP="0007116C">
            <w:pPr>
              <w:pStyle w:val="a7"/>
              <w:autoSpaceDE w:val="0"/>
              <w:autoSpaceDN w:val="0"/>
              <w:adjustRightInd w:val="0"/>
              <w:ind w:left="113"/>
              <w:rPr>
                <w:b/>
                <w:sz w:val="24"/>
              </w:rPr>
            </w:pPr>
            <w:r w:rsidRPr="00655BDA">
              <w:rPr>
                <w:b/>
                <w:sz w:val="24"/>
              </w:rPr>
              <w:t>1.</w:t>
            </w:r>
            <w:r w:rsidRPr="00B32A72">
              <w:rPr>
                <w:b/>
                <w:sz w:val="24"/>
              </w:rPr>
              <w:t>НАИМЕНОВАНИЕ ЛЕКАРСТВЕННОГО ПРЕПАРАТА</w:t>
            </w:r>
          </w:p>
          <w:p w:rsidR="00573EB3" w:rsidRDefault="00E42A7E">
            <w:r>
              <w:t>ЛИНЕЗОЛИД, 200 мг, таблетки, покрытые пленочной оболочкой.</w:t>
            </w:r>
            <w:r>
              <w:br/>
              <w:t xml:space="preserve"> ЛИНЕЗОЛИД, 300 мг, таблетки, покрытые пленочной оболочкой.</w:t>
            </w:r>
            <w:r>
              <w:br/>
              <w:t xml:space="preserve"> ЛИНЕЗОЛИД, 600 мг, таблетки, покрытые пленочной оболочкой.</w:t>
            </w:r>
          </w:p>
        </w:tc>
      </w:tr>
      <w:tr w:rsidR="0007116C" w:rsidTr="00E94612">
        <w:tc>
          <w:tcPr>
            <w:tcW w:w="7280" w:type="dxa"/>
          </w:tcPr>
          <w:p w:rsidR="0007116C" w:rsidRPr="00C13B68" w:rsidRDefault="0007116C" w:rsidP="0007116C">
            <w:pPr>
              <w:pStyle w:val="Default"/>
              <w:widowControl/>
              <w:ind w:left="113"/>
              <w:jc w:val="both"/>
              <w:rPr>
                <w:b/>
                <w:bCs/>
                <w:color w:val="auto"/>
                <w:sz w:val="23"/>
                <w:szCs w:val="23"/>
              </w:rPr>
            </w:pPr>
            <w:r w:rsidRPr="00655BDA">
              <w:rPr>
                <w:b/>
                <w:bCs/>
                <w:color w:val="auto"/>
                <w:sz w:val="23"/>
                <w:szCs w:val="23"/>
              </w:rPr>
              <w:t xml:space="preserve">2. </w:t>
            </w:r>
            <w:r w:rsidRPr="00C13B68">
              <w:rPr>
                <w:b/>
                <w:bCs/>
                <w:color w:val="auto"/>
                <w:sz w:val="23"/>
                <w:szCs w:val="23"/>
              </w:rPr>
              <w:t>КАЧЕСТВЕННЫЙ И КОЛИЧЕСТВЕННЫЙ СОСТАВ</w:t>
            </w:r>
          </w:p>
          <w:p w:rsidR="00573EB3" w:rsidRDefault="00E42A7E">
            <w:r>
              <w:t>Действующее вещество: линезолид.</w:t>
            </w:r>
            <w:r>
              <w:rPr>
                <w:color w:val="008000"/>
              </w:rPr>
              <w:br/>
            </w:r>
            <w:r>
              <w:t xml:space="preserve"> Л</w:t>
            </w:r>
            <w:r>
              <w:t>ИНЕЗОЛИД, 200 мг, таблетки, покрытые пленочной оболочкой</w:t>
            </w:r>
            <w:r>
              <w:rPr>
                <w:color w:val="008000"/>
              </w:rPr>
              <w:br/>
            </w:r>
            <w:r>
              <w:t xml:space="preserve"> Каждая таблетка, покрытая пленочной оболочкой, содержит 200 мг линезолида.</w:t>
            </w:r>
            <w:r>
              <w:rPr>
                <w:color w:val="008000"/>
              </w:rPr>
              <w:br/>
            </w:r>
            <w:r>
              <w:t xml:space="preserve"> ЛИНЕЗОЛИД, 300 мг, таблетки, покрытые пленочной </w:t>
            </w:r>
            <w:r>
              <w:lastRenderedPageBreak/>
              <w:t>оболочкой</w:t>
            </w:r>
            <w:r>
              <w:rPr>
                <w:color w:val="008000"/>
              </w:rPr>
              <w:br/>
            </w:r>
            <w:r>
              <w:t xml:space="preserve"> Каждая таблетка, покрытая пленочной оболочкой, содержит 300 мг </w:t>
            </w:r>
            <w:r>
              <w:t>линезолида.</w:t>
            </w:r>
            <w:r>
              <w:rPr>
                <w:color w:val="008000"/>
              </w:rPr>
              <w:br/>
            </w:r>
            <w:r>
              <w:t xml:space="preserve"> ЛИНЕЗОЛИД, 600 мг, таблетки, покрытые пленочной оболочкой</w:t>
            </w:r>
            <w:r>
              <w:br/>
            </w:r>
            <w:commentRangeStart w:id="0"/>
            <w:r w:rsidRPr="00655BDA">
              <w:rPr>
                <w:color w:val="008000"/>
                <w:highlight w:val="yellow"/>
              </w:rPr>
              <w:t xml:space="preserve">Каждая </w:t>
            </w:r>
            <w:commentRangeEnd w:id="0"/>
            <w:r w:rsidR="00655BDA">
              <w:rPr>
                <w:rStyle w:val="af4"/>
              </w:rPr>
              <w:commentReference w:id="0"/>
            </w:r>
            <w:r w:rsidRPr="00655BDA">
              <w:rPr>
                <w:color w:val="008000"/>
                <w:highlight w:val="yellow"/>
              </w:rPr>
              <w:t>таблетка, покрытая пленочной оболочкой, содержит</w:t>
            </w:r>
            <w:r w:rsidRPr="00655BDA">
              <w:rPr>
                <w:highlight w:val="yellow"/>
              </w:rPr>
              <w:t xml:space="preserve"> 6</w:t>
            </w:r>
            <w:r w:rsidRPr="00655BDA">
              <w:rPr>
                <w:color w:val="008000"/>
                <w:highlight w:val="yellow"/>
              </w:rPr>
              <w:t>00 мг линезолида. Полный перечень вспомогательных веществ приведен в разделе 6</w:t>
            </w:r>
            <w:r w:rsidRPr="00655BDA">
              <w:rPr>
                <w:highlight w:val="yellow"/>
              </w:rPr>
              <w:t>.1.</w:t>
            </w:r>
          </w:p>
        </w:tc>
        <w:tc>
          <w:tcPr>
            <w:tcW w:w="7280" w:type="dxa"/>
          </w:tcPr>
          <w:p w:rsidR="0007116C" w:rsidRPr="00B32A72" w:rsidRDefault="0007116C" w:rsidP="0007116C">
            <w:pPr>
              <w:pStyle w:val="a7"/>
              <w:autoSpaceDE w:val="0"/>
              <w:autoSpaceDN w:val="0"/>
              <w:adjustRightInd w:val="0"/>
              <w:ind w:left="113"/>
              <w:rPr>
                <w:b/>
                <w:sz w:val="24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lastRenderedPageBreak/>
              <w:t xml:space="preserve">2. </w:t>
            </w:r>
            <w:r w:rsidRPr="00C13B68">
              <w:rPr>
                <w:b/>
                <w:bCs/>
                <w:sz w:val="23"/>
                <w:szCs w:val="23"/>
              </w:rPr>
              <w:t>КАЧЕСТВЕННЫЙ И КОЛИЧЕСТВЕННЫЙ СОСТАВ</w:t>
            </w:r>
          </w:p>
          <w:p w:rsidR="00573EB3" w:rsidRDefault="00E42A7E">
            <w:r>
              <w:t>Действ</w:t>
            </w:r>
            <w:r>
              <w:t>ующее вещество: линезолид. ЛИНЕЗОЛИД, 200 мг, таблетки, покрытые пленочной оболочкой Каждая таблетка, покрытая пленочной оболочкой, содержит 200 мг линезолида. ЛИНЕЗОЛИД, 300 мг, таблетки, покрытые пленочной оболочкой Каждая таблетка, покрытая пленочной об</w:t>
            </w:r>
            <w:r>
              <w:t xml:space="preserve">олочкой, содержит 300 мг линезолида. ЛИНЕЗОЛИД, 600 мг, таблетки, </w:t>
            </w:r>
            <w:r>
              <w:lastRenderedPageBreak/>
              <w:t>покрытые пленочной оболочкой</w:t>
            </w:r>
            <w:r>
              <w:rPr>
                <w:color w:val="FF0000"/>
              </w:rPr>
              <w:t xml:space="preserve"> </w:t>
            </w:r>
            <w:r w:rsidRPr="00655BDA">
              <w:rPr>
                <w:color w:val="FF0000"/>
                <w:highlight w:val="yellow"/>
              </w:rPr>
              <w:t>Каждая таблетка, покрытая пленочной оболочкой, содержит 600 мг линезолида.</w:t>
            </w:r>
            <w:r w:rsidRPr="00655BDA">
              <w:rPr>
                <w:highlight w:val="yellow"/>
              </w:rPr>
              <w:br/>
            </w:r>
            <w:r w:rsidRPr="00655BDA">
              <w:rPr>
                <w:color w:val="FF0000"/>
                <w:highlight w:val="yellow"/>
              </w:rPr>
              <w:t>Полный перечень вспомогательных веществ приведен в разделе</w:t>
            </w:r>
            <w:r w:rsidRPr="00655BDA">
              <w:rPr>
                <w:highlight w:val="yellow"/>
              </w:rPr>
              <w:t xml:space="preserve"> 6.1</w:t>
            </w:r>
            <w:r>
              <w:t>.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pStyle w:val="Default"/>
              <w:widowControl/>
              <w:ind w:left="113"/>
              <w:jc w:val="both"/>
              <w:rPr>
                <w:b/>
                <w:color w:val="auto"/>
              </w:rPr>
            </w:pPr>
            <w:r w:rsidRPr="00655BDA">
              <w:rPr>
                <w:b/>
                <w:color w:val="auto"/>
              </w:rPr>
              <w:lastRenderedPageBreak/>
              <w:t xml:space="preserve">3. </w:t>
            </w:r>
            <w:r w:rsidRPr="00C13B68">
              <w:rPr>
                <w:b/>
                <w:color w:val="auto"/>
              </w:rPr>
              <w:t>ЛЕКАРСТВЕННАЯ ФОРМА</w:t>
            </w:r>
          </w:p>
          <w:p w:rsidR="00573EB3" w:rsidRDefault="00E42A7E">
            <w:r>
              <w:t>Таблетки, покрытые пленочной оболочкой.</w:t>
            </w:r>
            <w:r>
              <w:br/>
              <w:t xml:space="preserve"> ЛИНЕЗОЛИД, 200 мг, таблетки, покрытые пленочной оболочкой</w:t>
            </w:r>
            <w:r>
              <w:br/>
              <w:t xml:space="preserve"> Круглые, двояковыпуклые таблетки, покрытые пленочной оболочкой от светлокоричневого до темно-коричневого цвета. Допускается шероховатость поверхности </w:t>
            </w:r>
            <w:r>
              <w:t>таблеток.</w:t>
            </w:r>
            <w:r>
              <w:br/>
              <w:t xml:space="preserve"> ЛИНЕЗОЛИД, 300 мг, таблетки, покрытые пленочной оболочкой</w:t>
            </w:r>
            <w:r>
              <w:br/>
              <w:t xml:space="preserve"> Круглые, двояковыпуклые таблетки, покрытые пленочной оболочкой от светлокоричневого до темно-коричневого цвета. Допускается шероховатость поверхности таблеток.</w:t>
            </w:r>
            <w:r>
              <w:br/>
              <w:t xml:space="preserve"> ЛИНЕЗОЛИД, 600 мг, таблет</w:t>
            </w:r>
            <w:r>
              <w:t>ки, покрытые пленочной оболочкой</w:t>
            </w:r>
            <w:r>
              <w:br/>
              <w:t xml:space="preserve"> Овальные, двояковыпуклые таблетки, покрытые пленочной оболочкой от светлокоричневого до темно-коричневого цвета. Допускается шероховатость поверхности таблеток.</w:t>
            </w:r>
          </w:p>
        </w:tc>
        <w:tc>
          <w:tcPr>
            <w:tcW w:w="7280" w:type="dxa"/>
          </w:tcPr>
          <w:p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 w:rsidRPr="00655BDA">
              <w:rPr>
                <w:b/>
              </w:rPr>
              <w:t xml:space="preserve">3. </w:t>
            </w:r>
            <w:r w:rsidRPr="00C13B68">
              <w:rPr>
                <w:b/>
              </w:rPr>
              <w:t>ЛЕКАРСТВЕННАЯ ФОРМА</w:t>
            </w:r>
          </w:p>
          <w:p w:rsidR="00573EB3" w:rsidRDefault="00E42A7E">
            <w:r>
              <w:t xml:space="preserve">Таблетки, покрытые пленочной </w:t>
            </w:r>
            <w:r>
              <w:t>оболочкой.</w:t>
            </w:r>
            <w:r>
              <w:br/>
              <w:t xml:space="preserve"> ЛИНЕЗОЛИД, 200 мг, таблетки, покрытые пленочной оболочкой</w:t>
            </w:r>
            <w:r>
              <w:br/>
              <w:t xml:space="preserve"> Круглые, двояковыпуклые таблетки, покрытые пленочной оболочкой от светлокоричневого до темно-коричневого цвета. Допускается шероховатость поверхности таблеток.</w:t>
            </w:r>
            <w:r>
              <w:br/>
              <w:t xml:space="preserve"> ЛИНЕЗОЛИД, 300 мг, табле</w:t>
            </w:r>
            <w:r>
              <w:t>тки, покрытые пленочной оболочкой</w:t>
            </w:r>
            <w:r>
              <w:br/>
              <w:t xml:space="preserve"> Круглые, двояковыпуклые таблетки, покрытые пленочной оболочкой от светлокоричневого до темно-коричневого цвета. Допускается шероховатость поверхности таблеток.</w:t>
            </w:r>
            <w:r>
              <w:br/>
              <w:t xml:space="preserve"> ЛИНЕЗОЛИД, 600 мг, таблетки, покрытые пленочной оболочкой</w:t>
            </w:r>
            <w:r>
              <w:br/>
              <w:t xml:space="preserve"> О</w:t>
            </w:r>
            <w:r>
              <w:t>вальные, двояковыпуклые таблетки, покрытые пленочной оболочкой от светлокоричневого до темно-коричневого цвета. Допускается шероховатость поверхности таблеток.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4. </w:t>
            </w:r>
            <w:r w:rsidRPr="00B32A72">
              <w:rPr>
                <w:b/>
                <w:bCs/>
                <w:sz w:val="23"/>
                <w:szCs w:val="23"/>
              </w:rPr>
              <w:t>КЛИНИЧЕСКИЕ ДАННЫЕ</w:t>
            </w:r>
          </w:p>
          <w:p w:rsidR="00573EB3" w:rsidRDefault="00573EB3"/>
        </w:tc>
        <w:tc>
          <w:tcPr>
            <w:tcW w:w="7280" w:type="dxa"/>
          </w:tcPr>
          <w:p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4. </w:t>
            </w:r>
            <w:r w:rsidRPr="00B32A72">
              <w:rPr>
                <w:b/>
                <w:bCs/>
                <w:sz w:val="23"/>
                <w:szCs w:val="23"/>
              </w:rPr>
              <w:t>КЛИНИЧЕСКИЕ ДАННЫЕ</w:t>
            </w:r>
          </w:p>
          <w:p w:rsidR="00573EB3" w:rsidRDefault="00573EB3"/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655BDA">
              <w:rPr>
                <w:b/>
                <w:sz w:val="24"/>
              </w:rPr>
              <w:t xml:space="preserve">4.1 </w:t>
            </w:r>
            <w:r w:rsidRPr="00B32A72">
              <w:rPr>
                <w:b/>
                <w:sz w:val="24"/>
              </w:rPr>
              <w:t>Показания к применению</w:t>
            </w:r>
          </w:p>
          <w:p w:rsidR="00573EB3" w:rsidRDefault="00E42A7E">
            <w:r>
              <w:t>Лечение инфекционно-в</w:t>
            </w:r>
            <w:r>
              <w:t xml:space="preserve">оспалительных заболеваний, если известно или подозревается, что они вызваны чувствительными к линезолиду аэробными и анаэробными грамположительными микроорганизмами (включая инфекции, </w:t>
            </w:r>
            <w:r>
              <w:lastRenderedPageBreak/>
              <w:t>сопровождающиеся бактериемией):</w:t>
            </w:r>
            <w:r>
              <w:br/>
            </w:r>
            <w:r>
              <w:br/>
              <w:t>- -внебольничная пневмония, вызванная S</w:t>
            </w:r>
            <w:r>
              <w:t>treptococcus pneumoniae (включая полирезистентные штаммы), в том числе случаи, сопровождающиеся бактериемией или Staphylococcus aureus (только метициллин-чувствительные штаммы);</w:t>
            </w:r>
            <w:r>
              <w:br/>
              <w:t>- -госпитальная пневмония, вызванная Staphylococcus aureus (включая метициллин</w:t>
            </w:r>
            <w:r>
              <w:t>чувствительные и метициллинрезистентные штаммы) или Streptococcus pneumoniae (включая полирезистентные штаммы );</w:t>
            </w:r>
            <w:r>
              <w:br/>
              <w:t>• осложненные инфекции кожи и мягких тканей, включая инфекции при синдроме диабетической стопы, не сопровождающиеся остеомиелитом, вызванные St</w:t>
            </w:r>
            <w:r>
              <w:t>aphylococcus aureus (включая метициллин-чувствительные и метициллинрезистентные штаммы), Streptococcus pyogenes или Streptococcus agalactiae;</w:t>
            </w:r>
            <w:r>
              <w:br/>
              <w:t>• неосложненные инфекции кожи и мягких тканей, вызванные Staphylococcus aureus (только метициллин-чувствительные ш</w:t>
            </w:r>
            <w:r>
              <w:t>таммы) или Streptococcus pyogenes;</w:t>
            </w:r>
            <w:r>
              <w:br/>
              <w:t>• инфекции, вызванные резистентными к ванкомицину Enterococcus faecium, в том числе сопровождающиеся бактериемией;</w:t>
            </w:r>
            <w:r>
              <w:br/>
              <w:t xml:space="preserve">- -в составе комбинированной терапии туберкулеза легких, вызванного штаммами Mycobacterium tuberculosis с </w:t>
            </w:r>
            <w:r>
              <w:t>множественной лекарственной устойчивостью.</w:t>
            </w:r>
            <w:r>
              <w:br/>
              <w:t xml:space="preserve"> При определении, является ли препарат ЛИНЕЗОЛИД подходящим лечением, следует принимать во внимание результаты микробиологических исследований или информацию о распространенности резистентности к антибактериальным</w:t>
            </w:r>
            <w:r>
              <w:t xml:space="preserve"> препаратам среди грамположительных бактерий.</w:t>
            </w:r>
            <w:r>
              <w:br/>
              <w:t xml:space="preserve"> Линезолид не активен против инфекций, вызванных </w:t>
            </w:r>
            <w:r>
              <w:lastRenderedPageBreak/>
              <w:t>грамотрицательными патогенами. При подозрении или подтверждении грамотрицательных патогенов должна быть начата специфическая терапия против грамотрицательных мик</w:t>
            </w:r>
            <w:r>
              <w:t>роорганизмов.</w:t>
            </w:r>
          </w:p>
        </w:tc>
        <w:tc>
          <w:tcPr>
            <w:tcW w:w="7280" w:type="dxa"/>
          </w:tcPr>
          <w:p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07116C">
              <w:rPr>
                <w:b/>
                <w:sz w:val="24"/>
              </w:rPr>
              <w:lastRenderedPageBreak/>
              <w:t xml:space="preserve">4.1 </w:t>
            </w:r>
            <w:r w:rsidRPr="00B32A72">
              <w:rPr>
                <w:b/>
                <w:sz w:val="24"/>
              </w:rPr>
              <w:t>Показания к применению</w:t>
            </w:r>
          </w:p>
          <w:p w:rsidR="00573EB3" w:rsidRDefault="00E42A7E">
            <w:r>
              <w:t xml:space="preserve">Лечение инфекционно-воспалительных заболеваний, если известно или подозревается, что они вызваны чувствительными к линезолиду аэробными и анаэробными грамположительными микроорганизмами (включая инфекции, </w:t>
            </w:r>
            <w:r>
              <w:lastRenderedPageBreak/>
              <w:t>сопровожда</w:t>
            </w:r>
            <w:r>
              <w:t>ющиеся бактериемией):</w:t>
            </w:r>
            <w:r>
              <w:br/>
            </w:r>
            <w:r>
              <w:br/>
              <w:t>- -внебольничная пневмония, вызванная Streptococcus pneumoniae (включая полирезистентные штаммы), в том числе случаи, сопровождающиеся бактериемией</w:t>
            </w:r>
            <w:r>
              <w:rPr>
                <w:color w:val="FF0000"/>
              </w:rPr>
              <w:t>,</w:t>
            </w:r>
            <w:r>
              <w:t xml:space="preserve"> или Staphylococcus aureus (только метициллин-чувствительные штаммы);</w:t>
            </w:r>
            <w:r>
              <w:br/>
              <w:t>- -госпитальная</w:t>
            </w:r>
            <w:r>
              <w:t xml:space="preserve"> пневмония, вызванная Staphylococcus aureus (включая метициллинчувствительные и метициллинрезистентные штаммы) или Streptococcus pneumoniae (включая полирезистентные штаммы );</w:t>
            </w:r>
            <w:r>
              <w:br/>
              <w:t>• осложненные инфекции кожи и мягких тканей, включая инфекции при синдроме диабе</w:t>
            </w:r>
            <w:r>
              <w:t>тической стопы, не сопровождающиеся остеомиелитом, вызванные Staphylococcus aureus (включая метициллин-чувствительные и метициллинрезистентные штаммы), Streptococcus pyogenes или Streptococcus agalactiae;</w:t>
            </w:r>
            <w:r>
              <w:br/>
              <w:t>• неосложненные инфекции кожи и мягких тканей, вызв</w:t>
            </w:r>
            <w:r>
              <w:t>анные Staphylococcus aureus (только метициллин-чувствительные штаммы) или Streptococcus pyogenes;</w:t>
            </w:r>
            <w:r>
              <w:br/>
              <w:t>• инфекции, вызванные резистентными к ванкомицину Enterococcus faecium, в том числе сопровождающиеся бактериемией;</w:t>
            </w:r>
            <w:r>
              <w:br/>
              <w:t>- -в составе комбинированной терапии туберк</w:t>
            </w:r>
            <w:r>
              <w:t>улеза легких, вызванного штаммами Mycobacterium tuberculosis с множественной лекарственной устойчивостью.</w:t>
            </w:r>
            <w:r>
              <w:br/>
              <w:t xml:space="preserve"> При определении, является ли препарат ЛИНЕЗОЛИД подходящим лечением, следует принимать во внимание результаты микробиологических исследований или инф</w:t>
            </w:r>
            <w:r>
              <w:t>ормацию о распространенности резистентности к антибактериальным препаратам среди грамположительных бактерий.</w:t>
            </w:r>
            <w:r>
              <w:br/>
              <w:t xml:space="preserve"> Линезолид не активен против инфекций, вызванных </w:t>
            </w:r>
            <w:r>
              <w:lastRenderedPageBreak/>
              <w:t>грамотрицательными патогенами. При подозрении или подтверждении грамотрицательных патогенов должна</w:t>
            </w:r>
            <w:r>
              <w:t xml:space="preserve"> быть начата специфическая терапия против грамотрицательных микроорганизмов.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B32A72">
              <w:rPr>
                <w:b/>
                <w:sz w:val="24"/>
              </w:rPr>
              <w:lastRenderedPageBreak/>
              <w:t>4.2 Режим дозирования и способ применения</w:t>
            </w:r>
          </w:p>
          <w:p w:rsidR="00573EB3" w:rsidRDefault="00E42A7E">
            <w:r>
              <w:t>Режим дозирования</w:t>
            </w:r>
            <w:r>
              <w:br/>
              <w:t xml:space="preserve"> Пациентов, которым в начале терапии линезолид назначили внутривенно (в/в), в дальнейшем можно перевести на любую лека</w:t>
            </w:r>
            <w:r>
              <w:t>рственную форму препарата для приема внутрь, при этом подбор дозы не требуется, так как биодоступность линезолида при приеме внутрь составляет почти 100 %.</w:t>
            </w:r>
            <w:r>
              <w:br/>
            </w:r>
            <w:r>
              <w:rPr>
                <w:color w:val="008000"/>
              </w:rPr>
              <w:br/>
              <w:t>%SECTION_BREAK%</w:t>
            </w:r>
            <w:r>
              <w:rPr>
                <w:color w:val="008000"/>
              </w:rPr>
              <w:br/>
            </w:r>
            <w:r>
              <w:rPr>
                <w:color w:val="008000"/>
              </w:rPr>
              <w:br/>
            </w:r>
            <w:r>
              <w:t xml:space="preserve"> Продолжительность терапии зависит от возбудителя, локализации и тяжести инфекции,</w:t>
            </w:r>
            <w:r>
              <w:t xml:space="preserve"> а также от клинического эффекта.</w:t>
            </w:r>
            <w:r>
              <w:br/>
              <w:t xml:space="preserve"> Взрослые</w:t>
            </w:r>
            <w:r>
              <w:br/>
            </w:r>
            <w:r>
              <w:br/>
              <w:t>| Показания (включая инфекции, сопровождающиеся бактериемией) | Разовая доза | Рекомендуемая продолжительность лечения |</w:t>
            </w:r>
            <w:r>
              <w:br/>
              <w:t>|-----------------------------------------------------------------------------------------</w:t>
            </w:r>
            <w:r>
              <w:t>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>
              <w:t>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>
              <w:t>--------------------------------------------------------------------------------|--------------------------------------------------------------------------|-------------------------------------------|</w:t>
            </w:r>
            <w:r>
              <w:br/>
            </w:r>
            <w:r>
              <w:lastRenderedPageBreak/>
              <w:t>| - внебольничная пневмония, вызванная Streptococcus pn</w:t>
            </w:r>
            <w:r>
              <w:t>eumoniae (включая полирезистентные штаммы), в том числе случаи, сопровождающиеся бактериемией или Staphylococcus aureus (только метициллин-чувствительные штаммы) - госпитальная пневмония, вызванная Staphylococcus aureus (включая метициллин-чувствительные и</w:t>
            </w:r>
            <w:r>
              <w:t xml:space="preserve"> метициллинрезистентные штаммы) или Streptococcus pneumoniae (включая полирезистентные штаммы) - осложненные инфекции кожи и мягких тканей, включая инфекции при синдроме диабетической стопы, не сопровождающиеся остеомиелитом, вызванные Staphylococcus aureu</w:t>
            </w:r>
            <w:r>
              <w:t>s (включая метициллин-чувствительные и метициллинрезистентные штаммы), Streptococcus pyogenes или Streptococcus | 600 мг внутрь каждые 12 часов | 10-14 дней |</w:t>
            </w:r>
            <w:r>
              <w:br/>
              <w:t>| - неосложненные инфекции кожи и мягких тканей, вызванные Staphylococcus aureus (только метицилл</w:t>
            </w:r>
            <w:r>
              <w:t>ин-чувствительные штаммы) или Streptococcus pyogenes | Взрослые: 400 мг внутрь каждые 12 ч Подростки: 600 мг внутрь каждые 12 ч | 10-14 дней |</w:t>
            </w:r>
            <w:r>
              <w:br/>
              <w:t>| - инфекции, вызванные резистентными к ванкомицину Enterococcus faecium, в том числе сопровождающиеся бактериеми</w:t>
            </w:r>
            <w:r>
              <w:t>ей | 600 мг внутрь каждые 12 часов | 14-28 дней |</w:t>
            </w:r>
            <w:r>
              <w:br/>
              <w:t xml:space="preserve"> Взрослые: при туберкулезе легких, вызванном штаммами Mycobacterium tuberculosis с множественной лекарственной устойчивостью</w:t>
            </w:r>
            <w:r>
              <w:rPr>
                <w:color w:val="008000"/>
              </w:rPr>
              <w:t>-</w:t>
            </w:r>
            <w:r>
              <w:t>600 мг 1 раз в сутки с длительностью терапии в интенсивной фазе 24 недели.</w:t>
            </w:r>
            <w:r>
              <w:br/>
              <w:t xml:space="preserve"> Особы</w:t>
            </w:r>
            <w:r>
              <w:t>е группы пациентов</w:t>
            </w:r>
            <w:r>
              <w:br/>
              <w:t xml:space="preserve"> Пациенты пожилого возраста</w:t>
            </w:r>
            <w:r>
              <w:br/>
              <w:t xml:space="preserve"> Коррекции дозы не требуется.</w:t>
            </w:r>
            <w:r>
              <w:br/>
              <w:t xml:space="preserve"> Пациенты с нарушением функции почек</w:t>
            </w:r>
            <w:r>
              <w:br/>
              <w:t xml:space="preserve"> Коррекции дозы не требуется. В связи с тем, что 30 % линезолида удаляется при гемодиализе в течение 3 часов, </w:t>
            </w:r>
            <w:r>
              <w:lastRenderedPageBreak/>
              <w:t>линезолид должен при</w:t>
            </w:r>
            <w:r>
              <w:rPr>
                <w:color w:val="008000"/>
              </w:rPr>
              <w:t>нима</w:t>
            </w:r>
            <w:r>
              <w:t>ться пос</w:t>
            </w:r>
            <w:r>
              <w:t>ле проведения диализа пациент</w:t>
            </w:r>
            <w:r>
              <w:rPr>
                <w:color w:val="008000"/>
              </w:rPr>
              <w:t>ам</w:t>
            </w:r>
            <w:r>
              <w:t>, нуждающимся в нем.</w:t>
            </w:r>
            <w:r>
              <w:br/>
              <w:t xml:space="preserve"> Пациенты с нарушением функции печени</w:t>
            </w:r>
            <w:r>
              <w:br/>
              <w:t xml:space="preserve"> Коррекции дозы не требуется.</w:t>
            </w:r>
            <w:r>
              <w:br/>
              <w:t xml:space="preserve"> Дети</w:t>
            </w:r>
            <w:r>
              <w:br/>
              <w:t xml:space="preserve"> Дети от 3 до 11 лет</w:t>
            </w:r>
            <w:r>
              <w:br/>
            </w:r>
            <w:r>
              <w:br/>
              <w:t>| Показания (включая инфекции, сопровождающиеся бактериемией) | Разовая доза | Рекомендуемая продолжительнос</w:t>
            </w:r>
            <w:r>
              <w:t>ть лечения |</w:t>
            </w:r>
            <w:r>
              <w:br/>
              <w:t>|</w:t>
            </w:r>
            <w:r>
              <w:rPr>
                <w:color w:val="008000"/>
              </w:rPr>
              <w:t>----------------------------------------</w:t>
            </w:r>
            <w:r>
              <w:t>----------------------------------------------------------------------------------------------------------------------------------------------------------------------------------------------------------</w:t>
            </w:r>
            <w:r>
              <w:t>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>
              <w:t>---------------------------------------------------------------------------------------------------------------------------------------------------------------------------------------|------------------------------------------------------------------------</w:t>
            </w:r>
            <w:r>
              <w:t>-----------------------------|-------------------------------------------|</w:t>
            </w:r>
            <w:r>
              <w:br/>
              <w:t>| - внебольничная пневмония, вызванная Streptococcus pneumoniae (включая полирезистентные штаммы), в том числе случаи, сопровождающиеся бактериемией или Staphylococcus aureus (тольк</w:t>
            </w:r>
            <w:r>
              <w:t>о метициллин-чувствительные штаммы) - госпитальная пневмония, вызванная Staphylococcus aureus (включая метициллин-чувствительные и метициллинрезистентные штаммы) или Streptococcus pneumoniae (включая полирезистентные штаммы) - осложненные инфекции кожи и м</w:t>
            </w:r>
            <w:r>
              <w:t xml:space="preserve">ягких тканей, включая инфекции при синдроме диабетической стопы, не сопровождающиеся остеомиелитом, вызванные Staphylococcus </w:t>
            </w:r>
            <w:r>
              <w:lastRenderedPageBreak/>
              <w:t xml:space="preserve">aureus (включая метициллин-чувствительные и метициллинрезистентные штаммы), Streptococcus pyogenes </w:t>
            </w:r>
            <w:r>
              <w:rPr>
                <w:color w:val="008000"/>
              </w:rPr>
              <w:t>или Streptococcus | 10 мг/кг вну</w:t>
            </w:r>
            <w:r>
              <w:rPr>
                <w:color w:val="008000"/>
              </w:rPr>
              <w:t>трь каждые 8 часов | 10-14 дней |</w:t>
            </w:r>
            <w:r>
              <w:rPr>
                <w:color w:val="008000"/>
              </w:rPr>
              <w:br/>
              <w:t xml:space="preserve">| - неосложненные инфекции кожи и мягких тканей, вызванные Staphylococcus aureus (только метициллин-чувствительные штаммы) или Streptococcus pyogenes </w:t>
            </w:r>
            <w:r>
              <w:t>| Дети от 3 до &lt; 5 лет: 10 мг/кг внутрь каждые 8 часов Дети 5-11 лет: 10</w:t>
            </w:r>
            <w:r>
              <w:t xml:space="preserve"> мг/кг внутрь каждые 12 часов | 10-14 дней |</w:t>
            </w:r>
            <w:r>
              <w:br/>
              <w:t>| - инфекции, вызванные резистентными к ванкомицину Enterococcus faecium, в том числе сопровождающиеся бактериемией</w:t>
            </w:r>
            <w:r>
              <w:rPr>
                <w:color w:val="008000"/>
              </w:rPr>
              <w:t>.</w:t>
            </w:r>
            <w:r>
              <w:t xml:space="preserve"> | 10 мг/кг внутрь каждые 8 часов | 14-28 дней |</w:t>
            </w:r>
            <w:r>
              <w:rPr>
                <w:color w:val="008000"/>
              </w:rPr>
              <w:br/>
            </w:r>
            <w:r>
              <w:rPr>
                <w:color w:val="008000"/>
              </w:rPr>
              <w:br/>
              <w:t>%SECTION_BREAK%</w:t>
            </w:r>
            <w:r>
              <w:rPr>
                <w:color w:val="008000"/>
              </w:rPr>
              <w:br/>
            </w:r>
            <w:r>
              <w:br/>
              <w:t xml:space="preserve"> Режим дозирования для детей</w:t>
            </w:r>
            <w:r>
              <w:t xml:space="preserve"> от 12 до 18 лет не отличается от режима дозирования для взрослых.</w:t>
            </w:r>
            <w:r>
              <w:br/>
              <w:t xml:space="preserve"> Способ применения</w:t>
            </w:r>
            <w:r>
              <w:br/>
              <w:t xml:space="preserve"> Внутрь. Препарат можно принимать как во время еды, так и между приемами пищи.</w:t>
            </w:r>
          </w:p>
        </w:tc>
        <w:tc>
          <w:tcPr>
            <w:tcW w:w="7280" w:type="dxa"/>
          </w:tcPr>
          <w:p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B32A72">
              <w:rPr>
                <w:b/>
                <w:sz w:val="24"/>
              </w:rPr>
              <w:lastRenderedPageBreak/>
              <w:t>4.2 Режим дозирования и способ применения</w:t>
            </w:r>
          </w:p>
          <w:p w:rsidR="00573EB3" w:rsidRDefault="00E42A7E">
            <w:r>
              <w:t>Режим дозирования</w:t>
            </w:r>
            <w:r>
              <w:br/>
              <w:t xml:space="preserve"> Пациентов, которым в начале те</w:t>
            </w:r>
            <w:r>
              <w:t>рапии линезолид назначили внутривенно (в/в), в дальнейшем можно перевести на любую лекарственную форму препарата для приема внутрь, при этом подбор дозы не требуется, так как биодоступность линезолида при приеме внутрь составляет почти 100 %.</w:t>
            </w:r>
            <w:r>
              <w:br/>
              <w:t xml:space="preserve"> Продолжитель</w:t>
            </w:r>
            <w:r>
              <w:t>ность терапии зависит от возбудителя, локализации и тяжести инфекции, а также от клинического эффекта.</w:t>
            </w:r>
            <w:r>
              <w:br/>
              <w:t xml:space="preserve"> Взрослые</w:t>
            </w:r>
            <w:r>
              <w:br/>
            </w:r>
            <w:r>
              <w:br/>
              <w:t>| Показания (включая инфекции, сопровождающиеся бактериемией) | Разовая доза | Рекомендуемая продолжительность лечения |</w:t>
            </w:r>
            <w:r>
              <w:br/>
              <w:t>|</w:t>
            </w:r>
            <w:r>
              <w:rPr>
                <w:color w:val="FF0000"/>
              </w:rPr>
              <w:t>-</w:t>
            </w:r>
            <w:r>
              <w:t>-------------------</w:t>
            </w:r>
            <w:r>
              <w:t>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>
              <w:t>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>
              <w:t>------------------------------------------------------------------------------------------------------------------------------------------------------|--------------------------------------------------------------------------|------------------------------</w:t>
            </w:r>
            <w:r>
              <w:t>-------------|</w:t>
            </w:r>
            <w:r>
              <w:br/>
              <w:t>| - внебольничная пневмония, вызванная Streptococcus pneumoniae (включая полирезистентные штаммы), в том числе случаи, сопровождающиеся бактериемией</w:t>
            </w:r>
            <w:r>
              <w:rPr>
                <w:color w:val="FF0000"/>
              </w:rPr>
              <w:t>,</w:t>
            </w:r>
            <w:r>
              <w:t xml:space="preserve"> или Staphylococcus </w:t>
            </w:r>
            <w:r>
              <w:lastRenderedPageBreak/>
              <w:t>aureus (только метициллин-чувствительные штаммы) - госпитальная пневмони</w:t>
            </w:r>
            <w:r>
              <w:t>я, вызванная Staphylococcus aureus (включая метициллин-чувствительные и метициллинрезистентные штаммы) или Streptococcus pneumoniae (включая полирезистентные штаммы) - осложненные инфекции кожи и мягких тканей, включая инфекции при синдроме диабетической с</w:t>
            </w:r>
            <w:r>
              <w:t>топы, не сопровождающиеся остеомиелитом, вызванные Staphylococcus aureus (включая метициллин-чувствительные и метициллинрезистентные штаммы), Streptococcus pyogenes или Streptococcus | 600 мг внутрь каждые 12 часов | 10-14 дней |</w:t>
            </w:r>
            <w:r>
              <w:br/>
              <w:t>| - неосложненные инфекции</w:t>
            </w:r>
            <w:r>
              <w:t xml:space="preserve"> кожи и мягких тканей, вызванные Staphylococcus aureus (только метициллин-чувствительные штаммы) или Streptococcus pyogenes | Взрослые: 400 мг внутрь каждые 12 ч Подростки: 600 мг внутрь каждые 12 ч | 10-14 дней |</w:t>
            </w:r>
            <w:r>
              <w:br/>
              <w:t>| - инфекции, вызванные резистентными к ва</w:t>
            </w:r>
            <w:r>
              <w:t>нкомицину Enterococcus faecium, в том числе сопровождающиеся бактериемией | 600 мг внутрь каждые 12 часов | 14-28 дней |</w:t>
            </w:r>
            <w:r>
              <w:br/>
              <w:t xml:space="preserve"> Взрослые: при туберкулезе легких, вызванном штаммами Mycobacterium tuberculosis с множественной лекарственной устойчивостью</w:t>
            </w:r>
            <w:r>
              <w:rPr>
                <w:color w:val="FF0000"/>
              </w:rPr>
              <w:t xml:space="preserve">, - </w:t>
            </w:r>
            <w:r>
              <w:t xml:space="preserve">600 мг </w:t>
            </w:r>
            <w:r>
              <w:t>1 раз в сутки с длительностью терапии в интенсивной фазе 24 недели.</w:t>
            </w:r>
            <w:r>
              <w:br/>
              <w:t xml:space="preserve"> Особые группы пациентов</w:t>
            </w:r>
            <w:r>
              <w:br/>
              <w:t xml:space="preserve"> Пациенты пожилого возраста</w:t>
            </w:r>
            <w:r>
              <w:br/>
              <w:t xml:space="preserve"> Коррекции дозы не требуется.</w:t>
            </w:r>
            <w:r>
              <w:br/>
              <w:t xml:space="preserve"> Пациенты с нарушением функции почек</w:t>
            </w:r>
            <w:r>
              <w:br/>
              <w:t xml:space="preserve"> Коррекции дозы не требуется. В связи с тем, что 30 % линезолида уда</w:t>
            </w:r>
            <w:r>
              <w:t>ляется при гемодиализе в течение 3 часов, линезолид должен при</w:t>
            </w:r>
            <w:r>
              <w:rPr>
                <w:color w:val="FF0000"/>
              </w:rPr>
              <w:t>меня</w:t>
            </w:r>
            <w:r>
              <w:t xml:space="preserve">ться после проведения диализа </w:t>
            </w:r>
            <w:r>
              <w:rPr>
                <w:color w:val="FF0000"/>
              </w:rPr>
              <w:t xml:space="preserve">у </w:t>
            </w:r>
            <w:r>
              <w:t>пациент</w:t>
            </w:r>
            <w:r>
              <w:rPr>
                <w:color w:val="FF0000"/>
              </w:rPr>
              <w:t>ов</w:t>
            </w:r>
            <w:r>
              <w:t>, нуждающимся в нем.</w:t>
            </w:r>
            <w:r>
              <w:br/>
              <w:t xml:space="preserve"> Пациенты с нарушением функции печени</w:t>
            </w:r>
            <w:r>
              <w:br/>
            </w:r>
            <w:r>
              <w:lastRenderedPageBreak/>
              <w:t xml:space="preserve"> Коррекции дозы не требуется.</w:t>
            </w:r>
            <w:r>
              <w:br/>
              <w:t xml:space="preserve"> Дети</w:t>
            </w:r>
            <w:r>
              <w:br/>
              <w:t xml:space="preserve"> Дети от 3 до 11 лет</w:t>
            </w:r>
            <w:r>
              <w:br/>
            </w:r>
            <w:r>
              <w:br/>
              <w:t>| Показания (включая инфекции, с</w:t>
            </w:r>
            <w:r>
              <w:t>опровождающиеся бактериемией) | Разовая доза | Рекомендуемая продолжительность лечения |</w:t>
            </w:r>
            <w:r>
              <w:br/>
              <w:t>|----------------------------------------------------------------------------------------------------------------------------------------------------------------------</w:t>
            </w:r>
            <w:r>
              <w:t>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>
              <w:t>---------------------------------------------------------------------------------------------------------------------------------------------------------------------------------------------------------------------------|------------------------------------</w:t>
            </w:r>
            <w:r>
              <w:t>-----------------------------------------------------------------|-------------------------------------------|</w:t>
            </w:r>
            <w:r>
              <w:br/>
              <w:t>| - внебольничная пневмония, вызванная Streptococcus pneumoniae (включая полирезистентные штаммы), в том числе случаи, сопровождающиеся бактерием</w:t>
            </w:r>
            <w:r>
              <w:t>ией</w:t>
            </w:r>
            <w:r>
              <w:rPr>
                <w:color w:val="FF0000"/>
              </w:rPr>
              <w:t>,</w:t>
            </w:r>
            <w:r>
              <w:t xml:space="preserve"> или Staphylococcus aureus (только метициллин-чувствительные штаммы) - госпитальная пневмония, вызванная Staphylococcus aureus (включая метициллин-чувствительные и метициллинрезистентные штаммы) или Streptococcus pneumoniae (включая полирезистентные шт</w:t>
            </w:r>
            <w:r>
              <w:t xml:space="preserve">аммы) - осложненные инфекции кожи и мягких тканей, включая инфекции при синдроме диабетической стопы, не сопровождающиеся остеомиелитом, вызванные Staphylococcus aureus (включая метициллин-чувствительные и метициллинрезистентные штаммы), </w:t>
            </w:r>
            <w:r>
              <w:rPr>
                <w:color w:val="FF0000"/>
              </w:rPr>
              <w:t xml:space="preserve">| 10 мг/кг внутрь </w:t>
            </w:r>
            <w:r>
              <w:rPr>
                <w:color w:val="FF0000"/>
              </w:rPr>
              <w:t>каждые 8 часов | 10-14 дней |</w:t>
            </w:r>
            <w:r>
              <w:rPr>
                <w:color w:val="FF0000"/>
              </w:rPr>
              <w:br/>
              <w:t xml:space="preserve">| - неосложненные инфекции кожи и мягких тканей, вызванные </w:t>
            </w:r>
            <w:r>
              <w:rPr>
                <w:color w:val="FF0000"/>
              </w:rPr>
              <w:lastRenderedPageBreak/>
              <w:t xml:space="preserve">Staphylococcus aureus (только метициллин-чувствительные штаммы) или </w:t>
            </w:r>
            <w:r>
              <w:t>Streptococcus pyogenes | Дети от 3 до &lt; 5 лет: 10 мг/кг внутрь каждые 8 часов Дети 5-11 лет: 10 мг/</w:t>
            </w:r>
            <w:r>
              <w:t>кг внутрь каждые 12 часов | 10-14 дней |</w:t>
            </w:r>
            <w:r>
              <w:br/>
              <w:t>| - инфекции, вызванные резистентными к ванкомицину Enterococcus faecium, в том числе сопровождающиеся бактериемией | 10 мг/кг внутрь каждые 8 часов | 14-28 дней |</w:t>
            </w:r>
            <w:r>
              <w:br/>
              <w:t xml:space="preserve"> Режим дозирования для детей от 12 до 18 лет не отл</w:t>
            </w:r>
            <w:r>
              <w:t>ичается от режима дозирования для взрослых.</w:t>
            </w:r>
            <w:r>
              <w:br/>
              <w:t xml:space="preserve"> Способ применения</w:t>
            </w:r>
            <w:r>
              <w:br/>
              <w:t xml:space="preserve"> Внутрь. Препарат можно принимать как во время еды, так и между приемами пищи.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655BDA">
              <w:rPr>
                <w:b/>
                <w:sz w:val="24"/>
              </w:rPr>
              <w:lastRenderedPageBreak/>
              <w:t xml:space="preserve">4.3 </w:t>
            </w:r>
            <w:r w:rsidRPr="00B32A72">
              <w:rPr>
                <w:b/>
                <w:sz w:val="24"/>
              </w:rPr>
              <w:t>Противопоказания</w:t>
            </w:r>
          </w:p>
          <w:p w:rsidR="00573EB3" w:rsidRDefault="00E42A7E">
            <w:r>
              <w:t xml:space="preserve">Гиперчувствительность к линезолиду или другим вспомогательным веществам, перечисленным в </w:t>
            </w:r>
            <w:r>
              <w:t>разделе 6.1.</w:t>
            </w:r>
            <w:r>
              <w:br/>
              <w:t xml:space="preserve"> Одновременный прием линезолида с препаратами, ингибирующими моноаминоксидазы А или В (например, фенелзин, изокарбоксазид, селегилин, моклобемид), а также в течение 2 недель после прекращения приема названных препаратов.</w:t>
            </w:r>
            <w:r>
              <w:br/>
              <w:t xml:space="preserve"> При отсутствии тщател</w:t>
            </w:r>
            <w:r>
              <w:t>ьного наблюдения за пациентами и мониторинга артериального давления не следует назначать линезолид:</w:t>
            </w:r>
            <w:r>
              <w:br/>
            </w:r>
            <w:r>
              <w:br/>
              <w:t xml:space="preserve">- -пациентам с неконтролируемой артериальной гипертензией, </w:t>
            </w:r>
            <w:r>
              <w:lastRenderedPageBreak/>
              <w:t>феохромоцитомой, тиреотоксикозом, карциноидным синдромом, биполярным расстройством, шизоаффектив</w:t>
            </w:r>
            <w:r>
              <w:t>ным расстройством и острым состоянием спутанности сознания;</w:t>
            </w:r>
            <w:r>
              <w:br/>
              <w:t>• пациентам, получающим следующие типы препаратов: адреномиметики (например, псевдоэфедрин, фенилпропаноламин, эпинефрин, норэпинефрин, добутамин), дофаминомиметики (например, дофамин), ингибиторы</w:t>
            </w:r>
            <w:r>
              <w:t xml:space="preserve"> обратного захвата серотонина, трициклические антидепрессанты, агонисты 5-НТ1 рецепторов (триптаны), меперидин или буспирон.</w:t>
            </w:r>
            <w:r>
              <w:br/>
              <w:t xml:space="preserve"> Детский возраст до 3 лет (ввиду невозможности адекватного подбора дозы).</w:t>
            </w:r>
            <w:r>
              <w:br/>
              <w:t xml:space="preserve"> Детский возраст до 18 лет по показанию: туберкулез легки</w:t>
            </w:r>
            <w:r>
              <w:t>х, вызванный штаммами Mycobacterium tuberculosis с множественной лекарственной устойчивостью.</w:t>
            </w:r>
          </w:p>
        </w:tc>
        <w:tc>
          <w:tcPr>
            <w:tcW w:w="7280" w:type="dxa"/>
          </w:tcPr>
          <w:p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07116C">
              <w:rPr>
                <w:b/>
                <w:sz w:val="24"/>
              </w:rPr>
              <w:lastRenderedPageBreak/>
              <w:t xml:space="preserve">4.3 </w:t>
            </w:r>
            <w:r w:rsidRPr="00B32A72">
              <w:rPr>
                <w:b/>
                <w:sz w:val="24"/>
              </w:rPr>
              <w:t>Противопоказания</w:t>
            </w:r>
          </w:p>
          <w:p w:rsidR="00573EB3" w:rsidRDefault="00E42A7E">
            <w:r>
              <w:t>Гиперчувствительность к линезолиду или другим вспомогательным веществам, перечисленным в разделе 6.1.</w:t>
            </w:r>
            <w:r>
              <w:br/>
              <w:t xml:space="preserve"> Одновременный прием линезолида с препа</w:t>
            </w:r>
            <w:r>
              <w:t>ратами, ингибирующими моноаминоксидазы А или В (например, фенелзин, изокарбоксазид, селегилин, моклобемид), а также в течение 2 недель после прекращения приема названных препаратов.</w:t>
            </w:r>
            <w:r>
              <w:br/>
              <w:t xml:space="preserve"> При отсутствии тщательного наблюдения за пациентами и мониторинга артериа</w:t>
            </w:r>
            <w:r>
              <w:t>льного давления не следует назначать линезолид:</w:t>
            </w:r>
            <w:r>
              <w:br/>
            </w:r>
            <w:r>
              <w:br/>
              <w:t xml:space="preserve">- -пациентам с неконтролируемой артериальной гипертензией, </w:t>
            </w:r>
            <w:r>
              <w:lastRenderedPageBreak/>
              <w:t>феохромоцитомой, тиреотоксикозом, карциноидным синдромом, биполярным расстройством, шизоаффективным расстройством и острым состоянием спутанности со</w:t>
            </w:r>
            <w:r>
              <w:t>знания;</w:t>
            </w:r>
            <w:r>
              <w:br/>
              <w:t>• пациентам, получающим следующие типы препаратов: адреномиметики (например, псевдоэфедрин, фенилпропаноламин, эпинефрин, норэпинефрин, добутамин), дофаминомиметики (например, дофамин), ингибиторы обратного захвата серотонина, трициклические антиде</w:t>
            </w:r>
            <w:r>
              <w:t>прессанты, агонисты 5-НТ1 рецепторов (триптаны), меперидин или буспирон.</w:t>
            </w:r>
            <w:r>
              <w:br/>
              <w:t xml:space="preserve"> Детский возраст до 3 лет (ввиду невозможности адекватного подбора дозы).</w:t>
            </w:r>
            <w:r>
              <w:br/>
              <w:t xml:space="preserve"> Детский возраст до 18 лет по показанию: туберкулез легких, вызванный штаммами Mycobacterium tuberculosis с м</w:t>
            </w:r>
            <w:r>
              <w:t>ножественной лекарственной устойчивостью.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4B7813">
              <w:rPr>
                <w:b/>
                <w:sz w:val="24"/>
              </w:rPr>
              <w:lastRenderedPageBreak/>
              <w:t xml:space="preserve">4.4 </w:t>
            </w:r>
            <w:r w:rsidRPr="00B32A72">
              <w:rPr>
                <w:b/>
                <w:sz w:val="24"/>
              </w:rPr>
              <w:t>Особые указания и меры предосторожности при применении</w:t>
            </w:r>
          </w:p>
          <w:p w:rsidR="00655BDA" w:rsidRDefault="00E42A7E" w:rsidP="00655BDA">
            <w:r>
              <w:t>С осторожностью</w:t>
            </w:r>
            <w:r>
              <w:br/>
              <w:t xml:space="preserve"> Пациенты с почечной недостаточностью</w:t>
            </w:r>
            <w:r>
              <w:br/>
              <w:t xml:space="preserve"> Вследствие неизученной клинической значимости двух первичных метаболитов линезолида у пациентов с т</w:t>
            </w:r>
            <w:r>
              <w:t>яжелой почечной недостаточностью</w:t>
            </w:r>
            <w:r>
              <w:rPr>
                <w:color w:val="008000"/>
              </w:rPr>
              <w:t>,</w:t>
            </w:r>
            <w:r>
              <w:t xml:space="preserve"> линезолид должен использоваться с осторожностью у таких пациентов</w:t>
            </w:r>
            <w:r>
              <w:rPr>
                <w:color w:val="008000"/>
              </w:rPr>
              <w:t>,</w:t>
            </w:r>
            <w:r>
              <w:t xml:space="preserve"> и только если предполагаемая польза превышает потенциальный риск. Также нет данных по применению линезолида у пациентов, находящихся на амбулаторном перито</w:t>
            </w:r>
            <w:r>
              <w:t>неальном диализе или других альтернативных методах лечения почечной недостаточности.</w:t>
            </w:r>
            <w:r>
              <w:br/>
              <w:t xml:space="preserve"> Пациенты с печеночной недостаточностью</w:t>
            </w:r>
            <w:r>
              <w:br/>
            </w:r>
            <w:r>
              <w:rPr>
                <w:color w:val="008000"/>
              </w:rPr>
              <w:br/>
            </w:r>
            <w:r>
              <w:t xml:space="preserve"> Имеются ограниченные клинические данные, рекомендующие использовать линезолид у таких пациентов только в том </w:t>
            </w:r>
            <w:r>
              <w:lastRenderedPageBreak/>
              <w:t>случае, если предпол</w:t>
            </w:r>
            <w:r>
              <w:t>агаемая польза превышает потенциальный риск.</w:t>
            </w:r>
            <w:r>
              <w:br/>
              <w:t xml:space="preserve"> Пациенты с системными инфекциями</w:t>
            </w:r>
            <w:r>
              <w:br/>
              <w:t xml:space="preserve"> Линезолид должен использоваться с осторожностью у пациентов с системными инфекциями, представляющими риск для жизни, такими как инфекции, связанные с венозными катетерами в отд</w:t>
            </w:r>
            <w:r>
              <w:t>елениях интенсивной терапии.</w:t>
            </w:r>
            <w:r>
              <w:br/>
            </w:r>
            <w:r>
              <w:t>О</w:t>
            </w:r>
            <w:r>
              <w:rPr>
                <w:color w:val="008000"/>
              </w:rPr>
              <w:t>собые указания</w:t>
            </w:r>
            <w:r>
              <w:br/>
              <w:t>Смертность у пациентов с катетер-ассоциированными инфекциями</w:t>
            </w:r>
            <w:r>
              <w:br/>
              <w:t xml:space="preserve"> В открытом исследовании среди тяжелобольных пациентов с внутрисосудистыми катетерассоциированными инфекциями было отмечено превышение летальности у </w:t>
            </w:r>
            <w:r>
              <w:t>пациентов, получавших линезолид, по сравнению пациентами,</w:t>
            </w:r>
            <w:r>
              <w:rPr>
                <w:color w:val="008000"/>
              </w:rPr>
              <w:t xml:space="preserve"> получавшими</w:t>
            </w:r>
            <w:r>
              <w:t xml:space="preserve"> ванкомицин/диклоксациллин/оксациллин [78/363 (21,5 %) против 58/363 (16,0 %)]. Основным фактором, оказывающим влияние на уровень смертности, был статус грамположительной инфекции в исход</w:t>
            </w:r>
            <w:r>
              <w:t>ный момент времени. Показатель летальности был схож среди пациентов, инфекции у которых были вызваны только грамположительными микроорганизмами (отношение шансов 0,96; 95 % доверительный интервал: 0,58-1,59), но был значительно выше (р = 0,0162) в группе л</w:t>
            </w:r>
            <w:r>
              <w:t>инезолида, когда обнаруживались и другие микроорганизмы</w:t>
            </w:r>
            <w:r>
              <w:rPr>
                <w:color w:val="008000"/>
              </w:rPr>
              <w:t>,</w:t>
            </w:r>
            <w:r>
              <w:t xml:space="preserve"> или их не удавалось обнаружить на начальном этапе (отношение шансов 2,48; 95 % доверительный интервал: 1,38-4,46). Наибольший дисбаланс был отмечен во время лечения и в течение 7 дней после окончания антибиотикотерапии. В ходе исследования в группе линезо</w:t>
            </w:r>
            <w:r>
              <w:t xml:space="preserve">лида больше пациентов приобретали грамотрицательные микроорганизмы и впоследствии погибали от инфекции, вызванной грамотрицательными микроорганизмами, или полимикробных инфекций. Таким </w:t>
            </w:r>
            <w:r>
              <w:lastRenderedPageBreak/>
              <w:t>образом, в случае осложненных инфекций кожи и мягких тканей линезолид с</w:t>
            </w:r>
            <w:r>
              <w:t>ледует использовать у пациентов с известной или возможной коинфекцией грамотрицательными микроорганизмами, только если нет альтернативных вариантов лечения (см. раздел 4.1). В этих случаях показано одновременное дополнительное применение препаратов, действ</w:t>
            </w:r>
            <w:r>
              <w:t>ующих на грамотрицательную микрофлору.</w:t>
            </w:r>
            <w:r>
              <w:br/>
              <w:t xml:space="preserve"> Миелосупрессия</w:t>
            </w:r>
            <w:r>
              <w:br/>
              <w:t xml:space="preserve"> У некоторых пациентов, принимающих линезолид, может развиться обратимая миелосупрессия (с анемией, тромбоцитопенией, лейкопенией и панцитопенией), зависящая</w:t>
            </w:r>
            <w:r>
              <w:rPr>
                <w:color w:val="008000"/>
              </w:rPr>
              <w:t xml:space="preserve"> </w:t>
            </w:r>
            <w:commentRangeStart w:id="1"/>
            <w:r w:rsidRPr="00655BDA">
              <w:rPr>
                <w:color w:val="008000"/>
                <w:highlight w:val="yellow"/>
              </w:rPr>
              <w:t>от продолжительности терапии</w:t>
            </w:r>
            <w:commentRangeEnd w:id="1"/>
            <w:r w:rsidR="00655BDA">
              <w:rPr>
                <w:rStyle w:val="af4"/>
              </w:rPr>
              <w:commentReference w:id="1"/>
            </w:r>
            <w:r w:rsidRPr="00655BDA">
              <w:rPr>
                <w:color w:val="008000"/>
                <w:highlight w:val="yellow"/>
              </w:rPr>
              <w:t>. Тромбоцитопен</w:t>
            </w:r>
            <w:r w:rsidRPr="00655BDA">
              <w:rPr>
                <w:color w:val="008000"/>
                <w:highlight w:val="yellow"/>
              </w:rPr>
              <w:t>ия может чаще возникать у пациентов с тяжелой почечной недостаточностью, независимо от применения у пациента гемодиализа, и у пациентов с печеночной недостаточностью средней или тяжелой степени. У пожилых</w:t>
            </w:r>
            <w:r w:rsidRPr="00655BDA">
              <w:rPr>
                <w:highlight w:val="yellow"/>
              </w:rPr>
              <w:br/>
            </w:r>
            <w:r w:rsidRPr="00655BDA">
              <w:rPr>
                <w:highlight w:val="yellow"/>
              </w:rPr>
              <w:br/>
            </w:r>
            <w:r w:rsidRPr="00655BDA">
              <w:rPr>
                <w:color w:val="008000"/>
              </w:rPr>
              <w:t>%SECTION_BREAK%</w:t>
            </w:r>
            <w:r>
              <w:rPr>
                <w:color w:val="008000"/>
              </w:rPr>
              <w:br/>
            </w:r>
            <w:r>
              <w:rPr>
                <w:color w:val="008000"/>
              </w:rPr>
              <w:br/>
            </w:r>
            <w:r>
              <w:t>пациентов также повышен риск разв</w:t>
            </w:r>
            <w:r>
              <w:t>ития данного состояния. В связи с этим в процессе лечения необходимо проводить мониторинг показателей крови у пациентов с повышенным риском развития кровотечения, миелосупрессией в анамнезе, с тяжелой почечной недостаточностью или печеночной недостаточност</w:t>
            </w:r>
            <w:r>
              <w:t>ью средней или тяжелой степени, а также при одновременном применении препаратов, снижающих гемоглобин или количество тромбоцитов или их функциональные свойства, а также у пациентов, получающих линезолид более 2 недель. Линезолид у таких пациентов применяет</w:t>
            </w:r>
            <w:r>
              <w:t xml:space="preserve">ся только в том случае, когда возможен тщательный мониторинг гемоглобина, количества лейкоцитов и тромбоцитов. Если во время терапии линезолидом развивается </w:t>
            </w:r>
            <w:r>
              <w:lastRenderedPageBreak/>
              <w:t>выраженная миелосупрессия, лечение должно быть прекращено, если только продолжение терапии не счита</w:t>
            </w:r>
            <w:r>
              <w:t xml:space="preserve">ется абсолютно необходимым. В этом случае необходим интенсивный мониторинг показателей крови и соответствующее лечение. Кроме того, рекомендуется, чтобы анализ крови (в том числе определение гемоглобина, количества тромбоцитов и лейкоцитов </w:t>
            </w:r>
            <w:r>
              <w:rPr>
                <w:color w:val="008000"/>
              </w:rPr>
              <w:t>(</w:t>
            </w:r>
            <w:r>
              <w:t>с расчетом лейк</w:t>
            </w:r>
            <w:r>
              <w:t>оцитарной формулы</w:t>
            </w:r>
            <w:r>
              <w:rPr>
                <w:color w:val="008000"/>
              </w:rPr>
              <w:t>)</w:t>
            </w:r>
            <w:r>
              <w:t>) проводился еженедельно у пациентов, получающих линезолид независимо от показателей исходного анализа крови. Более высокая частота развития тяжелой анемии отмечена у пациентов, получавших линезолид больше максимально рекомендованной прод</w:t>
            </w:r>
            <w:r>
              <w:t xml:space="preserve">олжительности в 28 дней. Этим пациентам чаще требовалось переливание крови. Случаи сидеробластной анемии были зарегистрированы в пострегистрационном периоде. В большинстве случаев длительность терапии линезолидом превышала 28 дней. У большинства пациентов </w:t>
            </w:r>
            <w:r>
              <w:t>проявления были полностью или частично обратимы после прекращения лечения линезолидом с</w:t>
            </w:r>
            <w:r>
              <w:rPr>
                <w:color w:val="008000"/>
              </w:rPr>
              <w:t>/без</w:t>
            </w:r>
            <w:r>
              <w:t xml:space="preserve"> специфическ</w:t>
            </w:r>
            <w:r>
              <w:rPr>
                <w:color w:val="008000"/>
              </w:rPr>
              <w:t>о</w:t>
            </w:r>
            <w:r>
              <w:t>го</w:t>
            </w:r>
            <w:r>
              <w:rPr>
                <w:color w:val="008000"/>
              </w:rPr>
              <w:t xml:space="preserve"> лечения анемии</w:t>
            </w:r>
            <w:r>
              <w:t>. Антибиотик-ассоциированная диарея и колит</w:t>
            </w:r>
            <w:r>
              <w:br/>
              <w:t xml:space="preserve"> У пациентов, принимающих антибактериальные препараты, включая линезолид, следует учитывать</w:t>
            </w:r>
            <w:r>
              <w:t xml:space="preserve"> риск развития псевдомембранозного колита различной степени тяжести.</w:t>
            </w:r>
            <w:r>
              <w:br/>
              <w:t xml:space="preserve"> О случаях диареи, связанной с Clostridium difficile, сообщалось в связи с использованием практически всех антибактериальных препаратов, включая линезолид. Тяжесть диареи может варьироват</w:t>
            </w:r>
            <w:r>
              <w:t>ься от легких форм до тяжелых. Лечение антибактериальными препаратами нарушает нормальную микрофлору кишечника, что приводит к избыточному росту Clostridium difficile. Clostridium difficile вырабатывает токсины А и В, которые приводят к развитию диареи, св</w:t>
            </w:r>
            <w:r>
              <w:t xml:space="preserve">язанной с Clostridium difficile. Избыточное </w:t>
            </w:r>
            <w:r>
              <w:lastRenderedPageBreak/>
              <w:t>количество токсинов, вырабатываемое штаммами Clostridium difficile, может вызвать повышениелетальности среди пациентов, так как такие инфекции могут быть устойчивы к противомикробной терапии, а также может потреб</w:t>
            </w:r>
            <w:r>
              <w:t>оваться колоноэктомия. Нельзя применять лекарственные средства, тормозящие перистальтику кишечника.</w:t>
            </w:r>
            <w:r>
              <w:rPr>
                <w:color w:val="008000"/>
              </w:rPr>
              <w:br/>
            </w:r>
            <w:r>
              <w:br/>
              <w:t xml:space="preserve"> Возможность развития диареи, связанной с Clostridium difficile, должна рассматриваться у всех пациентов с диареей, последовавшей за использованием антибио</w:t>
            </w:r>
            <w:r>
              <w:t>тиков. Тщательное медицинское наблюдение в течение 2 месяцев необходимо пациентам, перенесшим диарею, связанную с Clostridium difficile, после введения антибактериальных препаратов.</w:t>
            </w:r>
            <w:r>
              <w:br/>
              <w:t xml:space="preserve"> Периферическая нейропатия и нейропатия зрительного нерва</w:t>
            </w:r>
            <w:r>
              <w:br/>
              <w:t xml:space="preserve"> Сообщалось о пе</w:t>
            </w:r>
            <w:r>
              <w:t>риферической нейропатии, а также нейропатии зрительного нерва и неврите зрительного нерва, которые иногда прогрессируют до потери зрения, у пациентов, которые получали лечение линезолидом; эти сообщения имели место</w:t>
            </w:r>
            <w:r>
              <w:rPr>
                <w:color w:val="008000"/>
              </w:rPr>
              <w:t>,</w:t>
            </w:r>
            <w:r>
              <w:t xml:space="preserve"> в первую очередь</w:t>
            </w:r>
            <w:r>
              <w:rPr>
                <w:color w:val="008000"/>
              </w:rPr>
              <w:t>,</w:t>
            </w:r>
            <w:r>
              <w:t xml:space="preserve"> у пациентов, получавши</w:t>
            </w:r>
            <w:r>
              <w:t>х лечение на протяжении периодов времени, которые были больше максимальной рекомендованной продолжительности лечения, составляющей 28 дней.</w:t>
            </w:r>
            <w:r>
              <w:br/>
              <w:t xml:space="preserve"> При появлении симптомов ухудшения зрительной функции, таких как изменение остроты зрения, изменение цветового воспр</w:t>
            </w:r>
            <w:r>
              <w:t>иятия, затуманенность, дефекты полей зрения, рекомендуется срочно обратиться к офтальмологу для консультации. Следует проводить мониторинг зрительной функции у всех пациентов, принимающих линезолид в течение длительного времени (более 28 дней), а также у в</w:t>
            </w:r>
            <w:r>
              <w:t xml:space="preserve">сех пациентов с вновь появившимися симптомами зрительных нарушений независимо от продолжительности терапии. В случае развития периферической нейропатии и нейропатии </w:t>
            </w:r>
            <w:r>
              <w:lastRenderedPageBreak/>
              <w:t>зрительного нерва</w:t>
            </w:r>
            <w:r>
              <w:rPr>
                <w:color w:val="008000"/>
              </w:rPr>
              <w:t>,</w:t>
            </w:r>
            <w:r>
              <w:t xml:space="preserve"> следует оценить соотношение риск/польза продолжения терапии линезолидом </w:t>
            </w:r>
            <w:r>
              <w:t>у этих пациентов. Риск развития нейропатии выше, если линезолид применяется у пациентов, которые используют в настоящее время или которые недавно принимали антимикобактериальные препараты для лечения туберкулеза.</w:t>
            </w:r>
            <w:r>
              <w:br/>
              <w:t xml:space="preserve"> Рабдомиолиз</w:t>
            </w:r>
            <w:r>
              <w:br/>
              <w:t xml:space="preserve"> Сообщалось о случаях рабдомио</w:t>
            </w:r>
            <w:r>
              <w:t>лиза при применении линезолида (см. раздел 4.8). Если наблюдаются признаки или симптомы рабдомиолиза, прием линезолида следует прекратить и начать соответствующую терапию.</w:t>
            </w:r>
            <w:r>
              <w:br/>
              <w:t xml:space="preserve"> Лактоацидоз</w:t>
            </w:r>
            <w:r>
              <w:br/>
              <w:t xml:space="preserve"> В связи с применением линезолида сообщалось о лактоацидозе. Пациенты, </w:t>
            </w:r>
            <w:r>
              <w:t>у которых на фоне приема линезолида возникает повторная тошнота или рвота, боль в животе, необъяснимый ацидоз или отмечается снижение концентрации гидрокарбонат-анионов, требуют тщательного наблюдения со стороны врача.</w:t>
            </w:r>
            <w:r>
              <w:br/>
              <w:t xml:space="preserve"> Митохондриальная дисфункция</w:t>
            </w:r>
            <w:r>
              <w:br/>
              <w:t xml:space="preserve"> Линезол</w:t>
            </w:r>
            <w:r>
              <w:t>ид ингибирует синтез белка митохондрий. Побочные эффекты, такие как лактоацидоз, анемия и нейропатия (периферическая или зрительного нерва), могут возникнуть в результате этого торможения; эти эффекты являются более распространенными, когда препарат исполь</w:t>
            </w:r>
            <w:r>
              <w:t>зуется больше, чем 28 дней.</w:t>
            </w:r>
            <w:r>
              <w:br/>
            </w:r>
            <w:r>
              <w:t xml:space="preserve"> </w:t>
            </w:r>
            <w:commentRangeStart w:id="2"/>
            <w:r w:rsidRPr="00655BDA">
              <w:rPr>
                <w:highlight w:val="yellow"/>
              </w:rPr>
              <w:t>Судорог</w:t>
            </w:r>
            <w:r w:rsidRPr="00655BDA">
              <w:rPr>
                <w:color w:val="008000"/>
                <w:highlight w:val="yellow"/>
              </w:rPr>
              <w:t>и</w:t>
            </w:r>
            <w:commentRangeEnd w:id="2"/>
            <w:r w:rsidR="00655BDA">
              <w:rPr>
                <w:rStyle w:val="af4"/>
              </w:rPr>
              <w:commentReference w:id="2"/>
            </w:r>
            <w:r w:rsidRPr="00655BDA">
              <w:rPr>
                <w:highlight w:val="yellow"/>
              </w:rPr>
              <w:br/>
            </w:r>
            <w:r w:rsidRPr="00655BDA">
              <w:rPr>
                <w:color w:val="008000"/>
                <w:highlight w:val="yellow"/>
              </w:rPr>
              <w:t xml:space="preserve"> Сообщалось о судорогах у пациентов, принимавших линезолид, при этом в большинстве случаев в анамнезе имелось указание на судороги или наличие факторов риска их развития.</w:t>
            </w:r>
            <w:r>
              <w:t xml:space="preserve"> У пациентов необходимо собрать подробный анамн</w:t>
            </w:r>
            <w:r>
              <w:t>ез, касающийся предшествующих эпизодов судорог.</w:t>
            </w:r>
            <w:r>
              <w:br/>
              <w:t xml:space="preserve"> Ингибиторы моноаминоксидазы</w:t>
            </w:r>
            <w:r>
              <w:br/>
            </w:r>
            <w:r>
              <w:lastRenderedPageBreak/>
              <w:t xml:space="preserve"> Линезолид является обратимым неселективным ингибитором моноаминоксидазы (МАО); однако в дозах, применяемых для антибактериальной терапии, он не проявляет антидепрессантный эффект</w:t>
            </w:r>
            <w:r>
              <w:t>. Имеются очень ограниченные данные из исследований лекарственных взаимодействий и в отношении безопасности линезолида при применении у пациентов с основными заболеваниями и/или при одновременном применении лекарственных препаратов, которые могут подвергну</w:t>
            </w:r>
            <w:r>
              <w:t>ть их риску, обусловленному ингибированием МАО. Следовательно, применение линезолида не рекомендуется в этих обстоятельствах, кроме случаев, когда возможно проведение тщательного наблюдения и мониторинга пациента, получающего препарат (см. разделы 4.3, 4.5</w:t>
            </w:r>
            <w:r>
              <w:t>).</w:t>
            </w:r>
            <w:r>
              <w:br/>
              <w:t xml:space="preserve"> Серотониновый синдром</w:t>
            </w:r>
            <w:r>
              <w:br/>
              <w:t xml:space="preserve"> Сообщалось о спонтанных случаях развития серотонинового синдрома, связанного с одновременным применением линезолида и серотонинергических препаратов, включая антидепрессанты, такие как селективные ингибиторы обратного захвата сер</w:t>
            </w:r>
            <w:r>
              <w:t>отонина (СИОЗС) и опиоиды (см. разделы 4.3, 4.5). При необходимости применения препарата в сочетании с селективными ингибиторами обратного захвата серотонина следует постоянно наблюдать за пациентами с целью выявления признаков и симптомов серотонинового с</w:t>
            </w:r>
            <w:r>
              <w:t>индрома, таких как нарушение когнитивной функции, гиперпирексия, гиперрефлексия и нарушение координации движений.</w:t>
            </w:r>
            <w:r>
              <w:br/>
              <w:t xml:space="preserve"> В случае появления данных симптомов следует отменить один или оба принимаемых препарата. При прекращении приема серотонинергического средства</w:t>
            </w:r>
            <w:r>
              <w:t xml:space="preserve"> могут наблюдаться симптомы синдрома </w:t>
            </w:r>
            <w:r>
              <w:rPr>
                <w:color w:val="008000"/>
              </w:rPr>
              <w:t>«отмены»</w:t>
            </w:r>
            <w:r>
              <w:t>.</w:t>
            </w:r>
            <w:r>
              <w:br/>
            </w:r>
          </w:p>
          <w:p w:rsidR="00655BDA" w:rsidRDefault="00655BDA" w:rsidP="00655BDA"/>
          <w:p w:rsidR="00655BDA" w:rsidRDefault="00655BDA" w:rsidP="00655BDA"/>
          <w:p w:rsidR="00655BDA" w:rsidRDefault="00655BDA" w:rsidP="00655BDA"/>
          <w:p w:rsidR="00655BDA" w:rsidRDefault="00655BDA" w:rsidP="00655BDA"/>
          <w:p w:rsidR="00655BDA" w:rsidRDefault="00655BDA" w:rsidP="00655BDA"/>
          <w:p w:rsidR="00655BDA" w:rsidRDefault="00655BDA" w:rsidP="00655BDA"/>
          <w:p w:rsidR="00655BDA" w:rsidRDefault="00655BDA" w:rsidP="00655BDA"/>
          <w:p w:rsidR="00655BDA" w:rsidRDefault="00655BDA" w:rsidP="00655BDA"/>
          <w:p w:rsidR="00655BDA" w:rsidRDefault="00655BDA" w:rsidP="00655BDA"/>
          <w:p w:rsidR="00655BDA" w:rsidRDefault="00655BDA" w:rsidP="00655BDA"/>
          <w:p w:rsidR="00655BDA" w:rsidRDefault="00655BDA" w:rsidP="00655BDA"/>
          <w:p w:rsidR="00655BDA" w:rsidRDefault="00655BDA" w:rsidP="00655BDA"/>
          <w:p w:rsidR="00573EB3" w:rsidRDefault="00E42A7E" w:rsidP="00655BDA">
            <w:r>
              <w:t>Гипонатриемия</w:t>
            </w:r>
            <w:r>
              <w:br/>
              <w:t xml:space="preserve"> У некоторых пациентов, получавших линезолид, наблюдались гипонатриемия и/или синдром неадекватной секреции антидиуретического гормона (SIADH). Рекомендуется регулярно контролировать уровень нат</w:t>
            </w:r>
            <w:r>
              <w:t>рия в сыворотке крови у пожилых людей, у пациентов, принимающих диуретики, и у других пациентов с риском гипонатриемии.</w:t>
            </w:r>
            <w:r>
              <w:br/>
              <w:t xml:space="preserve"> Окрашивание зубной эмали</w:t>
            </w:r>
            <w:r>
              <w:br/>
            </w:r>
            <w:r>
              <w:rPr>
                <w:color w:val="008000"/>
              </w:rPr>
              <w:br/>
            </w:r>
            <w:r>
              <w:t xml:space="preserve"> Сообщалось о случаях обратимого поверхностного изменения окрашивания зубной эмали</w:t>
            </w:r>
            <w:r>
              <w:rPr>
                <w:color w:val="008000"/>
              </w:rPr>
              <w:br/>
            </w:r>
            <w:r>
              <w:rPr>
                <w:color w:val="008000"/>
              </w:rPr>
              <w:br/>
            </w:r>
            <w:r>
              <w:t>при использовании линезол</w:t>
            </w:r>
            <w:r>
              <w:t>ида. Данные изменения окрашивания удалялись посредством профессионального очищения зубов.</w:t>
            </w:r>
            <w:r>
              <w:br/>
              <w:t xml:space="preserve"> </w:t>
            </w:r>
            <w:r>
              <w:t>Гипогликемия</w:t>
            </w:r>
            <w:r>
              <w:br/>
              <w:t xml:space="preserve"> Сообщалось о случаях симптоматической гипогликемии у пациентов с сахарным диабетом, получавших линезолид одновременно с инсулином или гипогликемическим</w:t>
            </w:r>
            <w:r>
              <w:t xml:space="preserve">и препаратами. </w:t>
            </w:r>
            <w:r w:rsidRPr="00655BDA">
              <w:rPr>
                <w:highlight w:val="yellow"/>
              </w:rPr>
              <w:t xml:space="preserve">Хотя причинно-следственная связь между </w:t>
            </w:r>
            <w:r w:rsidRPr="00655BDA">
              <w:rPr>
                <w:highlight w:val="yellow"/>
              </w:rPr>
              <w:lastRenderedPageBreak/>
              <w:t xml:space="preserve">приемом линезолида и развитием гипогликемии </w:t>
            </w:r>
            <w:commentRangeStart w:id="3"/>
            <w:r w:rsidRPr="00655BDA">
              <w:rPr>
                <w:color w:val="008000"/>
                <w:highlight w:val="yellow"/>
              </w:rPr>
              <w:t>о возмо</w:t>
            </w:r>
            <w:r w:rsidRPr="00655BDA">
              <w:rPr>
                <w:highlight w:val="yellow"/>
              </w:rPr>
              <w:t>жности развития гипогликемии. В случае возникновения гипогликемии необходима</w:t>
            </w:r>
            <w:r w:rsidRPr="00655BDA">
              <w:rPr>
                <w:color w:val="008000"/>
                <w:highlight w:val="yellow"/>
              </w:rPr>
              <w:br/>
            </w:r>
            <w:r w:rsidRPr="00655BDA">
              <w:rPr>
                <w:color w:val="008000"/>
                <w:highlight w:val="yellow"/>
              </w:rPr>
              <w:br/>
              <w:t>не установлена, па</w:t>
            </w:r>
            <w:r w:rsidRPr="00655BDA">
              <w:rPr>
                <w:highlight w:val="yellow"/>
              </w:rPr>
              <w:t>ци</w:t>
            </w:r>
            <w:r w:rsidRPr="00655BDA">
              <w:rPr>
                <w:color w:val="008000"/>
                <w:highlight w:val="yellow"/>
              </w:rPr>
              <w:t xml:space="preserve">ентов с сахарным диабетом необходимо </w:t>
            </w:r>
            <w:r w:rsidRPr="00655BDA">
              <w:rPr>
                <w:color w:val="008000"/>
                <w:highlight w:val="yellow"/>
              </w:rPr>
              <w:t>предупреждать ко</w:t>
            </w:r>
            <w:r w:rsidRPr="00655BDA">
              <w:rPr>
                <w:color w:val="008000"/>
                <w:highlight w:val="yellow"/>
              </w:rPr>
              <w:t>ррекция дозы инсулина</w:t>
            </w:r>
            <w:commentRangeEnd w:id="3"/>
            <w:r w:rsidR="00960B5E">
              <w:rPr>
                <w:rStyle w:val="af4"/>
              </w:rPr>
              <w:commentReference w:id="3"/>
            </w:r>
            <w:r w:rsidRPr="00655BDA">
              <w:rPr>
                <w:highlight w:val="yellow"/>
              </w:rPr>
              <w:t>/гипогликемических препаратов или отмена линезолида.</w:t>
            </w:r>
            <w:r>
              <w:br/>
              <w:t xml:space="preserve"> Применение с продуктами питания, богатыми тирамином</w:t>
            </w:r>
            <w:r>
              <w:br/>
              <w:t xml:space="preserve"> Пациентам следует рекомендовать отказаться от приема больших количеств пищи, содержащей тирамин (такие как красное вино, созревш</w:t>
            </w:r>
            <w:r>
              <w:t>ий сыр, некоторые алкогольные напитки, копченое мясо, экстракты дрожжей, продукты из ферментированных соевых бобов, например, соевый соус).</w:t>
            </w:r>
            <w:r>
              <w:br/>
              <w:t xml:space="preserve"> Суперинфекция</w:t>
            </w:r>
            <w:r>
              <w:br/>
              <w:t xml:space="preserve"> Клинических исследований, изучавших эффект применения линезолида на нормальную микрофлору организма </w:t>
            </w:r>
            <w:r>
              <w:t>человека, не проводилось.</w:t>
            </w:r>
            <w:r>
              <w:br/>
              <w:t xml:space="preserve"> Применение антибактериальных препаратов иногда может приводить к усиленному росту невосприимчивых к нему микроорганизмов. В клинических исследованиях было показано, что примерно у 3 % пациентов, получавших рекомендованные дозы ли</w:t>
            </w:r>
            <w:r>
              <w:t>незолида, развивался кандидоз, ассоциированный с приемом антибиотиков. При возникновении суперинфекции на фоне приема линезолида следует принимать соответствующие меры медицинского характера.</w:t>
            </w:r>
            <w:r>
              <w:br/>
              <w:t xml:space="preserve"> Клинические исследования</w:t>
            </w:r>
            <w:r>
              <w:br/>
              <w:t xml:space="preserve"> Безопасность и эффективность применен</w:t>
            </w:r>
            <w:r>
              <w:t xml:space="preserve">ия линезолида длительностью более 28 дней не установлены (по всем показаниям, за исключением туберкулеза легких). В контролируемыхклинических исследованиях не принимали участия пациенты с синдромом </w:t>
            </w:r>
            <w:r>
              <w:rPr>
                <w:color w:val="008000"/>
              </w:rPr>
              <w:t>«</w:t>
            </w:r>
            <w:r>
              <w:t>диабетической стопы</w:t>
            </w:r>
            <w:r>
              <w:rPr>
                <w:color w:val="008000"/>
              </w:rPr>
              <w:t>»</w:t>
            </w:r>
            <w:r>
              <w:t xml:space="preserve">, </w:t>
            </w:r>
            <w:r>
              <w:lastRenderedPageBreak/>
              <w:t>пролежнями или ишемическими нарушен</w:t>
            </w:r>
            <w:r>
              <w:t>иями, тяжелыми ожогами или гангренозными поражениями. Таким образом, опыт применения линезолида в терапии этих состояний ограничен.</w:t>
            </w:r>
          </w:p>
        </w:tc>
        <w:tc>
          <w:tcPr>
            <w:tcW w:w="7280" w:type="dxa"/>
          </w:tcPr>
          <w:p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4B7813">
              <w:rPr>
                <w:b/>
                <w:sz w:val="24"/>
              </w:rPr>
              <w:lastRenderedPageBreak/>
              <w:t xml:space="preserve">4.4 </w:t>
            </w:r>
            <w:r w:rsidRPr="00B32A72">
              <w:rPr>
                <w:b/>
                <w:sz w:val="24"/>
              </w:rPr>
              <w:t>Особые указания и меры предосторожности при применении</w:t>
            </w:r>
          </w:p>
          <w:p w:rsidR="00573EB3" w:rsidRDefault="00E42A7E">
            <w:r>
              <w:t>С осторожностью</w:t>
            </w:r>
            <w:r>
              <w:br/>
              <w:t xml:space="preserve"> Пациенты с почечной недостаточностью</w:t>
            </w:r>
            <w:r>
              <w:br/>
              <w:t xml:space="preserve"> Вследствие</w:t>
            </w:r>
            <w:r>
              <w:t xml:space="preserve"> неизученной клинической значимости двух первичных метаболитов линезолида у пациентов с тяжелой почечной недостаточностью линезолид должен использоваться с осторожностью у таких пациентов и только если предполагаемая польза превышает потенциальный риск. Та</w:t>
            </w:r>
            <w:r>
              <w:t>кже нет данных по применению линезолида у пациентов, находящихся на амбулаторном перитонеальном диализе или других альтернативных методах лечения почечной недостаточности.</w:t>
            </w:r>
            <w:r>
              <w:br/>
              <w:t xml:space="preserve"> Пациенты с печеночной недостаточностью</w:t>
            </w:r>
            <w:r>
              <w:br/>
              <w:t xml:space="preserve"> Имеются ограниченные клинические данные, ре</w:t>
            </w:r>
            <w:r>
              <w:t xml:space="preserve">комендующие использовать линезолид у таких пациентов только в том случае, если предполагаемая польза превышает </w:t>
            </w:r>
            <w:r>
              <w:lastRenderedPageBreak/>
              <w:t>потенциальный риск.</w:t>
            </w:r>
            <w:r>
              <w:br/>
              <w:t xml:space="preserve"> Пациенты с системными инфекциями</w:t>
            </w:r>
            <w:r>
              <w:br/>
              <w:t xml:space="preserve"> Линезолид должен использоваться с осторожностью у пациентов с системными инфекциями, предс</w:t>
            </w:r>
            <w:r>
              <w:t>тавляющими риск для жизни, такими как инфекции, связанные с венозными катетерами в отделениях интенсивной терапии.</w:t>
            </w:r>
            <w:r>
              <w:br/>
              <w:t xml:space="preserve"> О</w:t>
            </w:r>
            <w:r>
              <w:rPr>
                <w:color w:val="FF0000"/>
              </w:rPr>
              <w:t>дновременное применение с бупренорфином (отдельно или в комбинации с налоксоном) может привести к развитию серотонинового синдрома (см. под</w:t>
            </w:r>
            <w:r>
              <w:rPr>
                <w:color w:val="FF0000"/>
              </w:rPr>
              <w:t>раздел «Особые указания» и раздел 4.5).</w:t>
            </w:r>
            <w:r>
              <w:br/>
            </w:r>
            <w:r>
              <w:rPr>
                <w:color w:val="FF0000"/>
              </w:rPr>
              <w:t>Особые указания</w:t>
            </w:r>
            <w:r>
              <w:rPr>
                <w:color w:val="FF0000"/>
              </w:rPr>
              <w:br/>
            </w:r>
            <w:r>
              <w:t>Смертность у пациентов с катетер-ассоциированными инфекциями</w:t>
            </w:r>
            <w:r>
              <w:br/>
              <w:t xml:space="preserve"> В открытом исследовании среди тяжелобольных пациентов с внутрисосудистыми катетерассоциированными инфекциями было отмечено превышение лета</w:t>
            </w:r>
            <w:r>
              <w:t>льности у пациентов, получавши</w:t>
            </w:r>
            <w:r>
              <w:rPr>
                <w:color w:val="FF0000"/>
              </w:rPr>
              <w:t>ми</w:t>
            </w:r>
            <w:r>
              <w:rPr>
                <w:color w:val="FF0000"/>
              </w:rPr>
              <w:br/>
            </w:r>
            <w:r>
              <w:rPr>
                <w:color w:val="FF0000"/>
              </w:rPr>
              <w:br/>
              <w:t>получавши</w:t>
            </w:r>
            <w:r>
              <w:t xml:space="preserve">х линезолид, по сравнению </w:t>
            </w:r>
            <w:r>
              <w:rPr>
                <w:color w:val="FF0000"/>
              </w:rPr>
              <w:t xml:space="preserve">с </w:t>
            </w:r>
            <w:r>
              <w:t>пациентами, ванкомицин/диклоксациллин/оксациллин [78/363 (21,5 %) против 58/363 (16,0 %)].</w:t>
            </w:r>
            <w:r>
              <w:rPr>
                <w:color w:val="FF0000"/>
              </w:rPr>
              <w:br/>
            </w:r>
            <w:r>
              <w:t xml:space="preserve"> Основным фактором, оказывающим влияние на уровень смертности, был статус грамположительной ин</w:t>
            </w:r>
            <w:r>
              <w:t>фекции в исходный момент времени. Показатель летальности был схож среди пациентов, инфекции у которых были вызваны только грамположительными микроорганизмами (отношение шансов 0,96; 95 % доверительный интервал: 0,58-1,59), но был значительно выше (р = 0,01</w:t>
            </w:r>
            <w:r>
              <w:t xml:space="preserve">62) в группе линезолида, когда обнаруживались и другие микроорганизмы или их не удавалось обнаружить на начальном этапе (отношение шансов 2,48; 95 % доверительный интервал: 1,38-4,46). Наибольший дисбаланс был отмечен во время лечения и в течение 7 дней </w:t>
            </w:r>
            <w:r>
              <w:lastRenderedPageBreak/>
              <w:t>по</w:t>
            </w:r>
            <w:r>
              <w:t>сле окончания антибиотикотерапии. В ходе исследования в группе линезолида больше пациентов приобретали грамотрицательные микроорганизмы и впоследствии погибали от инфекции, вызванной грамотрицательными микроорганизмами, или полимикробных инфекций. Таким об</w:t>
            </w:r>
            <w:r>
              <w:t>разом, в случае осложненных инфекций кожи и мягких тканей линезолид следует использовать у пациентов с известной или возможной коинфекцией грамотрицательными микроорганизмами, только если нет альтернативных вариантов лечения (см. раздел 4.1). В этих случая</w:t>
            </w:r>
            <w:r>
              <w:t>х показано одновременное дополнительное применение препаратов, действующих на грамотрицательную микрофлору.</w:t>
            </w:r>
            <w:r>
              <w:br/>
              <w:t xml:space="preserve"> Миелосупрессия</w:t>
            </w:r>
            <w:r>
              <w:br/>
            </w:r>
            <w:r>
              <w:rPr>
                <w:color w:val="FF0000"/>
              </w:rPr>
              <w:br/>
              <w:t>•</w:t>
            </w:r>
            <w:r>
              <w:t xml:space="preserve"> У некоторых пациентов, принимающих линезолид, может развиться обратимая миелосупрессия (с анемией, тромбоцитопенией, лейкопенией </w:t>
            </w:r>
            <w:r>
              <w:t>и панцитопенией), зависящая</w:t>
            </w:r>
            <w:r>
              <w:br/>
            </w:r>
            <w:r>
              <w:br/>
            </w:r>
            <w:r w:rsidRPr="00655BDA">
              <w:rPr>
                <w:color w:val="FF0000"/>
                <w:highlight w:val="yellow"/>
              </w:rPr>
              <w:t>от продолжительности терапии. Тромбоцитопения может чаще возникать у пациентов с тяжелой почечной недостаточностью, независимо от применения у пациента гемодиализа, и у пациентов с печеночной недостаточностью средней или тяжело</w:t>
            </w:r>
            <w:r w:rsidRPr="00655BDA">
              <w:rPr>
                <w:color w:val="FF0000"/>
                <w:highlight w:val="yellow"/>
              </w:rPr>
              <w:t>й степени. У пожилых</w:t>
            </w:r>
            <w:r>
              <w:rPr>
                <w:color w:val="FF0000"/>
              </w:rPr>
              <w:t xml:space="preserve"> </w:t>
            </w:r>
            <w:r>
              <w:t>пациентов также повышен риск развития данного состояния. В связи с этим в процессе лечения необходимо проводить мониторинг показателей крови у пациентов с повышенным риском развития кровотечения, миелосупрессией в анамнезе, с тяжелой п</w:t>
            </w:r>
            <w:r>
              <w:t>очечной недостаточностью или печеночной недостаточностью средней или тяжелой степени, а также при одновременном применении препаратов, снижающих гемоглобин или количество тромбоцитов или их функциональные свойства, а также у пациентов, получающих линезолид</w:t>
            </w:r>
            <w:r>
              <w:t xml:space="preserve"> более 2 недель. Линезолид </w:t>
            </w:r>
            <w:r>
              <w:lastRenderedPageBreak/>
              <w:t>у таких пациентов применяется только в том случае, когда возможен тщательный мониторинг гемоглобина, количества лейкоцитов и тромбоцитов. Если во время терапии линезолидом развивается выраженная миелосупрессия, лечение должно быт</w:t>
            </w:r>
            <w:r>
              <w:t>ь прекращено, если только продолжение терапии не считается абсолютно необходимым. В этом случае необходим интенсивный мониторинг показателей крови и соответствующее лечение. Кроме того, рекомендуется, чтобы анализ крови (в том числе определение гемоглобина</w:t>
            </w:r>
            <w:r>
              <w:t xml:space="preserve">, количества тромбоцитов и лейкоцитов </w:t>
            </w:r>
            <w:r>
              <w:rPr>
                <w:color w:val="FF0000"/>
              </w:rPr>
              <w:t>[</w:t>
            </w:r>
            <w:r>
              <w:t>с расчетом лейкоцитарной формулы</w:t>
            </w:r>
            <w:r>
              <w:rPr>
                <w:color w:val="FF0000"/>
              </w:rPr>
              <w:t>]</w:t>
            </w:r>
            <w:r>
              <w:t>) проводился еженедельно у пациентов, получающих линезолид независимо от показателей исходного анализа крови. Более высокая частота развития тяжелой анемии отмечена у пациентов, получа</w:t>
            </w:r>
            <w:r>
              <w:t>вших линезолид больше максимально рекомендованной продолжительности в 28 дней. Этим пациентам чаще требовалось переливание крови. Случаи сидеробластной анемии были зарегистрированы в пострегистрационном периоде. В большинстве случаев длительность терапии л</w:t>
            </w:r>
            <w:r>
              <w:t>инезолидом превышала 28 дней. У большинства пациентов проявления были полностью или частично обратимы после прекращения лечения линезолидом с</w:t>
            </w:r>
            <w:r>
              <w:rPr>
                <w:color w:val="FF0000"/>
              </w:rPr>
              <w:t>о</w:t>
            </w:r>
            <w:r>
              <w:t xml:space="preserve"> специфическ</w:t>
            </w:r>
            <w:r>
              <w:rPr>
                <w:color w:val="FF0000"/>
              </w:rPr>
              <w:t>им лечением анемии или без не</w:t>
            </w:r>
            <w:r>
              <w:t>го.</w:t>
            </w:r>
            <w:r>
              <w:rPr>
                <w:color w:val="FF0000"/>
              </w:rPr>
              <w:br/>
            </w:r>
            <w:r>
              <w:t xml:space="preserve"> Антибиотик-ассоциированная диарея и колит</w:t>
            </w:r>
            <w:r>
              <w:br/>
              <w:t xml:space="preserve"> У пациентов, принимающих </w:t>
            </w:r>
            <w:r>
              <w:t>антибактериальные препараты, включая линезолид, следует учитывать риск развития псевдомембранозного колита различной степени тяжести.</w:t>
            </w:r>
            <w:r>
              <w:br/>
              <w:t xml:space="preserve"> О случаях диареи, связанной с Clostridium difficile, сообщалось в связи с использованием практически всех антибактериальн</w:t>
            </w:r>
            <w:r>
              <w:t xml:space="preserve">ых препаратов, включая линезолид. Тяжесть диареи может варьироваться от легких форм до тяжелых. Лечение антибактериальными препаратами нарушает нормальную микрофлору кишечника, что приводит к </w:t>
            </w:r>
            <w:r>
              <w:lastRenderedPageBreak/>
              <w:t>избыточному росту Clostridium difficile. Clostridium difficile в</w:t>
            </w:r>
            <w:r>
              <w:t>ырабатывает токсины А и В, которые приводят к развитию диареи, связанной с Clostridium difficile. Избыточное количество токсинов, вырабатываемое штаммами Clostridium difficile, может вызвать повышение</w:t>
            </w:r>
            <w:r>
              <w:rPr>
                <w:color w:val="FF0000"/>
              </w:rPr>
              <w:br/>
            </w:r>
            <w:r>
              <w:rPr>
                <w:color w:val="FF0000"/>
              </w:rPr>
              <w:br/>
            </w:r>
            <w:r>
              <w:t>летальности среди пациентов, так как такие инфекции мо</w:t>
            </w:r>
            <w:r>
              <w:t>гут быть устойчивы к противомикробной терапии, а также может потребоваться колоноэктомия. Нельзя применять лекарственные средства, тормозящие перистальтику кишечника.</w:t>
            </w:r>
            <w:r>
              <w:br/>
              <w:t xml:space="preserve"> Возможность развития диареи, связанной с Clostridium difficile, должна рассматриваться у</w:t>
            </w:r>
            <w:r>
              <w:t xml:space="preserve"> всех пациентов с диареей, последовавшей за использованием антибиотиков. Тщательное медицинское наблюдение в течение 2 месяцев необходимо пациентам, перенесшим диарею, связанную с Clostridium difficile, после введения антибактериальных препаратов.</w:t>
            </w:r>
            <w:r>
              <w:br/>
              <w:t xml:space="preserve"> Перифер</w:t>
            </w:r>
            <w:r>
              <w:t>ическая нейропатия и нейропатия зрительного нерва</w:t>
            </w:r>
            <w:r>
              <w:br/>
              <w:t xml:space="preserve"> Сообщалось о периферической нейропатии, а также нейропатии зрительного нерва и неврите зрительного нерва, которые иногда прогрессируют до потери зрения, у пациентов, которые получали лечение линезолидом; э</w:t>
            </w:r>
            <w:r>
              <w:t>ти сообщения имели место в первую очередь у пациентов, получавших лечение на протяжении периодов времени, которые были больше максимальной рекомендованной продолжительности лечения, составляющей 28 дней.</w:t>
            </w:r>
            <w:r>
              <w:br/>
              <w:t xml:space="preserve"> При появлении симптомов ухудшения зрительной функци</w:t>
            </w:r>
            <w:r>
              <w:t>и, таких как изменение остроты зрения, изменение цветового восприятия, затуманенность, дефекты полей зрения, рекомендуется срочно обратиться к офтальмологу для консультации. Следует проводить мониторинг зрительной функции у всех пациентов, принимающих лине</w:t>
            </w:r>
            <w:r>
              <w:t xml:space="preserve">золид в течение </w:t>
            </w:r>
            <w:r>
              <w:lastRenderedPageBreak/>
              <w:t>длительного времени (более 28 дней), а также у всех пациентов с вновь появившимися симптомами зрительных нарушений независимо от продолжительности терапии. В случае развития периферической нейропатии и нейропатии зрительного нерва следует о</w:t>
            </w:r>
            <w:r>
              <w:t>ценить соотношение риск/польза продолжения терапии линезолидом у этих пациентов. Риск развития нейропатии выше, если линезолид применяется у пациентов, которые используют в настоящее время или которые недавно принимали антимикобактериальные препараты для л</w:t>
            </w:r>
            <w:r>
              <w:t>ечения туберкулеза.</w:t>
            </w:r>
            <w:r>
              <w:br/>
              <w:t xml:space="preserve"> Рабдомиолиз</w:t>
            </w:r>
            <w:r>
              <w:br/>
              <w:t xml:space="preserve"> Сообщалось о случаях рабдомиолиза при применении линезолида (см. раздел 4.8). Если наблюдаются признаки или симптомы рабдомиолиза, прием линезолида следует прекратить и начать соответствующую терапию.</w:t>
            </w:r>
            <w:r>
              <w:br/>
              <w:t xml:space="preserve"> Лактоацидоз</w:t>
            </w:r>
            <w:r>
              <w:br/>
              <w:t xml:space="preserve"> В связи</w:t>
            </w:r>
            <w:r>
              <w:t xml:space="preserve"> с применением линезолида сообщалось о лактоацидозе. Пациенты, у которых на фоне приема линезолида возникает повторная тошнота или рвота, боль в животе, необъяснимый ацидоз или отмечается снижение концентрации гидрокарбонат-анионов, требуют тщательного наб</w:t>
            </w:r>
            <w:r>
              <w:t>людения со стороны врача.</w:t>
            </w:r>
            <w:r>
              <w:br/>
              <w:t xml:space="preserve"> Митохондриальная дисфункция</w:t>
            </w:r>
            <w:r>
              <w:br/>
              <w:t xml:space="preserve"> Линезолид ингибирует синтез белка митохондрий. Побочные эффекты, такие как лактоацидоз, анемия и нейропатия (периферическая или зрительного нерва), могут возникнуть в результате этого торможения; эти </w:t>
            </w:r>
            <w:r>
              <w:t>эффекты являются более распространенными, когда препарат используется больше, чем 28 дней.</w:t>
            </w:r>
            <w:r>
              <w:br/>
            </w:r>
            <w:r>
              <w:rPr>
                <w:color w:val="FF0000"/>
              </w:rPr>
              <w:t xml:space="preserve"> </w:t>
            </w:r>
            <w:r w:rsidRPr="00655BDA">
              <w:rPr>
                <w:color w:val="FF0000"/>
                <w:highlight w:val="yellow"/>
              </w:rPr>
              <w:t>Судороги</w:t>
            </w:r>
            <w:r w:rsidRPr="00655BDA">
              <w:rPr>
                <w:highlight w:val="yellow"/>
              </w:rPr>
              <w:br/>
              <w:t xml:space="preserve"> С</w:t>
            </w:r>
            <w:r w:rsidRPr="00655BDA">
              <w:rPr>
                <w:color w:val="FF0000"/>
                <w:highlight w:val="yellow"/>
              </w:rPr>
              <w:t>ообщалось о с</w:t>
            </w:r>
            <w:r w:rsidRPr="00655BDA">
              <w:rPr>
                <w:highlight w:val="yellow"/>
              </w:rPr>
              <w:t>удорог</w:t>
            </w:r>
            <w:r w:rsidRPr="00655BDA">
              <w:rPr>
                <w:color w:val="FF0000"/>
                <w:highlight w:val="yellow"/>
              </w:rPr>
              <w:t xml:space="preserve">ах у пациентов, принимавших линезолид, при этом в большинстве случаев в анамнезе </w:t>
            </w:r>
            <w:r w:rsidRPr="00655BDA">
              <w:rPr>
                <w:color w:val="FF0000"/>
                <w:highlight w:val="yellow"/>
              </w:rPr>
              <w:lastRenderedPageBreak/>
              <w:t>имелось указание на судороги или наличие факторов рис</w:t>
            </w:r>
            <w:r w:rsidRPr="00655BDA">
              <w:rPr>
                <w:color w:val="FF0000"/>
                <w:highlight w:val="yellow"/>
              </w:rPr>
              <w:t>ка их развития.</w:t>
            </w:r>
            <w:r>
              <w:br/>
              <w:t xml:space="preserve"> У пациентов необходимо собрать подробный анамнез, касающийся предшествующих эпизодов судорог.</w:t>
            </w:r>
            <w:r>
              <w:br/>
              <w:t xml:space="preserve"> Ингибиторы моноаминоксидазы</w:t>
            </w:r>
            <w:r>
              <w:br/>
              <w:t xml:space="preserve"> Линезолид является обратимым неселективным ингибитором моноаминоксидазы (МАО); однако в дозах, применяемых для анти</w:t>
            </w:r>
            <w:r>
              <w:t>бактериальной терапии, он не проявляет антидепрессантный эффект. Имеются очень ограниченные данные из исследований лекарственных взаимодействий и в отношении безопасности линезолида при применении у пациентов с основными заболеваниями и/или при одновременн</w:t>
            </w:r>
            <w:r>
              <w:t>ом применении лекарственных препаратов, которые могут подвергнуть их риску, обусловленному ингибированием МАО. Следовательно, применение линезолида не рекомендуется в этих обстоятельствах, кроме случаев, когда возможно проведение тщательного наблюдения и м</w:t>
            </w:r>
            <w:r>
              <w:t>ониторинга пациента, получающего препарат (см. разделы 4.3, 4.5).</w:t>
            </w:r>
            <w:r>
              <w:br/>
              <w:t xml:space="preserve"> Серотониновый синдром</w:t>
            </w:r>
            <w:r>
              <w:br/>
              <w:t xml:space="preserve"> Сообщалось о спонтанных случаях развития серотонинового синдрома, связанного с одновременным применением линезолида и серотонинергических препаратов, включая антидепр</w:t>
            </w:r>
            <w:r>
              <w:t>ессанты, такие как селективные ингибиторы обратного захвата серотонина (СИОЗС) и опиоиды (см. разделы 4.3, 4.5). При необходимости применения препарата в сочетании с селективными ингибиторами обратного захвата серотонина следует постоянно наблюдать за паци</w:t>
            </w:r>
            <w:r>
              <w:t>ентами с целью выявления признаков и симптомов серотонинового синдрома, таких как нарушение когнитивной функции, гиперпирексия, гиперрефлексия и нарушение координации движений.</w:t>
            </w:r>
            <w:r>
              <w:br/>
            </w:r>
            <w:r>
              <w:lastRenderedPageBreak/>
              <w:t xml:space="preserve"> В случае появления данных симптомов следует отменить один или оба принимаемых </w:t>
            </w:r>
            <w:r>
              <w:t xml:space="preserve">препарата. При прекращении приема серотонинергического средства могут наблюдаться симптомы синдрома </w:t>
            </w:r>
            <w:r>
              <w:rPr>
                <w:color w:val="FF0000"/>
              </w:rPr>
              <w:t>отмены.</w:t>
            </w:r>
            <w:r>
              <w:rPr>
                <w:color w:val="FF0000"/>
              </w:rPr>
              <w:br/>
              <w:t xml:space="preserve"> Одновременное применение линезолида и бупренорфина (отдельно или в комбинации с налоксоном) также может привести к развитию серотонинового синдрома</w:t>
            </w:r>
            <w:r>
              <w:rPr>
                <w:color w:val="FF0000"/>
              </w:rPr>
              <w:t>. Если такое совместное лечение является клинически обоснованным, следует обеспечить тщательный</w:t>
            </w:r>
            <w:r>
              <w:rPr>
                <w:color w:val="FF0000"/>
              </w:rPr>
              <w:br/>
            </w:r>
            <w:r>
              <w:rPr>
                <w:color w:val="FF0000"/>
              </w:rPr>
              <w:br/>
              <w:t>контроль за состоянием пациентов, особенно в начале лечения и при повышениях дозы (см. раздел 4.5)</w:t>
            </w:r>
            <w:r>
              <w:t>.</w:t>
            </w:r>
            <w:r>
              <w:br/>
              <w:t xml:space="preserve"> Гипонатриемия</w:t>
            </w:r>
            <w:r>
              <w:br/>
              <w:t xml:space="preserve"> У некоторых пациентов, получавших линезолид</w:t>
            </w:r>
            <w:r>
              <w:t>, наблюдались гипонатриемия и/или синдром неадекватной секреции антидиуретического гормона (SIADH). Рекомендуется регулярно контролировать уровень натрия в сыворотке крови у пожилых людей, у пациентов, принимающих диуретики, и у других пациентов с риском г</w:t>
            </w:r>
            <w:r>
              <w:t>ипонатриемии.</w:t>
            </w:r>
            <w:r>
              <w:br/>
              <w:t xml:space="preserve"> Окрашивание зубной эмали</w:t>
            </w:r>
            <w:r>
              <w:br/>
              <w:t xml:space="preserve"> Сообщалось о случаях обратимого поверхностного изменения окрашивания зубной эмалипри использовании линезолида. Данные изменения окрашивания удалялись посредством профессионального очищения зубов.</w:t>
            </w:r>
            <w:r>
              <w:br/>
              <w:t xml:space="preserve"> Гипогликемия</w:t>
            </w:r>
            <w:r>
              <w:br/>
              <w:t xml:space="preserve"> Сооб</w:t>
            </w:r>
            <w:r>
              <w:t>щалось о случаях симптоматической гипогликемии у пациентов с сахарным диабетом, получавших линезолид одновременно с инсулином или гипогликемическими препаратами.</w:t>
            </w:r>
            <w:r>
              <w:rPr>
                <w:color w:val="FF0000"/>
              </w:rPr>
              <w:br/>
            </w:r>
            <w:r>
              <w:t xml:space="preserve"> </w:t>
            </w:r>
            <w:r w:rsidRPr="00655BDA">
              <w:rPr>
                <w:highlight w:val="yellow"/>
              </w:rPr>
              <w:t xml:space="preserve">Хотя причинно-следственная связь между приемом линезолида и развитием гипогликемии </w:t>
            </w:r>
            <w:r w:rsidRPr="00655BDA">
              <w:rPr>
                <w:color w:val="FF0000"/>
                <w:highlight w:val="yellow"/>
              </w:rPr>
              <w:t xml:space="preserve">не </w:t>
            </w:r>
            <w:r w:rsidRPr="00655BDA">
              <w:rPr>
                <w:color w:val="FF0000"/>
                <w:highlight w:val="yellow"/>
              </w:rPr>
              <w:t>установлена, пациентов с сахарным диабетом необходимо предупре</w:t>
            </w:r>
            <w:r w:rsidRPr="00655BDA">
              <w:rPr>
                <w:highlight w:val="yellow"/>
              </w:rPr>
              <w:t>ж</w:t>
            </w:r>
            <w:r w:rsidRPr="00655BDA">
              <w:rPr>
                <w:color w:val="FF0000"/>
                <w:highlight w:val="yellow"/>
              </w:rPr>
              <w:t xml:space="preserve">дать о </w:t>
            </w:r>
            <w:r w:rsidRPr="00655BDA">
              <w:rPr>
                <w:color w:val="FF0000"/>
                <w:highlight w:val="yellow"/>
              </w:rPr>
              <w:lastRenderedPageBreak/>
              <w:t>возмож</w:t>
            </w:r>
            <w:r w:rsidRPr="00655BDA">
              <w:rPr>
                <w:highlight w:val="yellow"/>
              </w:rPr>
              <w:t>ности развития гипогликемии. В случае возникновения гипогликемии необходима</w:t>
            </w:r>
            <w:r w:rsidRPr="00655BDA">
              <w:rPr>
                <w:color w:val="FF0000"/>
                <w:highlight w:val="yellow"/>
              </w:rPr>
              <w:t xml:space="preserve"> коррек</w:t>
            </w:r>
            <w:r w:rsidRPr="00655BDA">
              <w:rPr>
                <w:highlight w:val="yellow"/>
              </w:rPr>
              <w:t>ци</w:t>
            </w:r>
            <w:r w:rsidRPr="00655BDA">
              <w:rPr>
                <w:color w:val="FF0000"/>
                <w:highlight w:val="yellow"/>
              </w:rPr>
              <w:t xml:space="preserve">я дозы инсулина </w:t>
            </w:r>
            <w:r w:rsidRPr="00655BDA">
              <w:rPr>
                <w:highlight w:val="yellow"/>
              </w:rPr>
              <w:t>/гипогликемических препаратов или отмена линезолида.</w:t>
            </w:r>
            <w:r>
              <w:br/>
              <w:t xml:space="preserve"> Применение с продуктами пи</w:t>
            </w:r>
            <w:r>
              <w:t>тания, богатыми тирамином</w:t>
            </w:r>
            <w:r>
              <w:br/>
              <w:t xml:space="preserve"> Пациентам следует рекомендовать отказаться от приема больших количеств пищи, содержащей тирамин (такие как красное вино, созревший сыр, некоторые алкогольные напитки, копченое мясо, экстракты дрожжей, продукты из ферментированных</w:t>
            </w:r>
            <w:r>
              <w:t xml:space="preserve"> соевых бобов, например, соевый соус).</w:t>
            </w:r>
            <w:r>
              <w:br/>
              <w:t xml:space="preserve"> Суперинфекция</w:t>
            </w:r>
            <w:r>
              <w:br/>
              <w:t xml:space="preserve"> Клинических исследований, изучавших эффект применения линезолида на нормальную микрофлору организма человека, не проводилось.</w:t>
            </w:r>
            <w:r>
              <w:br/>
              <w:t xml:space="preserve"> Применение антибактериальных препаратов иногда может приводить к усиленном</w:t>
            </w:r>
            <w:r>
              <w:t>у росту невосприимчивых к нему микроорганизмов. В клинических исследованиях было показано, что примерно у 3 % пациентов, получавших рекомендованные дозы линезолида, развивался кандидоз, ассоциированный с приемом антибиотиков. При возникновении суперинфекци</w:t>
            </w:r>
            <w:r>
              <w:t>и на фоне приема линезолида следует принимать соответствующие меры медицинского характера.</w:t>
            </w:r>
            <w:r>
              <w:br/>
              <w:t xml:space="preserve"> Клинические исследования</w:t>
            </w:r>
            <w:r>
              <w:br/>
              <w:t xml:space="preserve"> Безопасность и эффективность применения линезолида длительностью более 28 дней не установлены (по всем показаниям, за исключением туберкул</w:t>
            </w:r>
            <w:r>
              <w:t>еза легких). В контролируемых</w:t>
            </w:r>
            <w:r>
              <w:rPr>
                <w:color w:val="FF0000"/>
              </w:rPr>
              <w:br/>
            </w:r>
            <w:r>
              <w:rPr>
                <w:color w:val="FF0000"/>
              </w:rPr>
              <w:br/>
            </w:r>
            <w:r>
              <w:t xml:space="preserve">клинических исследованиях не принимали участия пациенты с синдромом диабетической стопы, пролежнями или ишемическими нарушениями, тяжелыми ожогами или гангренозными поражениями. Таким образом, опыт </w:t>
            </w:r>
            <w:r>
              <w:lastRenderedPageBreak/>
              <w:t>применения линезолида в тер</w:t>
            </w:r>
            <w:r>
              <w:t>апии этих состояний ограничен.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720D7">
              <w:rPr>
                <w:b/>
                <w:sz w:val="24"/>
              </w:rPr>
              <w:lastRenderedPageBreak/>
              <w:t xml:space="preserve">4.5 </w:t>
            </w:r>
            <w:r w:rsidRPr="00B32A72">
              <w:rPr>
                <w:b/>
                <w:sz w:val="24"/>
              </w:rPr>
              <w:t>Взаимодействие с другими лекарственными препаратами и другие виды взаимодействия</w:t>
            </w:r>
          </w:p>
          <w:p w:rsidR="00573EB3" w:rsidRDefault="00E42A7E">
            <w:r>
              <w:t>Установлено, что изоферменты цитохрома Р450 не участвуют в метаболизме линезолида in vitro. Линезолид не ингибирует и не потенцирует активн</w:t>
            </w:r>
            <w:r>
              <w:t>ость клинически важных</w:t>
            </w:r>
            <w:r>
              <w:rPr>
                <w:color w:val="008000"/>
              </w:rPr>
              <w:br/>
            </w:r>
            <w:r>
              <w:rPr>
                <w:color w:val="008000"/>
              </w:rPr>
              <w:br/>
              <w:t>%SECTION_BREAK%</w:t>
            </w:r>
            <w:r>
              <w:rPr>
                <w:color w:val="008000"/>
              </w:rPr>
              <w:br/>
            </w:r>
            <w:r>
              <w:rPr>
                <w:color w:val="008000"/>
              </w:rPr>
              <w:br/>
            </w:r>
            <w:r>
              <w:t xml:space="preserve">изоферментов цитохрома Р450 (1А2, 2С9, 2С19, 2D6, 2Е1, 3А4). Таким образом, не ожидается СУР450-индуцированного взаимодействия при приеме линезолида. При одновременном применении линезолида и (S)-варфарина, который </w:t>
            </w:r>
            <w:r>
              <w:t>в значительной степени метаболизируется изоферментом CYP2C9, фармакокинетические характеристики варфарина не меняются. Такие препараты, как варфарин и фенитоин, являющиеся субстратами изофермента CYP2C9, можно применять одновременно с линезолидом без корре</w:t>
            </w:r>
            <w:r>
              <w:t>кции дозы.</w:t>
            </w:r>
            <w:r>
              <w:br/>
              <w:t xml:space="preserve"> Ингибиторы моноаминоксидазы</w:t>
            </w:r>
            <w:r>
              <w:br/>
              <w:t xml:space="preserve"> Линезолид является неселективным обратимым ингибитором, поэтому у некоторых пациентов, получающих линезолид, может отмечаться умеренное обратимое усиление прессорного действия псевдоэфедрина и фенилпропаноламина. В </w:t>
            </w:r>
            <w:r>
              <w:t>связи с этим рекомендуется снижать начальные дозы следующих групп препаратов: адреномиметик</w:t>
            </w:r>
            <w:r>
              <w:rPr>
                <w:color w:val="008000"/>
              </w:rPr>
              <w:t>и</w:t>
            </w:r>
            <w:r>
              <w:t xml:space="preserve"> (например, псевдоэфедрин, фенилпропаноламин, эпинефрин, норэпинефрин, добутамин), дофаминомиметик</w:t>
            </w:r>
            <w:r>
              <w:rPr>
                <w:color w:val="008000"/>
              </w:rPr>
              <w:t>и</w:t>
            </w:r>
            <w:r>
              <w:t xml:space="preserve"> (например, дофамин), и в дальнейшем осуществлять подбор дозы тит</w:t>
            </w:r>
            <w:r>
              <w:t>рованием.</w:t>
            </w:r>
            <w:r>
              <w:br/>
            </w:r>
            <w:r>
              <w:lastRenderedPageBreak/>
              <w:t xml:space="preserve"> В исследованиях I, II и III фазы не отмечалось развития серотонинового синдрома у пациентов, получавших линезолид совместно с серотонинергическими препаратами.</w:t>
            </w:r>
            <w:r>
              <w:br/>
              <w:t xml:space="preserve"> Сообщалось об очень редких спонтанных случаях развития серотонинового синдрома при о</w:t>
            </w:r>
            <w:r>
              <w:t>дновременном применении линезолида и серотонинергических препаратов (см. разделы 4.3, 4.4).</w:t>
            </w:r>
            <w:r>
              <w:br/>
              <w:t>При одновременном применении с азтреонамом и гентамицином изменения фармакокинетики линезолида не отмечалось.</w:t>
            </w:r>
            <w:r>
              <w:br/>
              <w:t xml:space="preserve"> Рифампицин вызывал снижение Сmax и AUC линезолида в с</w:t>
            </w:r>
            <w:r>
              <w:t>реднем на 21 % и 32 % соответственно.</w:t>
            </w:r>
          </w:p>
        </w:tc>
        <w:tc>
          <w:tcPr>
            <w:tcW w:w="7280" w:type="dxa"/>
          </w:tcPr>
          <w:p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720D7">
              <w:rPr>
                <w:b/>
                <w:sz w:val="24"/>
              </w:rPr>
              <w:lastRenderedPageBreak/>
              <w:t xml:space="preserve">4.5 </w:t>
            </w:r>
            <w:r w:rsidRPr="00B32A72">
              <w:rPr>
                <w:b/>
                <w:sz w:val="24"/>
              </w:rPr>
              <w:t>Взаимодействие с другими лекарственными препаратами и другие виды взаимодействия</w:t>
            </w:r>
          </w:p>
          <w:p w:rsidR="00573EB3" w:rsidRDefault="00E42A7E">
            <w:r>
              <w:t xml:space="preserve">Установлено, что изоферменты цитохрома Р450 не участвуют в метаболизме линезолида in vitro. Линезолид не ингибирует и не потенцирует </w:t>
            </w:r>
            <w:r>
              <w:t>активность клинически важныхизоферментов цитохрома Р450 (1А2, 2С9, 2С19, 2D6, 2Е1, 3А4). Таким образом, не ожидается СУР450-индуцированного взаимодействия при приеме линезолида. При одновременном применении линезолида и (S)-варфарина, который в значительно</w:t>
            </w:r>
            <w:r>
              <w:t>й степени метаболизируется изоферментом CYP2C9, фармакокинетические характеристики варфарина не меняются. Такие препараты, как варфарин и фенитоин, являющиеся субстратами изофермента CYP2C9, можно применять одновременно с линезолидом без коррекции дозы.</w:t>
            </w:r>
            <w:r>
              <w:br/>
              <w:t xml:space="preserve"> И</w:t>
            </w:r>
            <w:r>
              <w:t>нгибиторы моноаминоксидазы</w:t>
            </w:r>
            <w:r>
              <w:br/>
              <w:t xml:space="preserve"> Линезолид является неселективным обратимым ингибитором, поэтому у некоторых пациентов, получающих линезолид, может отмечаться умеренное обратимое усиление прессорного действия псевдоэфедрина и фенилпропаноламина. В связи с этим </w:t>
            </w:r>
            <w:r>
              <w:t>рекомендуется снижать начальные дозы следующих групп препаратов: адреномиметик</w:t>
            </w:r>
            <w:r>
              <w:rPr>
                <w:color w:val="FF0000"/>
              </w:rPr>
              <w:t>ов</w:t>
            </w:r>
            <w:r>
              <w:t xml:space="preserve"> (например, псевдоэфедрин, фенилпропаноламин, эпинефрин, норэпинефрин, добутамин), дофаминомиметик</w:t>
            </w:r>
            <w:r>
              <w:rPr>
                <w:color w:val="FF0000"/>
              </w:rPr>
              <w:t>ов</w:t>
            </w:r>
            <w:r>
              <w:t xml:space="preserve"> (например, дофамин), и в дальнейшем осуществлять подбор дозы титрованием.</w:t>
            </w:r>
            <w:r>
              <w:br/>
              <w:t xml:space="preserve"> </w:t>
            </w:r>
            <w:r>
              <w:t>В исследованиях I, II и III фазы не отмечалось развития серотонинового синдрома у пациентов, получавших линезолид совместно с серотонинергическими препаратами.</w:t>
            </w:r>
            <w:r>
              <w:br/>
            </w:r>
            <w:r>
              <w:lastRenderedPageBreak/>
              <w:t xml:space="preserve"> Сообщалось об очень редких спонтанных случаях развития серотонинового синдрома при одновременно</w:t>
            </w:r>
            <w:r>
              <w:t>м применении линезолида и серотонинергических препаратов (см. разделы 4.3, 4.4).</w:t>
            </w:r>
            <w:r>
              <w:br/>
            </w:r>
            <w:r>
              <w:rPr>
                <w:color w:val="FF0000"/>
              </w:rPr>
              <w:t>Линезолид следует с осторожностью назначать одновременно с бупренорфином (отдельно или в комбинации с налоксоном), так как повышается риск развития серотонинового синдрома, пр</w:t>
            </w:r>
            <w:r>
              <w:rPr>
                <w:color w:val="FF0000"/>
              </w:rPr>
              <w:t>едставляющего потенциальную угрозу для жизни (см. раздел 4.4).</w:t>
            </w:r>
            <w:r>
              <w:rPr>
                <w:color w:val="FF0000"/>
              </w:rPr>
              <w:br/>
            </w:r>
            <w:r>
              <w:t>При одновременном применении с азтреонамом и гентамицином изменения фармакокинетики линезолида не отмечалось.</w:t>
            </w:r>
            <w:r>
              <w:br/>
              <w:t xml:space="preserve"> Рифампицин вызывал снижение Сmax и AUC линезолида в среднем на 21 % и 32 % соответ</w:t>
            </w:r>
            <w:r>
              <w:t>ственно.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655BDA">
              <w:rPr>
                <w:b/>
                <w:sz w:val="24"/>
              </w:rPr>
              <w:lastRenderedPageBreak/>
              <w:t xml:space="preserve">4.6 </w:t>
            </w:r>
            <w:r w:rsidRPr="00B32A72">
              <w:rPr>
                <w:b/>
                <w:sz w:val="24"/>
              </w:rPr>
              <w:t>Фертильность, беременность и лактация</w:t>
            </w:r>
          </w:p>
          <w:p w:rsidR="00573EB3" w:rsidRDefault="00E42A7E">
            <w:r>
              <w:t>Беременность</w:t>
            </w:r>
            <w:r>
              <w:br/>
              <w:t xml:space="preserve"> Исследований безопасности применения линезолида при беременности не проводилось.</w:t>
            </w:r>
            <w:r>
              <w:br/>
            </w:r>
            <w:commentRangeStart w:id="4"/>
            <w:r w:rsidRPr="00960B5E">
              <w:rPr>
                <w:color w:val="008000"/>
                <w:highlight w:val="yellow"/>
              </w:rPr>
              <w:t xml:space="preserve">Применение </w:t>
            </w:r>
            <w:commentRangeEnd w:id="4"/>
            <w:r w:rsidR="00960B5E">
              <w:rPr>
                <w:rStyle w:val="af4"/>
              </w:rPr>
              <w:commentReference w:id="4"/>
            </w:r>
            <w:r w:rsidRPr="00960B5E">
              <w:rPr>
                <w:color w:val="008000"/>
                <w:highlight w:val="yellow"/>
              </w:rPr>
              <w:t>линезолида при беременности возмо</w:t>
            </w:r>
            <w:r w:rsidRPr="00960B5E">
              <w:rPr>
                <w:highlight w:val="yellow"/>
              </w:rPr>
              <w:t>ж</w:t>
            </w:r>
            <w:r w:rsidRPr="00960B5E">
              <w:rPr>
                <w:color w:val="008000"/>
                <w:highlight w:val="yellow"/>
              </w:rPr>
              <w:t>но только в сл</w:t>
            </w:r>
            <w:r w:rsidRPr="00960B5E">
              <w:rPr>
                <w:highlight w:val="yellow"/>
              </w:rPr>
              <w:t>уч</w:t>
            </w:r>
            <w:r w:rsidRPr="00960B5E">
              <w:rPr>
                <w:color w:val="008000"/>
                <w:highlight w:val="yellow"/>
              </w:rPr>
              <w:t>ае, если предполагаемая польза от терапии для ма</w:t>
            </w:r>
            <w:r w:rsidRPr="00960B5E">
              <w:rPr>
                <w:color w:val="008000"/>
                <w:highlight w:val="yellow"/>
              </w:rPr>
              <w:t>тери превосходит потен</w:t>
            </w:r>
            <w:r w:rsidRPr="00960B5E">
              <w:rPr>
                <w:highlight w:val="yellow"/>
              </w:rPr>
              <w:t>ци</w:t>
            </w:r>
            <w:r w:rsidRPr="00960B5E">
              <w:rPr>
                <w:color w:val="008000"/>
                <w:highlight w:val="yellow"/>
              </w:rPr>
              <w:t>альный риск для плода</w:t>
            </w:r>
            <w:r w:rsidRPr="00960B5E">
              <w:rPr>
                <w:highlight w:val="yellow"/>
              </w:rPr>
              <w:t>.</w:t>
            </w:r>
            <w:r w:rsidRPr="00960B5E">
              <w:rPr>
                <w:color w:val="008000"/>
                <w:highlight w:val="yellow"/>
              </w:rPr>
              <w:br/>
              <w:t xml:space="preserve"> Лактация</w:t>
            </w:r>
            <w:r w:rsidRPr="00960B5E">
              <w:rPr>
                <w:color w:val="008000"/>
                <w:highlight w:val="yellow"/>
              </w:rPr>
              <w:br/>
              <w:t xml:space="preserve"> Неизвестно, выделяется ли линезолид с грудным молоком кормящих женщин, поэтому следует прекратить грудное вскармливание при назначении препарата матери в период лактации</w:t>
            </w:r>
            <w:r>
              <w:rPr>
                <w:color w:val="008000"/>
              </w:rPr>
              <w:t>.</w:t>
            </w:r>
            <w:r>
              <w:rPr>
                <w:color w:val="008000"/>
              </w:rPr>
              <w:br/>
            </w:r>
            <w:r>
              <w:rPr>
                <w:color w:val="008000"/>
              </w:rPr>
              <w:br/>
            </w:r>
            <w:commentRangeStart w:id="5"/>
            <w:r w:rsidRPr="00960B5E">
              <w:rPr>
                <w:color w:val="008000"/>
                <w:highlight w:val="yellow"/>
              </w:rPr>
              <w:t>• 4.7. Влияние на способно</w:t>
            </w:r>
            <w:r w:rsidRPr="00960B5E">
              <w:rPr>
                <w:color w:val="008000"/>
                <w:highlight w:val="yellow"/>
              </w:rPr>
              <w:t>сть управлять транспортными средствами и работать с механизмами</w:t>
            </w:r>
            <w:r w:rsidRPr="00960B5E">
              <w:rPr>
                <w:color w:val="008000"/>
                <w:highlight w:val="yellow"/>
              </w:rPr>
              <w:br/>
            </w:r>
            <w:r w:rsidRPr="00960B5E">
              <w:rPr>
                <w:color w:val="008000"/>
                <w:highlight w:val="yellow"/>
              </w:rPr>
              <w:br/>
              <w:t xml:space="preserve"> Во время лечения линезолидом управлять транспортными средствами, специальной техникой или заниматься </w:t>
            </w:r>
            <w:r w:rsidRPr="00960B5E">
              <w:rPr>
                <w:color w:val="008000"/>
                <w:highlight w:val="yellow"/>
              </w:rPr>
              <w:lastRenderedPageBreak/>
              <w:t>деятельностью, связанной с повышенным риском, не рекомендуется. Пациентов следует предупр</w:t>
            </w:r>
            <w:r w:rsidRPr="00960B5E">
              <w:rPr>
                <w:color w:val="008000"/>
                <w:highlight w:val="yellow"/>
              </w:rPr>
              <w:t>едить о возможности развития головокружения или симптомов нарушения зрения (как описано в разделах 4.4, 4.8).</w:t>
            </w:r>
            <w:commentRangeEnd w:id="5"/>
            <w:r w:rsidR="00960B5E">
              <w:rPr>
                <w:rStyle w:val="af4"/>
              </w:rPr>
              <w:commentReference w:id="5"/>
            </w:r>
          </w:p>
        </w:tc>
        <w:tc>
          <w:tcPr>
            <w:tcW w:w="7280" w:type="dxa"/>
          </w:tcPr>
          <w:p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07116C">
              <w:rPr>
                <w:b/>
                <w:sz w:val="24"/>
              </w:rPr>
              <w:lastRenderedPageBreak/>
              <w:t xml:space="preserve">4.6 </w:t>
            </w:r>
            <w:r w:rsidRPr="00B32A72">
              <w:rPr>
                <w:b/>
                <w:sz w:val="24"/>
              </w:rPr>
              <w:t>Фертильность, беременность и лактация</w:t>
            </w:r>
          </w:p>
          <w:p w:rsidR="00573EB3" w:rsidRDefault="00E42A7E">
            <w:r>
              <w:t>Беременность</w:t>
            </w:r>
            <w:r>
              <w:br/>
              <w:t xml:space="preserve"> Исследований безопасности применения линезолида при беременности не проводилось</w:t>
            </w:r>
            <w:r>
              <w:rPr>
                <w:color w:val="FF0000"/>
              </w:rPr>
              <w:t xml:space="preserve">. </w:t>
            </w:r>
            <w:r w:rsidRPr="00960B5E">
              <w:rPr>
                <w:color w:val="FF0000"/>
                <w:highlight w:val="yellow"/>
              </w:rPr>
              <w:t>Применени</w:t>
            </w:r>
            <w:r w:rsidRPr="00960B5E">
              <w:rPr>
                <w:color w:val="FF0000"/>
                <w:highlight w:val="yellow"/>
              </w:rPr>
              <w:t>е линезолида при беременности возможно только в случае, если предполагаемая</w:t>
            </w:r>
            <w:r w:rsidRPr="00960B5E">
              <w:rPr>
                <w:color w:val="FF0000"/>
                <w:highlight w:val="yellow"/>
              </w:rPr>
              <w:br/>
            </w:r>
            <w:r w:rsidRPr="00960B5E">
              <w:rPr>
                <w:color w:val="FF0000"/>
                <w:highlight w:val="yellow"/>
              </w:rPr>
              <w:br/>
              <w:t>польза от терапии для матери превосходит потенциальный риск для плода</w:t>
            </w:r>
            <w:r w:rsidRPr="00960B5E">
              <w:rPr>
                <w:highlight w:val="yellow"/>
              </w:rPr>
              <w:t>.</w:t>
            </w:r>
            <w:r w:rsidRPr="00960B5E">
              <w:rPr>
                <w:highlight w:val="yellow"/>
              </w:rPr>
              <w:br/>
            </w:r>
            <w:r w:rsidRPr="00960B5E">
              <w:rPr>
                <w:color w:val="FF0000"/>
                <w:highlight w:val="yellow"/>
              </w:rPr>
              <w:t>Лактация</w:t>
            </w:r>
            <w:r w:rsidRPr="00960B5E">
              <w:rPr>
                <w:color w:val="FF0000"/>
                <w:highlight w:val="yellow"/>
              </w:rPr>
              <w:br/>
              <w:t xml:space="preserve"> Неизвестно, выделяется ли линезолид с грудным молоком кормящих </w:t>
            </w:r>
            <w:r w:rsidRPr="00960B5E">
              <w:rPr>
                <w:highlight w:val="yellow"/>
              </w:rPr>
              <w:t>ж</w:t>
            </w:r>
            <w:r w:rsidRPr="00960B5E">
              <w:rPr>
                <w:color w:val="FF0000"/>
                <w:highlight w:val="yellow"/>
              </w:rPr>
              <w:t>енщин, поэтом</w:t>
            </w:r>
            <w:r w:rsidRPr="00960B5E">
              <w:rPr>
                <w:highlight w:val="yellow"/>
              </w:rPr>
              <w:t>у</w:t>
            </w:r>
            <w:r w:rsidRPr="00960B5E">
              <w:rPr>
                <w:color w:val="FF0000"/>
                <w:highlight w:val="yellow"/>
              </w:rPr>
              <w:t xml:space="preserve"> следует прекратить </w:t>
            </w:r>
            <w:r w:rsidRPr="00960B5E">
              <w:rPr>
                <w:color w:val="FF0000"/>
                <w:highlight w:val="yellow"/>
              </w:rPr>
              <w:t>грудное вскармливание при назна</w:t>
            </w:r>
            <w:r w:rsidRPr="00960B5E">
              <w:rPr>
                <w:highlight w:val="yellow"/>
              </w:rPr>
              <w:t>ч</w:t>
            </w:r>
            <w:r w:rsidRPr="00960B5E">
              <w:rPr>
                <w:color w:val="FF0000"/>
                <w:highlight w:val="yellow"/>
              </w:rPr>
              <w:t>ении препарата матери в период лакта</w:t>
            </w:r>
            <w:r w:rsidRPr="00960B5E">
              <w:rPr>
                <w:highlight w:val="yellow"/>
              </w:rPr>
              <w:t>ци</w:t>
            </w:r>
            <w:r w:rsidRPr="00960B5E">
              <w:rPr>
                <w:color w:val="FF0000"/>
                <w:highlight w:val="yellow"/>
              </w:rPr>
              <w:t>и</w:t>
            </w:r>
            <w:r w:rsidRPr="00960B5E">
              <w:rPr>
                <w:highlight w:val="yellow"/>
              </w:rPr>
              <w:t>.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720D7">
              <w:rPr>
                <w:b/>
                <w:sz w:val="24"/>
              </w:rPr>
              <w:lastRenderedPageBreak/>
              <w:t xml:space="preserve">4.7 </w:t>
            </w:r>
            <w:r w:rsidRPr="00B32A72">
              <w:rPr>
                <w:b/>
                <w:sz w:val="24"/>
              </w:rPr>
              <w:t>Влияние на способность управлять транспортными средствами и работать с механизмами</w:t>
            </w:r>
          </w:p>
          <w:p w:rsidR="00573EB3" w:rsidRDefault="00573EB3"/>
        </w:tc>
        <w:tc>
          <w:tcPr>
            <w:tcW w:w="7280" w:type="dxa"/>
          </w:tcPr>
          <w:p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720D7">
              <w:rPr>
                <w:b/>
                <w:sz w:val="24"/>
              </w:rPr>
              <w:t xml:space="preserve">4.7 </w:t>
            </w:r>
            <w:r w:rsidRPr="00B32A72">
              <w:rPr>
                <w:b/>
                <w:sz w:val="24"/>
              </w:rPr>
              <w:t>Влияние на способность управлять транспортными средствами и работать с механизмами</w:t>
            </w:r>
          </w:p>
          <w:p w:rsidR="00573EB3" w:rsidRDefault="00E42A7E">
            <w:r>
              <w:rPr>
                <w:color w:val="FF0000"/>
              </w:rPr>
              <w:t xml:space="preserve">Во </w:t>
            </w:r>
            <w:r>
              <w:rPr>
                <w:color w:val="FF0000"/>
              </w:rPr>
              <w:t>время лечения линезолидом управлять транспортными средствами, специальной техникой или заниматься деятельностью, связанной с повышенным риском, не рекомендуется. Пациентов следует предупредить о возможности развития головокружения или симптомов нарушения з</w:t>
            </w:r>
            <w:r>
              <w:rPr>
                <w:color w:val="FF0000"/>
              </w:rPr>
              <w:t>рения (как описано в разделах 4.4, 4.8).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655BDA">
              <w:rPr>
                <w:b/>
                <w:sz w:val="24"/>
              </w:rPr>
              <w:t xml:space="preserve">4.8 </w:t>
            </w:r>
            <w:r w:rsidRPr="00B32A72">
              <w:rPr>
                <w:b/>
                <w:sz w:val="24"/>
              </w:rPr>
              <w:t>Нежелательные реакции</w:t>
            </w:r>
          </w:p>
          <w:p w:rsidR="00573EB3" w:rsidRDefault="00E42A7E">
            <w:r>
              <w:t>Резюме профиля безопасности</w:t>
            </w:r>
            <w:r>
              <w:br/>
              <w:t xml:space="preserve"> Нежелательные явления, связанные с приемом линезолида, бывают обычно легкой или средней степени выраженности. Чаще остальных отмечаются диарея, головная боль, </w:t>
            </w:r>
            <w:r>
              <w:t>тошнота, рвота.</w:t>
            </w:r>
            <w:r>
              <w:br/>
              <w:t xml:space="preserve"> Резюме нежелательных реакций</w:t>
            </w:r>
            <w:r>
              <w:br/>
              <w:t xml:space="preserve"> Частота побочных эффектов, приведенных ниже, определялась соответственно следующей классификации Всемирной организации здравоохранения: очень часто (&gt; 1/10), часто (от &gt; 1/100 до &lt; 1/10), нечасто (от &gt; 1/1000 </w:t>
            </w:r>
            <w:r>
              <w:t>до &lt; 1/100), редко (от &gt; 1/10000 до &lt; 1/1000), очень редко (&lt; 1/10000), частота неизвестна (по имеющимся данным оценить частоту развития невозможно).</w:t>
            </w:r>
            <w:r>
              <w:br/>
              <w:t xml:space="preserve"> Взрослые пациенты</w:t>
            </w:r>
            <w:r>
              <w:br/>
              <w:t xml:space="preserve"> Инфекции и инвазии</w:t>
            </w:r>
            <w:r>
              <w:br/>
              <w:t xml:space="preserve"> Часто-кандидоз (в том числе кандидоз полости рта, вагинальный канд</w:t>
            </w:r>
            <w:r>
              <w:t>идоз), грибковые инфекции; нечасто-вагинит; редко-колит, вызванный применением антибиотиков (в том числе псевдомембранозный колит)*.</w:t>
            </w:r>
            <w:r>
              <w:br/>
            </w:r>
            <w:r>
              <w:lastRenderedPageBreak/>
              <w:t xml:space="preserve"> Нарушения со стороны крови и лимфатической системы</w:t>
            </w:r>
            <w:r>
              <w:br/>
              <w:t xml:space="preserve"> Часто-тромбоцитопения*, анемия*; нечасто-панцитопения*, лейкопения*, н</w:t>
            </w:r>
            <w:r>
              <w:t>ейтропения, эозинофилия; редко-сидеробластная анемия*; частота неизвестна-миелосупрессия*.</w:t>
            </w:r>
            <w:r>
              <w:rPr>
                <w:color w:val="008000"/>
              </w:rPr>
              <w:br/>
            </w:r>
            <w:r>
              <w:t xml:space="preserve"> Нарушения со стороны иммунной системы</w:t>
            </w:r>
            <w:r>
              <w:br/>
              <w:t xml:space="preserve"> Редко-анафилаксия*.</w:t>
            </w:r>
            <w:r>
              <w:br/>
              <w:t xml:space="preserve"> Нарушения со стороны метаболизма и питания</w:t>
            </w:r>
            <w:r>
              <w:br/>
              <w:t xml:space="preserve"> Нечасто-гипонатриемия; редко-лактоацидоз*.</w:t>
            </w:r>
            <w:r>
              <w:br/>
              <w:t xml:space="preserve"> Психические нару</w:t>
            </w:r>
            <w:r>
              <w:t>шения</w:t>
            </w:r>
            <w:r>
              <w:br/>
              <w:t xml:space="preserve"> Часто-бессонница.</w:t>
            </w:r>
            <w:r>
              <w:br/>
              <w:t xml:space="preserve"> Нарушения со стороны нервной системы</w:t>
            </w:r>
            <w:r>
              <w:br/>
              <w:t xml:space="preserve"> Часто-головная боль, головокружение; нечасто-судороги*, периферическая нейропатия*, изменение вкусовых ощущений, гипостезия, парестезия; частота неизвестна-серотониновый синдром.</w:t>
            </w:r>
            <w:r>
              <w:br/>
              <w:t xml:space="preserve"> Нарушения со</w:t>
            </w:r>
            <w:r>
              <w:t xml:space="preserve"> стороны органа зрения</w:t>
            </w:r>
            <w:r>
              <w:br/>
            </w:r>
            <w:r>
              <w:rPr>
                <w:color w:val="008000"/>
              </w:rPr>
              <w:br/>
            </w:r>
            <w:r>
              <w:t xml:space="preserve"> Нечасто-нейропатия зрительного нерва*, затуманенное зрение*; редко-появление дефектов полей зрения*; частота неизвестна-неврит зрительного нерва*, потеря зрения*, изменение остроты зрения*, изменение цветового зрения*.</w:t>
            </w:r>
            <w:r>
              <w:br/>
              <w:t xml:space="preserve"> Нарушения с</w:t>
            </w:r>
            <w:r>
              <w:t>о стороны органа слуха и лабиринта</w:t>
            </w:r>
            <w:r>
              <w:br/>
              <w:t xml:space="preserve"> Нечасто-звон в ушах.</w:t>
            </w:r>
            <w:r>
              <w:br/>
              <w:t xml:space="preserve"> Нарушения со стороны сердца</w:t>
            </w:r>
            <w:r>
              <w:br/>
              <w:t xml:space="preserve"> Нечасто-аритмия (тахикардия).</w:t>
            </w:r>
            <w:r>
              <w:br/>
              <w:t xml:space="preserve"> Нарушения со стороны сосудов</w:t>
            </w:r>
            <w:r>
              <w:br/>
              <w:t xml:space="preserve"> Часто-повышение артериального давления; нечасто-транзиторная ишемическая атака,</w:t>
            </w:r>
            <w:r>
              <w:rPr>
                <w:color w:val="008000"/>
              </w:rPr>
              <w:br/>
            </w:r>
            <w:r>
              <w:rPr>
                <w:color w:val="008000"/>
              </w:rPr>
              <w:br/>
            </w:r>
            <w:r>
              <w:t>флебит, тромбофлебит.</w:t>
            </w:r>
            <w:r>
              <w:br/>
              <w:t xml:space="preserve"> Желу</w:t>
            </w:r>
            <w:r>
              <w:t>дочно-кишечные нарушения</w:t>
            </w:r>
            <w:r>
              <w:br/>
            </w:r>
            <w:r>
              <w:lastRenderedPageBreak/>
              <w:t xml:space="preserve"> Часто-диарея, тошнота, рвота, локализованная или генерализованная боль в области живота, включая спазмы в животе, запор, диспепсия; нечасто-спазмы в животе #, вздутие живота, изменение цвета языка*, панкреатит, гастрит, сухость во</w:t>
            </w:r>
            <w:r>
              <w:t xml:space="preserve"> рту, глоссит, жидкий стул, стоматит, прочие нарушения состояния языка; редко-поверхностное изменение цвета зубов*.</w:t>
            </w:r>
            <w:r>
              <w:br/>
              <w:t xml:space="preserve"> Нарушения со стороны печени и желчевыводящих путей</w:t>
            </w:r>
            <w:r>
              <w:br/>
              <w:t xml:space="preserve"> Часто-изменение результатов функциональных тестов печени, повышение активности ферменто</w:t>
            </w:r>
            <w:r>
              <w:t xml:space="preserve">в печени (в том числе аланинаминотрансферазы </w:t>
            </w:r>
            <w:r>
              <w:rPr>
                <w:color w:val="008000"/>
              </w:rPr>
              <w:t>(</w:t>
            </w:r>
            <w:r>
              <w:t>АЛТ</w:t>
            </w:r>
            <w:r>
              <w:rPr>
                <w:color w:val="008000"/>
              </w:rPr>
              <w:t>)</w:t>
            </w:r>
            <w:r>
              <w:t xml:space="preserve">, аспартатаминотрансферазы </w:t>
            </w:r>
            <w:r>
              <w:rPr>
                <w:color w:val="008000"/>
              </w:rPr>
              <w:t>(</w:t>
            </w:r>
            <w:r>
              <w:t>ACT</w:t>
            </w:r>
            <w:r>
              <w:rPr>
                <w:color w:val="008000"/>
              </w:rPr>
              <w:t>)</w:t>
            </w:r>
            <w:r>
              <w:t xml:space="preserve">, щелочной фосфатазы </w:t>
            </w:r>
            <w:r>
              <w:rPr>
                <w:color w:val="008000"/>
              </w:rPr>
              <w:t>(</w:t>
            </w:r>
            <w:r>
              <w:t>ЩФ</w:t>
            </w:r>
            <w:r>
              <w:rPr>
                <w:color w:val="008000"/>
              </w:rPr>
              <w:t>)</w:t>
            </w:r>
            <w:r>
              <w:t>); нечасто-повышение концентрации общего билирубина.</w:t>
            </w:r>
            <w:r>
              <w:br/>
              <w:t xml:space="preserve"> Нарушения со стороны кожи и подкожных тканей</w:t>
            </w:r>
            <w:r>
              <w:br/>
              <w:t xml:space="preserve"> Часто-зуд, сыпь*; нечасто-буллезные поражения кож</w:t>
            </w:r>
            <w:r>
              <w:t>и, тяжелые кожные нежелательные</w:t>
            </w:r>
            <w:r>
              <w:rPr>
                <w:color w:val="008000"/>
              </w:rPr>
              <w:br/>
            </w:r>
            <w:r>
              <w:rPr>
                <w:color w:val="008000"/>
              </w:rPr>
              <w:br/>
            </w:r>
            <w:r>
              <w:t>реакции, ангионевротический отек*, крапивница, дерматит, повышенная потливость; редко</w:t>
            </w:r>
            <w:r>
              <w:br/>
            </w:r>
            <w:r>
              <w:br/>
              <w:t>• васкулит при гиперчувствительности*, токсический эпидермальный некролиз*, синдром</w:t>
            </w:r>
            <w:r>
              <w:rPr>
                <w:color w:val="008000"/>
              </w:rPr>
              <w:br/>
            </w:r>
            <w:r>
              <w:t xml:space="preserve"> Стивенса-Джонсона*, алопеция.</w:t>
            </w:r>
            <w:r>
              <w:br/>
              <w:t xml:space="preserve"> Нарушения со стороны</w:t>
            </w:r>
            <w:r>
              <w:t xml:space="preserve"> мышечной, скелетной и соединительной ткани</w:t>
            </w:r>
            <w:r>
              <w:br/>
              <w:t xml:space="preserve"> Редко-рабдомиолиз* (см. раздел 4.4).</w:t>
            </w:r>
            <w:r>
              <w:br/>
              <w:t xml:space="preserve"> Нарушения со стороны почек и мочевыводящих путей</w:t>
            </w:r>
            <w:r>
              <w:br/>
              <w:t xml:space="preserve"> Часто-повышение концентрации мочевины в крови; нечасто-почечная недостаточность, повышение концентрации креатинина в плазме</w:t>
            </w:r>
            <w:r>
              <w:t xml:space="preserve"> крови, полиурия.</w:t>
            </w:r>
            <w:r>
              <w:br/>
              <w:t xml:space="preserve"> Нарушения со стороны репродуктивной системы и молочных желез</w:t>
            </w:r>
            <w:r>
              <w:br/>
            </w:r>
            <w:r>
              <w:lastRenderedPageBreak/>
              <w:t xml:space="preserve"> Нечасто-нарушения со стороны влагалища и вульвы.</w:t>
            </w:r>
            <w:r>
              <w:br/>
              <w:t xml:space="preserve"> Общие нарушения и реакции в месте введения</w:t>
            </w:r>
            <w:r>
              <w:br/>
              <w:t xml:space="preserve"> Часто-лихорадка, локализованная боль; нечасто-озноб, утомляемость, жажда.</w:t>
            </w:r>
            <w:r>
              <w:br/>
            </w:r>
            <w:r>
              <w:rPr>
                <w:color w:val="008000"/>
              </w:rPr>
              <w:br/>
            </w:r>
            <w:r>
              <w:t xml:space="preserve"> Лабор</w:t>
            </w:r>
            <w:r>
              <w:t>аторные и инструментальные данные</w:t>
            </w:r>
            <w:r>
              <w:br/>
              <w:t xml:space="preserve"> Часто-отклонение от нормы показателей функции печени, повышение количества нейтрофилов, эозинофилов, снижение гемоглобина, гематокрита или числа эритроцитов, повышение или снижение количества тромбоцитов или лейкоцитов, п</w:t>
            </w:r>
            <w:r>
              <w:t>овышение активности лактатдегидрогеназы, креатинкиназы, липазы, амилазы, повышение концентрации глюкозы не натощак, снижение общего белка, альбумина, натрия или кальция, повышение или снижение калия или гидрокарбонатов; нечасто-отклонение от нормы гематоло</w:t>
            </w:r>
            <w:r>
              <w:t>гических показателей, повышение содержания натрия или кальция в плазме крови, снижение концентрации глюкозы не натощак, повышение или снижение хлоридов крови, повышение количества ретикулоцитов, снижение количества нейтрофилов.</w:t>
            </w:r>
            <w:r>
              <w:br/>
            </w:r>
            <w:r>
              <w:br/>
              <w:t>* Нежелательные реакции, вы</w:t>
            </w:r>
            <w:r>
              <w:t>явленные в пострегистрационном периоде</w:t>
            </w:r>
            <w:r>
              <w:br/>
              <w:t>- # Нежелательные реакции «спазмы в животе» определяются по классификации MedDRA как термин нижнего уровня, а не предпочтительный термин.</w:t>
            </w:r>
            <w:r>
              <w:br/>
              <w:t xml:space="preserve"> Следующие побочные эффекты при применении линезолида в редких случаях относили</w:t>
            </w:r>
            <w:r>
              <w:t>сь к категории серьезных: локализованная боль в области живота, транзиторная ишемическая атака, артериальная гипертензия.</w:t>
            </w:r>
            <w:r>
              <w:br/>
            </w:r>
            <w:r>
              <w:rPr>
                <w:color w:val="008000"/>
              </w:rPr>
              <w:br/>
              <w:t>•</w:t>
            </w:r>
            <w:r>
              <w:t xml:space="preserve"> В контролируемых клинических исследованиях, в которых </w:t>
            </w:r>
            <w:r>
              <w:lastRenderedPageBreak/>
              <w:t>линезолид применялся максимум 28 дней, только у 2 % пациентов развивалась ане</w:t>
            </w:r>
            <w:r>
              <w:t>мия. При применении незарегистрированного препарата в рамках программ раннего доступа для пациентов с жизнеугрожающими инфекциями</w:t>
            </w:r>
            <w:r>
              <w:rPr>
                <w:color w:val="008000"/>
              </w:rPr>
              <w:t>,</w:t>
            </w:r>
            <w:r>
              <w:t xml:space="preserve"> у 2,5 % (33/1326) пациентов, которые получали линезолид ≤ 28 дней, развивалась анемия, в то время как при применении линезоли</w:t>
            </w:r>
            <w:r>
              <w:t>да больше 28 дней</w:t>
            </w:r>
            <w:r>
              <w:rPr>
                <w:color w:val="008000"/>
              </w:rPr>
              <w:t>,</w:t>
            </w:r>
            <w:r>
              <w:t xml:space="preserve"> анемия развивалась у 12,3 % (53/430) пациентов.</w:t>
            </w:r>
            <w:r>
              <w:br/>
              <w:t xml:space="preserve"> Соотношение случаев развития анемии, требующих переливания крови, составило 9 % среди пациентов, получающих линезолид ≤ 28 дней (3/33) и 15 % (8/53) в тех случаях, когда линезолид применял</w:t>
            </w:r>
            <w:r>
              <w:t>и более 28 дней.</w:t>
            </w:r>
            <w:r>
              <w:br/>
              <w:t xml:space="preserve"> Прочие особые популяции</w:t>
            </w:r>
            <w:r>
              <w:br/>
              <w:t xml:space="preserve"> В ходе проведения многоцентрового, проспективного, рандомизированного, двойного слепого, плацебо-контролируемого исследования по оценке эффективности и переносимости режима химиотерапии, включающего препарат линез</w:t>
            </w:r>
            <w:r>
              <w:t>олид, у пациентов с туберкулезом легких с множественной лекарственной устойчивостью M. tuberculosis</w:t>
            </w:r>
            <w:r>
              <w:rPr>
                <w:color w:val="008000"/>
              </w:rPr>
              <w:t>,</w:t>
            </w:r>
            <w:r>
              <w:t xml:space="preserve"> были выявлены следующие нежелательные реакции.</w:t>
            </w:r>
            <w:r>
              <w:br/>
              <w:t xml:space="preserve"> Нарушения со стороны крови и лимфатической системы</w:t>
            </w:r>
            <w:r>
              <w:br/>
              <w:t xml:space="preserve"> Частота неизвестна-анемия, эозинофилия.</w:t>
            </w:r>
            <w:r>
              <w:br/>
              <w:t xml:space="preserve"> Эндокринные на</w:t>
            </w:r>
            <w:r>
              <w:t>рушения</w:t>
            </w:r>
            <w:r>
              <w:br/>
              <w:t xml:space="preserve"> Частота неизвестна-гипотиреоз, повышение уровня ТТГ.</w:t>
            </w:r>
            <w:r>
              <w:br/>
            </w:r>
            <w:r>
              <w:rPr>
                <w:color w:val="008000"/>
              </w:rPr>
              <w:br/>
            </w:r>
            <w:r>
              <w:t xml:space="preserve"> Психические нарушения</w:t>
            </w:r>
            <w:r>
              <w:br/>
              <w:t xml:space="preserve"> Частота неизвестна-бессонница, пароксизмальное тревожное расстройство, плаксивость, тревога, расстройство эмоций и поведения.</w:t>
            </w:r>
            <w:r>
              <w:br/>
              <w:t xml:space="preserve"> Нарушения со стороны нервной системы</w:t>
            </w:r>
            <w:r>
              <w:br/>
              <w:t xml:space="preserve"> Част</w:t>
            </w:r>
            <w:r>
              <w:t>ота неизвестна-головная боль, судороги, тремор рук, чувство онемения в конечности,</w:t>
            </w:r>
            <w:r>
              <w:rPr>
                <w:color w:val="008000"/>
              </w:rPr>
              <w:br/>
            </w:r>
            <w:r>
              <w:rPr>
                <w:color w:val="008000"/>
              </w:rPr>
              <w:lastRenderedPageBreak/>
              <w:br/>
            </w:r>
            <w:r>
              <w:t>невралгия тройничного нерва, генерализованный судорожный припадок, потеря сознания.</w:t>
            </w:r>
            <w:r>
              <w:br/>
              <w:t xml:space="preserve"> Нарушения со стороны органа слуха и лабиринта</w:t>
            </w:r>
            <w:r>
              <w:br/>
              <w:t xml:space="preserve"> Частота неизвестна-снижение слуха, звон </w:t>
            </w:r>
            <w:r>
              <w:t>в ушах.</w:t>
            </w:r>
            <w:r>
              <w:br/>
              <w:t xml:space="preserve"> Нарушения со стороны сердца</w:t>
            </w:r>
            <w:r>
              <w:br/>
              <w:t xml:space="preserve"> Частота неизвестна-синусовая аритмия, наджелудочковая экстрасистолия, снижение сегмента ST на электрокардиограмме.</w:t>
            </w:r>
            <w:r>
              <w:br/>
              <w:t xml:space="preserve"> Нарушения со стороны дыхательной системы, органов грудной клетки и средостения</w:t>
            </w:r>
            <w:r>
              <w:br/>
              <w:t xml:space="preserve"> Частота неизвестна-каш</w:t>
            </w:r>
            <w:r>
              <w:t>ель с мокротой, катаральный ринофарингит.</w:t>
            </w:r>
            <w:r>
              <w:br/>
              <w:t xml:space="preserve"> Желудочно-кишечные нарушения</w:t>
            </w:r>
            <w:r>
              <w:br/>
              <w:t xml:space="preserve"> Частота неизвестна-боль в эпигастрии, диспепсические явления, тошнота, рвота, эрозивный гастрит.</w:t>
            </w:r>
            <w:r>
              <w:br/>
              <w:t xml:space="preserve"> Нарушения со стороны печени и желчевыводящих путей</w:t>
            </w:r>
            <w:r>
              <w:br/>
              <w:t xml:space="preserve"> Частота неизвестна-повышение акти</w:t>
            </w:r>
            <w:r>
              <w:t>вности ферментов печени, гепатотоксичность.</w:t>
            </w:r>
            <w:r>
              <w:br/>
              <w:t xml:space="preserve"> Нарушения со стороны кожи и подкожных тканей</w:t>
            </w:r>
            <w:r>
              <w:br/>
              <w:t xml:space="preserve"> Частота неизвестна-зуд кожных покровов, медикаментозное акне.</w:t>
            </w:r>
            <w:r>
              <w:br/>
              <w:t xml:space="preserve"> Нарушения со стороны мышечной, скелетной и соединительной ткани</w:t>
            </w:r>
            <w:r>
              <w:br/>
              <w:t xml:space="preserve"> Частота неизвестна-артралгия, боль в </w:t>
            </w:r>
            <w:r>
              <w:t>сухожилиях.</w:t>
            </w:r>
            <w:r>
              <w:br/>
              <w:t xml:space="preserve"> Нарушения со стороны почек и мочевыводящих путей</w:t>
            </w:r>
            <w:r>
              <w:br/>
              <w:t xml:space="preserve"> Частота неизвестна-гиперурикемия, нефротоксичность.</w:t>
            </w:r>
            <w:r>
              <w:br/>
              <w:t xml:space="preserve"> Нарушения со стороны репродуктивной системы и молочных желез</w:t>
            </w:r>
            <w:r>
              <w:br/>
              <w:t xml:space="preserve"> Частота неизвестна-галакторея.</w:t>
            </w:r>
            <w:r>
              <w:br/>
              <w:t xml:space="preserve"> Общие нарушения и реакции в месте введения</w:t>
            </w:r>
            <w:r>
              <w:br/>
              <w:t xml:space="preserve"> Ча</w:t>
            </w:r>
            <w:r>
              <w:t xml:space="preserve">стота неизвестна-отвращение к пище, потеря аппетита, </w:t>
            </w:r>
            <w:r>
              <w:lastRenderedPageBreak/>
              <w:t>фебрильная температура, покраснение по ходу подкожных вен.</w:t>
            </w:r>
            <w:r>
              <w:br/>
              <w:t xml:space="preserve"> Лабораторные и инструментальные данные</w:t>
            </w:r>
            <w:r>
              <w:br/>
              <w:t xml:space="preserve"> Частота неизвестна-снижение концентрации калия в плазме крови.</w:t>
            </w:r>
            <w:r>
              <w:br/>
              <w:t xml:space="preserve"> Дети</w:t>
            </w:r>
            <w:r>
              <w:br/>
              <w:t xml:space="preserve"> Данные по безопасности, полученны</w:t>
            </w:r>
            <w:r>
              <w:t>е в клинических исследованиях с участием более 500 пациентов детского возраста (с рождения до 17 лет), не указывают, что профиль безопасности линезолида для детей отличается от профиля безопасности для взрослых.</w:t>
            </w:r>
            <w:r>
              <w:br/>
            </w:r>
            <w:r>
              <w:rPr>
                <w:color w:val="008000"/>
              </w:rPr>
              <w:br/>
            </w:r>
            <w:r>
              <w:t xml:space="preserve"> Сообщение о подозреваемых нежелательных ре</w:t>
            </w:r>
            <w:r>
              <w:t>акциях</w:t>
            </w:r>
            <w:r>
              <w:br/>
              <w:t xml:space="preserve"> Важно сообщать о подозреваемых нежелательных реакциях после регистрации лекарственного препарата с целью обеспечения непрерывного мониторинга соотношения «польза-риск» лекарственного препарата. Медицинским работникам рекомендуется сообщать о любых </w:t>
            </w:r>
            <w:r>
              <w:t>подозреваемых нежелательных реакциях лекарственного препарата через национальные системы сообщения о нежелательных реакциях государств-членов Евразийского экономического союза.</w:t>
            </w:r>
            <w:r>
              <w:br/>
              <w:t xml:space="preserve"> Российская Федерация</w:t>
            </w:r>
            <w:r>
              <w:br/>
              <w:t xml:space="preserve"> 109012, г. Москва, Славянская площадь, д. 4, стр. 1</w:t>
            </w:r>
            <w:r>
              <w:rPr>
                <w:color w:val="008000"/>
              </w:rPr>
              <w:br/>
              <w:t xml:space="preserve"> Фед</w:t>
            </w:r>
            <w:r>
              <w:rPr>
                <w:color w:val="008000"/>
              </w:rPr>
              <w:t>еральная служба по надзору в сфере здравоохранения (Росздравнадзор)</w:t>
            </w:r>
            <w:r>
              <w:br/>
              <w:t xml:space="preserve"> Телефон: +7 (800) 550-99-03</w:t>
            </w:r>
            <w:r>
              <w:br/>
              <w:t xml:space="preserve"> Электронная почта: pharm@roszdravnadzor.gov.ru</w:t>
            </w:r>
            <w:r>
              <w:br/>
              <w:t xml:space="preserve"> Сайт: https://www.roszdravnadzor.gov.ru/</w:t>
            </w:r>
          </w:p>
        </w:tc>
        <w:tc>
          <w:tcPr>
            <w:tcW w:w="7280" w:type="dxa"/>
          </w:tcPr>
          <w:p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07116C">
              <w:rPr>
                <w:b/>
                <w:sz w:val="24"/>
              </w:rPr>
              <w:lastRenderedPageBreak/>
              <w:t xml:space="preserve">4.8 </w:t>
            </w:r>
            <w:r w:rsidRPr="00B32A72">
              <w:rPr>
                <w:b/>
                <w:sz w:val="24"/>
              </w:rPr>
              <w:t>Нежелательные реакции</w:t>
            </w:r>
          </w:p>
          <w:p w:rsidR="00573EB3" w:rsidRDefault="00E42A7E">
            <w:r>
              <w:t>Резюме профиля безопасности</w:t>
            </w:r>
            <w:r>
              <w:br/>
              <w:t xml:space="preserve"> Нежелательные </w:t>
            </w:r>
            <w:r>
              <w:t>явления, связанные с приемом линезолида, бывают обычно легкой или средней степени выраженности. Чаще остальных отмечаются диарея, головная боль, тошнота, рвота.</w:t>
            </w:r>
            <w:r>
              <w:br/>
              <w:t xml:space="preserve"> Резюме нежелательных реакций</w:t>
            </w:r>
            <w:r>
              <w:br/>
              <w:t xml:space="preserve"> Частота побочных эффектов, приведенных ниже, определялась соотве</w:t>
            </w:r>
            <w:r>
              <w:t>тственно следующей классификации Всемирной организации здравоохранения: очень часто (&gt; 1/10), часто (от &gt; 1/100 до &lt; 1/10), нечасто (от &gt; 1/1000 до &lt; 1/100), редко (от &gt; 1/10000 до &lt; 1/1000), очень редко (&lt; 1/10000), частота неизвестна (по имеющимся данным</w:t>
            </w:r>
            <w:r>
              <w:t xml:space="preserve"> оценить частоту развития невозможно).</w:t>
            </w:r>
            <w:r>
              <w:br/>
              <w:t xml:space="preserve"> Взрослые пациенты</w:t>
            </w:r>
            <w:r>
              <w:br/>
              <w:t xml:space="preserve"> Инфекции и инвазии</w:t>
            </w:r>
            <w:r>
              <w:br/>
              <w:t xml:space="preserve"> Часто-кандидоз (в том числе кандидоз полости рта, вагинальный кандидоз), грибковые инфекции; нечасто-вагинит; редко-колит, вызванный применением антибиотиков (в том числе псевдо</w:t>
            </w:r>
            <w:r>
              <w:t>мембранозный колит)*.</w:t>
            </w:r>
            <w:r>
              <w:br/>
            </w:r>
            <w:r>
              <w:lastRenderedPageBreak/>
              <w:t xml:space="preserve"> Нарушения со стороны крови и лимфатической системы</w:t>
            </w:r>
            <w:r>
              <w:br/>
              <w:t xml:space="preserve"> Часто-тромбоцитопения*, анемия*; нечасто-панцитопения*, лейкопения*, нейтропения, эозинофилия; редко-сидеробластная анемия*; частота неизвестна-миелосупрессия*. Нарушения со стороны</w:t>
            </w:r>
            <w:r>
              <w:t xml:space="preserve"> иммунной системы</w:t>
            </w:r>
            <w:r>
              <w:br/>
              <w:t xml:space="preserve"> Редко-анафилаксия*.</w:t>
            </w:r>
            <w:r>
              <w:br/>
              <w:t xml:space="preserve"> Нарушения со стороны метаболизма и питания</w:t>
            </w:r>
            <w:r>
              <w:br/>
              <w:t xml:space="preserve"> Нечасто-гипонатриемия; редко-лактоацидоз*.</w:t>
            </w:r>
            <w:r>
              <w:br/>
              <w:t xml:space="preserve"> Психические нарушения</w:t>
            </w:r>
            <w:r>
              <w:br/>
              <w:t xml:space="preserve"> Часто-бессонница.</w:t>
            </w:r>
            <w:r>
              <w:br/>
              <w:t xml:space="preserve"> Нарушения со стороны нервной системы</w:t>
            </w:r>
            <w:r>
              <w:br/>
              <w:t xml:space="preserve"> Часто-головная боль, головокружение; нечасто-суд</w:t>
            </w:r>
            <w:r>
              <w:t>ороги*, периферическая нейропатия*, изменение вкусовых ощущений, гипостезия, парестезия; частота неизвестна-серотониновый синдром.</w:t>
            </w:r>
            <w:r>
              <w:br/>
              <w:t xml:space="preserve"> Нарушения со стороны органа зрения</w:t>
            </w:r>
            <w:r>
              <w:br/>
              <w:t xml:space="preserve"> Нечасто-нейропатия зрительного нерва*, затуманенное зрение*; редко-появление дефектов по</w:t>
            </w:r>
            <w:r>
              <w:t>лей зрения*; частота неизвестна-неврит зрительного нерва*, потеря зрения*, изменение остроты зрения*, изменение цветового зрения*.</w:t>
            </w:r>
            <w:r>
              <w:br/>
              <w:t xml:space="preserve"> Нарушения со стороны органа слуха и лабиринта</w:t>
            </w:r>
            <w:r>
              <w:br/>
              <w:t xml:space="preserve"> Нечасто-звон в ушах.</w:t>
            </w:r>
            <w:r>
              <w:br/>
              <w:t xml:space="preserve"> Нарушения со стороны сердца</w:t>
            </w:r>
            <w:r>
              <w:br/>
              <w:t xml:space="preserve"> Нечасто-аритмия (тахикарди</w:t>
            </w:r>
            <w:r>
              <w:t>я).</w:t>
            </w:r>
            <w:r>
              <w:br/>
              <w:t xml:space="preserve"> Нарушения со стороны сосудов</w:t>
            </w:r>
            <w:r>
              <w:br/>
              <w:t xml:space="preserve"> Часто-повышение артериального давления; нечасто-транзиторная ишемическая атака,флебит, тромбофлебит.</w:t>
            </w:r>
            <w:r>
              <w:br/>
              <w:t xml:space="preserve"> Желудочно-кишечные нарушения</w:t>
            </w:r>
            <w:r>
              <w:br/>
              <w:t xml:space="preserve"> Часто-диарея, тошнота, рвота, локализованная или генерализованная боль в области живота, </w:t>
            </w:r>
            <w:r>
              <w:t xml:space="preserve">включая спазмы в животе, запор, диспепсия; нечасто-спазмы в животе #, вздутие живота, изменение цвета языка*, панкреатит, гастрит, сухость </w:t>
            </w:r>
            <w:r>
              <w:lastRenderedPageBreak/>
              <w:t>во рту, глоссит, жидкий стул, стоматит, прочие нарушения состояния языка; редко-поверхностное изменение цвета зубов*.</w:t>
            </w:r>
            <w:r>
              <w:br/>
              <w:t xml:space="preserve"> Нарушения со стороны печени и желчевыводящих путей</w:t>
            </w:r>
            <w:r>
              <w:br/>
              <w:t xml:space="preserve"> Часто-изменение результатов функциональных тестов печени, повышение активности ферментов печени (в том числе аланинаминотрансферазы </w:t>
            </w:r>
            <w:r>
              <w:rPr>
                <w:color w:val="FF0000"/>
              </w:rPr>
              <w:t>[</w:t>
            </w:r>
            <w:r>
              <w:t>АЛТ</w:t>
            </w:r>
            <w:r>
              <w:rPr>
                <w:color w:val="FF0000"/>
              </w:rPr>
              <w:t>]</w:t>
            </w:r>
            <w:r>
              <w:t xml:space="preserve">, аспартатаминотрансферазы </w:t>
            </w:r>
            <w:r>
              <w:rPr>
                <w:color w:val="FF0000"/>
              </w:rPr>
              <w:t>[</w:t>
            </w:r>
            <w:r>
              <w:t>ACT</w:t>
            </w:r>
            <w:r>
              <w:rPr>
                <w:color w:val="FF0000"/>
              </w:rPr>
              <w:t>]</w:t>
            </w:r>
            <w:r>
              <w:t xml:space="preserve">, щелочной фосфатазы </w:t>
            </w:r>
            <w:r>
              <w:rPr>
                <w:color w:val="FF0000"/>
              </w:rPr>
              <w:t>[</w:t>
            </w:r>
            <w:r>
              <w:t>ЩФ</w:t>
            </w:r>
            <w:r>
              <w:rPr>
                <w:color w:val="FF0000"/>
              </w:rPr>
              <w:t>]</w:t>
            </w:r>
            <w:r>
              <w:t>); нечас</w:t>
            </w:r>
            <w:r>
              <w:t>то-повышение концентрации общего билирубина.</w:t>
            </w:r>
            <w:r>
              <w:br/>
              <w:t xml:space="preserve"> Нарушения со стороны кожи и подкожных тканей</w:t>
            </w:r>
            <w:r>
              <w:br/>
              <w:t xml:space="preserve"> Часто-зуд, сыпь*; нечасто-буллезные поражения кожи, тяжелые кожные нежелательныереакции, ангионевротический отек*, крапивница, дерматит, повышенная потливость; редк</w:t>
            </w:r>
            <w:r>
              <w:t>о</w:t>
            </w:r>
            <w:r>
              <w:br/>
            </w:r>
            <w:r>
              <w:br/>
              <w:t>• васкулит при гиперчувствительности*, токсический эпидермальный некролиз*, синдром Стивенса-Джонсона*, алопеция.</w:t>
            </w:r>
            <w:r>
              <w:br/>
              <w:t xml:space="preserve"> Нарушения со стороны мышечной, скелетной и соединительной ткани</w:t>
            </w:r>
            <w:r>
              <w:br/>
              <w:t xml:space="preserve"> Редко-рабдомиолиз* (см. раздел 4.4).</w:t>
            </w:r>
            <w:r>
              <w:br/>
              <w:t xml:space="preserve"> Нарушения со стороны почек и мочевы</w:t>
            </w:r>
            <w:r>
              <w:t>водящих путей</w:t>
            </w:r>
            <w:r>
              <w:br/>
              <w:t xml:space="preserve"> Часто-повышение концентрации мочевины в крови; нечасто-почечная недостаточность, повышение концентрации креатинина в плазме крови, полиурия.</w:t>
            </w:r>
            <w:r>
              <w:br/>
              <w:t xml:space="preserve"> Нарушения со стороны репродуктивной системы и молочных желез</w:t>
            </w:r>
            <w:r>
              <w:br/>
              <w:t xml:space="preserve"> Нечасто-нарушения со стороны влагалищ</w:t>
            </w:r>
            <w:r>
              <w:t>а и вульвы.</w:t>
            </w:r>
            <w:r>
              <w:br/>
              <w:t xml:space="preserve"> Общие нарушения и реакции в месте введения</w:t>
            </w:r>
            <w:r>
              <w:br/>
              <w:t xml:space="preserve"> Часто-лихорадка, локализованная боль; нечасто-озноб, утомляемость, жажда.</w:t>
            </w:r>
            <w:r>
              <w:br/>
              <w:t xml:space="preserve"> Лабораторные и инструментальные данные</w:t>
            </w:r>
            <w:r>
              <w:br/>
              <w:t xml:space="preserve"> Часто-отклонение от нормы показателей функции печени, </w:t>
            </w:r>
            <w:r>
              <w:lastRenderedPageBreak/>
              <w:t>повышение количества нейтрофил</w:t>
            </w:r>
            <w:r>
              <w:t>ов, эозинофилов, снижение гемоглобина, гематокрита или числа эритроцитов, повышение или снижение количества тромбоцитов или лейкоцитов, повышение активности лактатдегидрогеназы, креатинкиназы, липазы, амилазы, повышение концентрации глюкозы не натощак, сни</w:t>
            </w:r>
            <w:r>
              <w:t>жение общего белка, альбумина, натрия или кальция, повышение или снижение калия или гидрокарбонатов; нечасто-отклонение от нормы гематологических показателей, повышение содержания натрия или кальция в плазме крови, снижение концентрации глюкозы не натощак,</w:t>
            </w:r>
            <w:r>
              <w:t xml:space="preserve"> повышение или снижение хлоридов крови, повышение количества ретикулоцитов, снижение количества нейтрофилов.</w:t>
            </w:r>
            <w:r>
              <w:br/>
            </w:r>
            <w:r>
              <w:br/>
              <w:t>* Нежелательные реакции, выявленные в пострегистрационном периоде</w:t>
            </w:r>
            <w:r>
              <w:rPr>
                <w:color w:val="FF0000"/>
              </w:rPr>
              <w:t>.</w:t>
            </w:r>
            <w:r>
              <w:br/>
              <w:t xml:space="preserve">- # Нежелательные реакции «спазмы в животе» определяются по классификации </w:t>
            </w:r>
            <w:r>
              <w:t>MedDRA как термин нижнего уровня, а не предпочтительный термин.</w:t>
            </w:r>
            <w:r>
              <w:br/>
              <w:t xml:space="preserve"> Следующие побочные эффекты при применении линезолида в редких случаях относились к категории серьезных: локализованная боль в области живота, транзиторная ишемическая атака, артериальная гипе</w:t>
            </w:r>
            <w:r>
              <w:t>ртензия.</w:t>
            </w:r>
            <w:r>
              <w:br/>
              <w:t xml:space="preserve"> В контролируемых клинических исследованиях, в которых линезолид применялся максимум 28 дней, только у 2 % пациентов развивалась анемия. При применении незарегистрированного препарата в рамках программ раннего доступа для пациентов с жизнеугрожающ</w:t>
            </w:r>
            <w:r>
              <w:t>ими инфекциями у 2,5 % (33/1326) пациентов, которые получали линезолид ≤ 28 дней, развивалась анемия, в то время как при применении линезолида больше 28 дней анемия развивалась у 12,3 % (53/430) пациентов.</w:t>
            </w:r>
            <w:r>
              <w:br/>
            </w:r>
            <w:r>
              <w:lastRenderedPageBreak/>
              <w:t xml:space="preserve"> Соотношение случаев развития анемии, требующих пе</w:t>
            </w:r>
            <w:r>
              <w:t>реливания крови, составило 9 % среди пациентов, получающих линезолид ≤ 28 дней (3/33) и 15 % (8/53) в тех случаях, когда линезолид применяли более 28 дней.</w:t>
            </w:r>
            <w:r>
              <w:br/>
              <w:t xml:space="preserve"> Прочие особые популяции</w:t>
            </w:r>
            <w:r>
              <w:br/>
              <w:t xml:space="preserve"> В ходе проведения многоцентрового, проспективного, рандомизированного, дво</w:t>
            </w:r>
            <w:r>
              <w:t>йного слепого, плацебо-контролируемого исследования по оценке эффективности и переносимости режима химиотерапии, включающего препарат линезолид, у пациентов с туберкулезом легких с множественной лекарственной устойчивостью M. tuberculosis были выявлены сле</w:t>
            </w:r>
            <w:r>
              <w:t>дующие нежелательные реакции.</w:t>
            </w:r>
            <w:r>
              <w:br/>
              <w:t xml:space="preserve"> Нарушения со стороны крови и лимфатической системы</w:t>
            </w:r>
            <w:r>
              <w:br/>
              <w:t xml:space="preserve"> Частота неизвестна-анемия, эозинофилия.</w:t>
            </w:r>
            <w:r>
              <w:br/>
              <w:t xml:space="preserve"> Эндокринные нарушения</w:t>
            </w:r>
            <w:r>
              <w:br/>
              <w:t xml:space="preserve"> Частота неизвестна-гипотиреоз, повышение уровня ТТГ.</w:t>
            </w:r>
            <w:r>
              <w:br/>
              <w:t xml:space="preserve"> Психические нарушения</w:t>
            </w:r>
            <w:r>
              <w:br/>
              <w:t xml:space="preserve"> Частота неизвестна-бессонница, п</w:t>
            </w:r>
            <w:r>
              <w:t>ароксизмальное тревожное расстройство, плаксивость, тревога, расстройство эмоций и поведения.</w:t>
            </w:r>
            <w:r>
              <w:br/>
              <w:t xml:space="preserve"> Нарушения со стороны нервной системы</w:t>
            </w:r>
            <w:r>
              <w:br/>
              <w:t xml:space="preserve"> Частота неизвестна-головная боль, судороги, тремор рук, чувство онемения в конечности,невралгия тройничного нерва, генерали</w:t>
            </w:r>
            <w:r>
              <w:t>зованный судорожный припадок, потеря сознания.</w:t>
            </w:r>
            <w:r>
              <w:br/>
              <w:t xml:space="preserve"> Нарушения со стороны органа слуха и лабиринта</w:t>
            </w:r>
            <w:r>
              <w:br/>
              <w:t xml:space="preserve"> Частота неизвестна-снижение слуха, звон в ушах.</w:t>
            </w:r>
            <w:r>
              <w:br/>
              <w:t xml:space="preserve"> Нарушения со стороны сердца</w:t>
            </w:r>
            <w:r>
              <w:br/>
              <w:t xml:space="preserve"> Частота неизвестна-синусовая аритмия, наджелудочковая экстрасистолия, снижение сегм</w:t>
            </w:r>
            <w:r>
              <w:t>ента ST на электрокардиограмме.</w:t>
            </w:r>
            <w:r>
              <w:br/>
              <w:t xml:space="preserve"> Нарушения со стороны дыхательной системы, органов грудной клетки и средостения</w:t>
            </w:r>
            <w:r>
              <w:br/>
            </w:r>
            <w:r>
              <w:lastRenderedPageBreak/>
              <w:t xml:space="preserve"> Частота неизвестна-кашель с мокротой, катаральный ринофарингит.</w:t>
            </w:r>
            <w:r>
              <w:br/>
              <w:t xml:space="preserve"> Желудочно-кишечные нарушения</w:t>
            </w:r>
            <w:r>
              <w:br/>
              <w:t xml:space="preserve"> Частота неизвестна-боль в эпигастрии, диспепсиче</w:t>
            </w:r>
            <w:r>
              <w:t>ские явления, тошнота, рвота, эрозивный гастрит.</w:t>
            </w:r>
            <w:r>
              <w:br/>
              <w:t xml:space="preserve"> Нарушения со стороны печени и желчевыводящих путей</w:t>
            </w:r>
            <w:r>
              <w:br/>
              <w:t xml:space="preserve"> Частота неизвестна-повышение активности ферментов печени, гепатотоксичность.</w:t>
            </w:r>
            <w:r>
              <w:br/>
              <w:t xml:space="preserve"> Нарушения со стороны кожи и подкожных тканей</w:t>
            </w:r>
            <w:r>
              <w:br/>
              <w:t xml:space="preserve"> Частота неизвестна-зуд кожных </w:t>
            </w:r>
            <w:r>
              <w:t>покровов, медикаментозное акне.</w:t>
            </w:r>
            <w:r>
              <w:br/>
              <w:t xml:space="preserve"> Нарушения со стороны мышечной, скелетной и соединительной ткани</w:t>
            </w:r>
            <w:r>
              <w:br/>
              <w:t xml:space="preserve"> Частота неизвестна-артралгия, боль в сухожилиях.</w:t>
            </w:r>
            <w:r>
              <w:br/>
              <w:t xml:space="preserve"> Нарушения со стороны почек и мочевыводящих путей</w:t>
            </w:r>
            <w:r>
              <w:br/>
              <w:t xml:space="preserve"> Частота неизвестна-гиперурикемия, нефротоксичность.</w:t>
            </w:r>
            <w:r>
              <w:br/>
              <w:t xml:space="preserve"> Наруш</w:t>
            </w:r>
            <w:r>
              <w:t>ения со стороны репродуктивной системы и молочных желез</w:t>
            </w:r>
            <w:r>
              <w:br/>
              <w:t xml:space="preserve"> Частота неизвестна-галакторея.</w:t>
            </w:r>
            <w:r>
              <w:br/>
              <w:t xml:space="preserve"> Общие нарушения и реакции в месте введения</w:t>
            </w:r>
            <w:r>
              <w:br/>
              <w:t xml:space="preserve"> Частота неизвестна-отвращение к пище, потеря аппетита, фебрильная температура, покраснение по ходу подкожных вен.</w:t>
            </w:r>
            <w:r>
              <w:br/>
              <w:t xml:space="preserve"> Лаборато</w:t>
            </w:r>
            <w:r>
              <w:t>рные и инструментальные данные</w:t>
            </w:r>
            <w:r>
              <w:br/>
              <w:t xml:space="preserve"> Частота неизвестна-снижение концентрации калия в плазме крови.</w:t>
            </w:r>
            <w:r>
              <w:br/>
              <w:t xml:space="preserve"> Дети</w:t>
            </w:r>
            <w:r>
              <w:br/>
              <w:t xml:space="preserve"> Данные по безопасности, полученные в клинических исследованиях с участием более 500 пациентов детского возраста (с рождения до 17 лет), не указывают, что </w:t>
            </w:r>
            <w:r>
              <w:t>профиль безопасности линезолида для детей отличается от профиля безопасности для взрослых.</w:t>
            </w:r>
            <w:r>
              <w:br/>
            </w:r>
            <w:r>
              <w:lastRenderedPageBreak/>
              <w:t xml:space="preserve"> Сообщение о подозреваемых нежелательных реакциях</w:t>
            </w:r>
            <w:r>
              <w:br/>
              <w:t xml:space="preserve"> Важно сообщать о подозреваемых нежелательных реакциях после регистрации лекарственного препарата с целью обеспечен</w:t>
            </w:r>
            <w:r>
              <w:t>ия непрерывного мониторинга соотношения «польза-риск» лекарственного препарата. Медицинским работникам рекомендуется сообщать о любых подозреваемых нежелательных реакциях лекарственного препарата через национальные системы сообщения о нежелательных реакция</w:t>
            </w:r>
            <w:r>
              <w:t>х государств-членов Евразийского экономического союза.</w:t>
            </w:r>
            <w:r>
              <w:br/>
              <w:t xml:space="preserve"> Российская Федерация</w:t>
            </w:r>
            <w:r>
              <w:rPr>
                <w:color w:val="FF0000"/>
              </w:rPr>
              <w:br/>
              <w:t xml:space="preserve"> Федеральная служба по надзору в сфере здравоохранения (Росздравнадзор)</w:t>
            </w:r>
            <w:r>
              <w:br/>
              <w:t xml:space="preserve"> 109012, г. Москва, Славянская площадь, д. 4, стр. 1</w:t>
            </w:r>
            <w:r>
              <w:br/>
              <w:t xml:space="preserve"> Телефон: +7 (800) 550-99-03</w:t>
            </w:r>
            <w:r>
              <w:br/>
              <w:t xml:space="preserve"> Электронная почта: pharm</w:t>
            </w:r>
            <w:r>
              <w:t>@roszdravnadzor.gov.ru</w:t>
            </w:r>
            <w:r>
              <w:br/>
              <w:t xml:space="preserve"> Сайт: https://www.roszdravnadzor.gov.ru/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655BDA">
              <w:rPr>
                <w:b/>
                <w:sz w:val="24"/>
              </w:rPr>
              <w:lastRenderedPageBreak/>
              <w:t xml:space="preserve">4.9 </w:t>
            </w:r>
            <w:r w:rsidRPr="00B32A72">
              <w:rPr>
                <w:b/>
                <w:sz w:val="24"/>
              </w:rPr>
              <w:t>Передозировка</w:t>
            </w:r>
          </w:p>
          <w:p w:rsidR="00573EB3" w:rsidRDefault="00E42A7E">
            <w:r>
              <w:t>Симптомы</w:t>
            </w:r>
            <w:r>
              <w:br/>
              <w:t xml:space="preserve"> О случаях передозировки линезолида не сообщалось.</w:t>
            </w:r>
            <w:r>
              <w:br/>
              <w:t xml:space="preserve"> Лечение</w:t>
            </w:r>
            <w:r>
              <w:br/>
            </w:r>
            <w:r>
              <w:lastRenderedPageBreak/>
              <w:t xml:space="preserve"> Рекомендуется симптоматическое лечение (в том числе необходимо поддерживать скорость клубочковой фильт</w:t>
            </w:r>
            <w:r>
              <w:t>рации). Нет данных относительно ускорения выведения линезолида при перитонеальном диализе или гемоперфузии. Около 30 % дозы выводится в течение 3 часов при гемодиализе.</w:t>
            </w:r>
          </w:p>
        </w:tc>
        <w:tc>
          <w:tcPr>
            <w:tcW w:w="7280" w:type="dxa"/>
          </w:tcPr>
          <w:p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07116C">
              <w:rPr>
                <w:b/>
                <w:sz w:val="24"/>
              </w:rPr>
              <w:lastRenderedPageBreak/>
              <w:t xml:space="preserve">4.9 </w:t>
            </w:r>
            <w:r w:rsidRPr="00B32A72">
              <w:rPr>
                <w:b/>
                <w:sz w:val="24"/>
              </w:rPr>
              <w:t>Передозировка</w:t>
            </w:r>
          </w:p>
          <w:p w:rsidR="00573EB3" w:rsidRDefault="00E42A7E">
            <w:r>
              <w:t>Симптомы</w:t>
            </w:r>
            <w:r>
              <w:br/>
              <w:t xml:space="preserve"> О случаях передозировки линезолида не сообщалось.</w:t>
            </w:r>
            <w:r>
              <w:br/>
              <w:t xml:space="preserve"> Лечение</w:t>
            </w:r>
            <w:r>
              <w:br/>
            </w:r>
            <w:r>
              <w:lastRenderedPageBreak/>
              <w:t xml:space="preserve"> Рекомендуется симптоматическое лечение (в том числе необходимо поддерживать скорость клубочковой фильтрации). Нет данных относительно ускорения выведения линезолида при перитонеальном диализе или гемоперфузии. Около 30 % дозы выводится в течение 3 часов п</w:t>
            </w:r>
            <w:r>
              <w:t>ри гемодиализе.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sz w:val="24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lastRenderedPageBreak/>
              <w:t xml:space="preserve">5. </w:t>
            </w:r>
            <w:r w:rsidRPr="00B32A72">
              <w:rPr>
                <w:b/>
                <w:bCs/>
                <w:sz w:val="23"/>
                <w:szCs w:val="23"/>
              </w:rPr>
              <w:t>ФАРМАКОЛОГИЧЕСКИЕ СВОЙСТВА</w:t>
            </w:r>
          </w:p>
          <w:p w:rsidR="00573EB3" w:rsidRDefault="00573EB3"/>
        </w:tc>
        <w:tc>
          <w:tcPr>
            <w:tcW w:w="7280" w:type="dxa"/>
          </w:tcPr>
          <w:p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5. </w:t>
            </w:r>
            <w:r w:rsidRPr="00B32A72">
              <w:rPr>
                <w:b/>
                <w:bCs/>
                <w:sz w:val="23"/>
                <w:szCs w:val="23"/>
              </w:rPr>
              <w:t>ФАРМАКОЛОГИЧЕСКИЕ СВОЙСТВА</w:t>
            </w:r>
          </w:p>
          <w:p w:rsidR="00573EB3" w:rsidRDefault="00573EB3"/>
        </w:tc>
      </w:tr>
      <w:tr w:rsidR="0007116C" w:rsidTr="00E94612">
        <w:tc>
          <w:tcPr>
            <w:tcW w:w="7280" w:type="dxa"/>
          </w:tcPr>
          <w:p w:rsidR="0007116C" w:rsidRPr="00655BDA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655BDA">
              <w:rPr>
                <w:b/>
                <w:sz w:val="24"/>
              </w:rPr>
              <w:t>5.1 Фармакодинамическиесвойства</w:t>
            </w:r>
          </w:p>
          <w:p w:rsidR="00573EB3" w:rsidRDefault="00E42A7E">
            <w:r>
              <w:t>Фармакотерапевтическая группа: антибактериальные средства системного действия; другие антибактериальные средства.</w:t>
            </w:r>
            <w:r>
              <w:br/>
              <w:t xml:space="preserve"> Код АТХ: J01XX08.</w:t>
            </w:r>
            <w:r>
              <w:br/>
            </w:r>
            <w:r>
              <w:t xml:space="preserve"> Механизм действия и фармакодинамические эффекты</w:t>
            </w:r>
            <w:r>
              <w:br/>
              <w:t xml:space="preserve"> Линезолид, синтетический антибактериальный препарат, относится к новому классу противомикробных средств, оксазолидинонам, активных in vitro в отношении аэробных грамположительных бактерий, некоторых грамотр</w:t>
            </w:r>
            <w:r>
              <w:t>ицательных бактерий и анаэробных микроорганизмов. Линезолид селективно ингибирует синтез белка в бактериях. За счет связывания с бактериальными рибосомами он предотвращает образование функционального инициирующего комплекса 70S, который является важным ком</w:t>
            </w:r>
            <w:r>
              <w:t>понентом процесса трансляции при синтезе белка.</w:t>
            </w:r>
            <w:r>
              <w:br/>
              <w:t xml:space="preserve"> Чувствительность</w:t>
            </w:r>
            <w:r>
              <w:br/>
              <w:t xml:space="preserve"> Линезолид активен in vitro и in vivo</w:t>
            </w:r>
            <w:r>
              <w:br/>
              <w:t xml:space="preserve"> Грамположительные аэробы</w:t>
            </w:r>
            <w:r>
              <w:rPr>
                <w:color w:val="008000"/>
              </w:rPr>
              <w:br/>
            </w:r>
            <w:r>
              <w:t xml:space="preserve"> Enterococcus faecium (включая штаммы, резистентные к ванкомицину)</w:t>
            </w:r>
            <w:r>
              <w:rPr>
                <w:color w:val="008000"/>
              </w:rPr>
              <w:br/>
            </w:r>
            <w:r>
              <w:t xml:space="preserve"> Staphylococcus aureus (включая метициллинрезистентные штам</w:t>
            </w:r>
            <w:r>
              <w:t>мы)</w:t>
            </w:r>
            <w:r>
              <w:rPr>
                <w:color w:val="008000"/>
              </w:rPr>
              <w:br/>
            </w:r>
            <w:r>
              <w:t xml:space="preserve"> Streptococcus agalactiae</w:t>
            </w:r>
            <w:r>
              <w:rPr>
                <w:color w:val="008000"/>
              </w:rPr>
              <w:br/>
            </w:r>
            <w:r>
              <w:t xml:space="preserve"> Streptococcus pneumoniae (включая полирезистентные штаммы)</w:t>
            </w:r>
            <w:r>
              <w:rPr>
                <w:color w:val="008000"/>
              </w:rPr>
              <w:br/>
            </w:r>
            <w:r>
              <w:lastRenderedPageBreak/>
              <w:t xml:space="preserve"> Streptococcus pyogenes</w:t>
            </w:r>
            <w:r>
              <w:rPr>
                <w:color w:val="008000"/>
              </w:rPr>
              <w:br/>
            </w:r>
            <w:r>
              <w:t xml:space="preserve"> Другие микроорганизмы</w:t>
            </w:r>
            <w:r>
              <w:rPr>
                <w:color w:val="008000"/>
              </w:rPr>
              <w:br/>
            </w:r>
            <w:r>
              <w:t xml:space="preserve"> Mycobacterium tuberculosis</w:t>
            </w:r>
            <w:r>
              <w:br/>
              <w:t xml:space="preserve"> Линезолид активен in vitro</w:t>
            </w:r>
            <w:r>
              <w:br/>
              <w:t xml:space="preserve"> Грамположительные аэробы</w:t>
            </w:r>
            <w:r>
              <w:rPr>
                <w:color w:val="008000"/>
              </w:rPr>
              <w:br/>
            </w:r>
            <w:r>
              <w:t xml:space="preserve"> Enterococcus faecalis (включая штамм</w:t>
            </w:r>
            <w:r>
              <w:t>ы, резистентные к ванкомицину)</w:t>
            </w:r>
            <w:r>
              <w:rPr>
                <w:color w:val="008000"/>
              </w:rPr>
              <w:br/>
            </w:r>
            <w:r>
              <w:t xml:space="preserve"> Enterococcus faecium (штаммы, чувствительные к ванкомицину)</w:t>
            </w:r>
            <w:r>
              <w:rPr>
                <w:color w:val="008000"/>
              </w:rPr>
              <w:br/>
            </w:r>
            <w:r>
              <w:t xml:space="preserve"> Staphylococcus epidermidis (включая метициллинрезистентные штаммы)</w:t>
            </w:r>
            <w:r>
              <w:rPr>
                <w:color w:val="008000"/>
              </w:rPr>
              <w:br/>
            </w:r>
            <w:r>
              <w:t xml:space="preserve"> Staphylococcus haemolyticus</w:t>
            </w:r>
            <w:r>
              <w:rPr>
                <w:color w:val="008000"/>
              </w:rPr>
              <w:br/>
            </w:r>
            <w:r>
              <w:t xml:space="preserve"> Streptococcus spp. группы Viridans</w:t>
            </w:r>
            <w:r>
              <w:rPr>
                <w:color w:val="008000"/>
              </w:rPr>
              <w:br/>
            </w:r>
            <w:r>
              <w:t xml:space="preserve"> Грамотрицательные аэробы</w:t>
            </w:r>
            <w:r>
              <w:rPr>
                <w:color w:val="008000"/>
              </w:rPr>
              <w:br/>
            </w:r>
            <w:r>
              <w:t xml:space="preserve"> Pasteurella multocida</w:t>
            </w:r>
            <w:r>
              <w:br/>
              <w:t xml:space="preserve"> Резистентные к линезолиду микроорганизмы</w:t>
            </w:r>
            <w:r>
              <w:br/>
              <w:t xml:space="preserve"> Haemophilus influenzae</w:t>
            </w:r>
            <w:r>
              <w:br/>
              <w:t xml:space="preserve"> Moraxella catarrhalis</w:t>
            </w:r>
            <w:r>
              <w:br/>
              <w:t xml:space="preserve"> Neisseria spp.</w:t>
            </w:r>
            <w:r>
              <w:br/>
              <w:t xml:space="preserve"> Enterobacteriaceae spp.</w:t>
            </w:r>
            <w:r>
              <w:br/>
              <w:t xml:space="preserve"> Pseudomonas spp.</w:t>
            </w:r>
            <w:r>
              <w:br/>
              <w:t xml:space="preserve"> Резистентность</w:t>
            </w:r>
            <w:r>
              <w:br/>
              <w:t xml:space="preserve"> Механизм действия линезолида отличается от механизмов действия проти</w:t>
            </w:r>
            <w:r>
              <w:t>вомикробных препаратов других классов (например, аминогликозидов, бета-лактамов, антагонистов фолиевой кислоты, гликопептидов, линкозамидов, хинолонов, рифамицинов, стрептограминов, тетрациклинов и хлорамфеникола), поэтому перекрестной резистентности между</w:t>
            </w:r>
            <w:r>
              <w:t xml:space="preserve"> линезолидом и этими препаратами не существует. Линезолид активен в отношении патогенных микроорганизмов, как чувствительных, так и резистентных к этим препаратам. Резистентность по отношению к линезолиду </w:t>
            </w:r>
            <w:r>
              <w:lastRenderedPageBreak/>
              <w:t>развивается медленно путем многостадийной мутации 2</w:t>
            </w:r>
            <w:r>
              <w:t>3S рибосомальной РНК и происходит с частотой менее 1×10-9 -1×10-11.</w:t>
            </w:r>
          </w:p>
        </w:tc>
        <w:tc>
          <w:tcPr>
            <w:tcW w:w="7280" w:type="dxa"/>
          </w:tcPr>
          <w:p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07116C">
              <w:rPr>
                <w:b/>
                <w:sz w:val="24"/>
              </w:rPr>
              <w:lastRenderedPageBreak/>
              <w:t>5.1 Фармакодинамические свойства</w:t>
            </w:r>
          </w:p>
          <w:p w:rsidR="00573EB3" w:rsidRDefault="00E42A7E">
            <w:r>
              <w:t>Фармакотерапевтическая группа: антибактериальные средства системного действия; другие антибактериальные средства.</w:t>
            </w:r>
            <w:r>
              <w:br/>
              <w:t xml:space="preserve"> Код АТХ: J01XX08.</w:t>
            </w:r>
            <w:r>
              <w:br/>
              <w:t xml:space="preserve"> Механизм действия и ф</w:t>
            </w:r>
            <w:r>
              <w:t>армакодинамические эффекты</w:t>
            </w:r>
            <w:r>
              <w:br/>
              <w:t xml:space="preserve"> Линезолид, синтетический антибактериальный препарат, относится к новому классу противомикробных средств, оксазолидинонам, активных in vitro в отношении аэробных грамположительных бактерий, некоторых грамотрицательных бактерий и </w:t>
            </w:r>
            <w:r>
              <w:t>анаэробных микроорганизмов. Линезолид селективно ингибирует синтез белка в бактериях. За счет связывания с бактериальными рибосомами он предотвращает образование функционального инициирующего комплекса 70S, который является важным компонентом процесса тран</w:t>
            </w:r>
            <w:r>
              <w:t>сляции при синтезе белка.</w:t>
            </w:r>
            <w:r>
              <w:br/>
              <w:t xml:space="preserve"> Чувствительность</w:t>
            </w:r>
            <w:r>
              <w:br/>
            </w:r>
            <w:r>
              <w:rPr>
                <w:color w:val="FF0000"/>
              </w:rPr>
              <w:br/>
              <w:t>|</w:t>
            </w:r>
            <w:r>
              <w:t xml:space="preserve"> Линезолид активен in vitro и in vivo</w:t>
            </w:r>
            <w:r>
              <w:rPr>
                <w:color w:val="FF0000"/>
              </w:rPr>
              <w:t xml:space="preserve"> |</w:t>
            </w:r>
            <w:r>
              <w:br/>
            </w:r>
            <w:r>
              <w:rPr>
                <w:color w:val="FF0000"/>
              </w:rPr>
              <w:t>|-------------------------------------------------------------------------------------------------------------------------------------------------------------------------</w:t>
            </w:r>
            <w:r>
              <w:rPr>
                <w:color w:val="FF0000"/>
              </w:rPr>
              <w:t>-----------------------------------------------------------------------------------------------------------------------------------------------------------------|</w:t>
            </w:r>
            <w:r>
              <w:rPr>
                <w:color w:val="FF0000"/>
              </w:rPr>
              <w:br/>
              <w:t>|</w:t>
            </w:r>
            <w:r>
              <w:t xml:space="preserve"> Грамположительные аэробы Enterococcus faecium (включая штаммы, резистентные к ванкомицину) </w:t>
            </w:r>
            <w:r>
              <w:t xml:space="preserve">Staphylococcus aureus </w:t>
            </w:r>
            <w:r>
              <w:lastRenderedPageBreak/>
              <w:t>(включая метициллинрезистентные штаммы) Streptococcus agalactiae Streptococcus pneumoniae (включая полирезистентные штаммы) Streptococcus pyogenes Другие микроорганизмы Mycobacterium tuberculosis</w:t>
            </w:r>
            <w:r>
              <w:rPr>
                <w:color w:val="FF0000"/>
              </w:rPr>
              <w:t xml:space="preserve"> |</w:t>
            </w:r>
            <w:r>
              <w:br/>
            </w:r>
            <w:r>
              <w:rPr>
                <w:color w:val="FF0000"/>
              </w:rPr>
              <w:t>|</w:t>
            </w:r>
            <w:r>
              <w:t xml:space="preserve"> Линезолид активен in vitro</w:t>
            </w:r>
            <w:r>
              <w:rPr>
                <w:color w:val="FF0000"/>
              </w:rPr>
              <w:t xml:space="preserve"> |</w:t>
            </w:r>
            <w:r>
              <w:br/>
            </w:r>
            <w:r>
              <w:rPr>
                <w:color w:val="FF0000"/>
              </w:rPr>
              <w:t>|</w:t>
            </w:r>
            <w:r>
              <w:t xml:space="preserve"> Гра</w:t>
            </w:r>
            <w:r>
              <w:t>мположительные аэробы Enterococcus faecalis (включая штаммы, резистентные к ванкомицину) Enterococcus faecium (штаммы, чувствительные к ванкомицину) Staphylococcus epidermidis (включая метициллинрезистентные штаммы) Staphylococcus haemolyticus Streptococcu</w:t>
            </w:r>
            <w:r>
              <w:t>s spp. группы Viridans Грамотрицательные аэробы Pasteurella multocida</w:t>
            </w:r>
            <w:r>
              <w:rPr>
                <w:color w:val="FF0000"/>
              </w:rPr>
              <w:t xml:space="preserve"> |</w:t>
            </w:r>
            <w:r>
              <w:br/>
            </w:r>
            <w:r>
              <w:rPr>
                <w:color w:val="FF0000"/>
              </w:rPr>
              <w:t>|</w:t>
            </w:r>
            <w:r>
              <w:t xml:space="preserve"> Резистентные к линезолиду микроорганизмы</w:t>
            </w:r>
            <w:r>
              <w:rPr>
                <w:color w:val="FF0000"/>
              </w:rPr>
              <w:t xml:space="preserve"> |</w:t>
            </w:r>
            <w:r>
              <w:br/>
            </w:r>
            <w:r>
              <w:rPr>
                <w:color w:val="FF0000"/>
              </w:rPr>
              <w:t>|</w:t>
            </w:r>
            <w:r>
              <w:t xml:space="preserve"> Haemophilus influenzae</w:t>
            </w:r>
            <w:r>
              <w:rPr>
                <w:color w:val="FF0000"/>
              </w:rPr>
              <w:t xml:space="preserve"> |</w:t>
            </w:r>
            <w:r>
              <w:br/>
              <w:t xml:space="preserve"> Moraxella catarrhalis</w:t>
            </w:r>
            <w:r>
              <w:br/>
              <w:t xml:space="preserve"> Neisseria spp.</w:t>
            </w:r>
            <w:r>
              <w:br/>
              <w:t xml:space="preserve"> Enterobacteriaceae spp.</w:t>
            </w:r>
            <w:r>
              <w:br/>
              <w:t xml:space="preserve"> Pseudomonas spp.</w:t>
            </w:r>
            <w:r>
              <w:br/>
              <w:t xml:space="preserve"> Резистентность</w:t>
            </w:r>
            <w:r>
              <w:br/>
              <w:t xml:space="preserve"> Механизм дейс</w:t>
            </w:r>
            <w:r>
              <w:t>твия линезолида отличается от механизмов действия противомикробных препаратов других классов (например, аминогликозидов, бета-лактамов, антагонистов фолиевой кислоты, гликопептидов, линкозамидов, хинолонов, рифамицинов, стрептограминов, тетрациклинов и хло</w:t>
            </w:r>
            <w:r>
              <w:t>рамфеникола), поэтому перекрестной резистентности между линезолидом и этими препаратами не существует. Линезолид активен в отношении патогенных микроорганизмов, как чувствительных, так и резистентных к этим препаратам. Резистентность по отношению к линезол</w:t>
            </w:r>
            <w:r>
              <w:t>иду развивается медленно путем многостадийной мутации 23S рибосомальной РНК и происходит с частотой менее 1×10-9 -1×10-11.</w:t>
            </w:r>
          </w:p>
        </w:tc>
      </w:tr>
      <w:tr w:rsidR="0007116C" w:rsidTr="00E94612">
        <w:tc>
          <w:tcPr>
            <w:tcW w:w="7280" w:type="dxa"/>
          </w:tcPr>
          <w:p w:rsidR="0007116C" w:rsidRPr="00655BDA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655BDA">
              <w:rPr>
                <w:b/>
                <w:sz w:val="24"/>
              </w:rPr>
              <w:lastRenderedPageBreak/>
              <w:t>5.2 Фармакокинетическиесвойства</w:t>
            </w:r>
          </w:p>
          <w:p w:rsidR="00573EB3" w:rsidRDefault="00E42A7E">
            <w:r>
              <w:t>Абсорбция</w:t>
            </w:r>
            <w:r>
              <w:br/>
              <w:t xml:space="preserve"> После приема внутрь линезолид быстро и интенсивно всасывается из желудочно-кишечного трак</w:t>
            </w:r>
            <w:r>
              <w:t>та. Максимальная концентрация линезолида в плазме крови (Cmax) - 21,2 мг/л, средний период времени до достижения максимальной концентрации линезолида в крови (ТCmax) - 2 ч, абсолютная биодоступность составляет около 100 %. Прием пищи не влияет на всасывани</w:t>
            </w:r>
            <w:r>
              <w:t>е линезолида. Равновесная концентрация линезолида в крови достигается на 2 день приема.</w:t>
            </w:r>
            <w:r>
              <w:br/>
              <w:t xml:space="preserve"> Распределение</w:t>
            </w:r>
            <w:r>
              <w:br/>
              <w:t xml:space="preserve"> Объем распределения линезолида при достижении равновесной концентрации у здорового взрослого человека составляет в среднем 40-50 л, что примерно равно о</w:t>
            </w:r>
            <w:r>
              <w:t>бщему содержанию воды в организме. Связывание с белками плазмы крови составляет 31 % и не зависит от концентрации линезолида в крови.</w:t>
            </w:r>
            <w:r>
              <w:br/>
              <w:t xml:space="preserve"> Биотрансформация</w:t>
            </w:r>
            <w:r>
              <w:br/>
              <w:t xml:space="preserve"> Установлено, что изоферменты цитохрома Р450 не участвуют в метаболизме линезолида in vitro. Линезолид н</w:t>
            </w:r>
            <w:r>
              <w:t>е ингибирует и не потенцирует активность клинически важных изоферментов цитохрома Р450 (1А2, 2С9, 2С19, 2D6, 2Е1, 3А4).</w:t>
            </w:r>
            <w:r>
              <w:br/>
              <w:t xml:space="preserve"> Метаболическое окисление приводит к образованию двух неактивных метаболитов гидроксиэтилглицина (основной метаболит у человека, образуе</w:t>
            </w:r>
            <w:r>
              <w:t>тся в результате неферментативного процесса) и аминоэтоксиуксусной кислоты (образуется в меньших количествах). Также описаны другие неактивные метаболиты.</w:t>
            </w:r>
            <w:r>
              <w:br/>
              <w:t xml:space="preserve"> Элиминация</w:t>
            </w:r>
            <w:r>
              <w:br/>
            </w:r>
            <w:r>
              <w:lastRenderedPageBreak/>
              <w:t xml:space="preserve"> Внепочечный клиренс составляет около 65 % клиренса линезолида. С увеличением дозы линезо</w:t>
            </w:r>
            <w:r>
              <w:t>лида отмечается небольшая степень нелинейности клиренса. Это может объясняться снижением почечного и внепочечного клиренса при высокой дозе линезолида. Однако различия клиренса невелики и не влияют на кажущийся период полувыведения. Линезолид у пациентов с</w:t>
            </w:r>
            <w:r>
              <w:t xml:space="preserve"> нормальной функцией почек и при почечной недостаточности легкой и средней степени выводится почками в виде гидроксиэтилглицина (40 %), аминоэтоксиуксусной кислоты (10 %) и в неизмененном виде (30-35 %). Кишечником выводится в виде гидроксиэтилглицина (6 %</w:t>
            </w:r>
            <w:r>
              <w:t>) и аминоэтоксиуксусной кислоты (3 %). В неизмененном виде линезолид практически не выводится кишечником.</w:t>
            </w:r>
            <w:r>
              <w:br/>
              <w:t xml:space="preserve"> Период полувыведения линезолида в среднем составляет 5-7 ч.</w:t>
            </w:r>
            <w:r>
              <w:br/>
              <w:t xml:space="preserve"> Почечная недостаточность</w:t>
            </w:r>
            <w:r>
              <w:br/>
              <w:t xml:space="preserve"> После однократного приема 600 мг препарата пациентами с тяжело</w:t>
            </w:r>
            <w:r>
              <w:t>й почечной недостаточностью (клиренс креатинина &lt; 30 мл/мин) концентрация двух его основных</w:t>
            </w:r>
            <w:r>
              <w:rPr>
                <w:color w:val="008000"/>
              </w:rPr>
              <w:br/>
            </w:r>
            <w:r>
              <w:rPr>
                <w:color w:val="008000"/>
              </w:rPr>
              <w:br/>
              <w:t>%SECTION_BREAK%</w:t>
            </w:r>
            <w:r>
              <w:rPr>
                <w:color w:val="008000"/>
              </w:rPr>
              <w:br/>
            </w:r>
            <w:r>
              <w:rPr>
                <w:color w:val="008000"/>
              </w:rPr>
              <w:br/>
            </w:r>
            <w:r>
              <w:t>метаболитов возрастала в 7-8 раз. Однако увеличения площади под кривой «концентрациявремя» (AUC) исходного препарата не наблюдалось. Несмотря на т</w:t>
            </w:r>
            <w:r>
              <w:t>о, что при гемодиализе выводилось некоторое количество основных метаболитов, их концентрация в плазме крови после приема 600 мг линезолида и проведения процедуры диализа у пациентов с тяжелой почечной недостаточностью оставалась существенно выше концентрац</w:t>
            </w:r>
            <w:r>
              <w:t>ии в крови у пациентов с нормальной функцией почек, легкой или среднетяжелой почечной недостаточностью.</w:t>
            </w:r>
            <w:r>
              <w:br/>
            </w:r>
            <w:r>
              <w:lastRenderedPageBreak/>
              <w:t xml:space="preserve"> Печеночная недостаточность</w:t>
            </w:r>
            <w:r>
              <w:br/>
              <w:t xml:space="preserve"> </w:t>
            </w:r>
            <w:commentRangeStart w:id="6"/>
            <w:r w:rsidRPr="00960B5E">
              <w:rPr>
                <w:highlight w:val="yellow"/>
              </w:rPr>
              <w:t xml:space="preserve">Имеются ограниченные данные </w:t>
            </w:r>
            <w:commentRangeEnd w:id="6"/>
            <w:r w:rsidR="00960B5E">
              <w:rPr>
                <w:rStyle w:val="af4"/>
              </w:rPr>
              <w:commentReference w:id="6"/>
            </w:r>
            <w:r w:rsidRPr="00960B5E">
              <w:rPr>
                <w:highlight w:val="yellow"/>
              </w:rPr>
              <w:t xml:space="preserve">о том, что у пациентов с легкой и среднетяжелой </w:t>
            </w:r>
            <w:r w:rsidRPr="00960B5E">
              <w:rPr>
                <w:color w:val="008000"/>
                <w:highlight w:val="yellow"/>
              </w:rPr>
              <w:t>П</w:t>
            </w:r>
            <w:r w:rsidRPr="00960B5E">
              <w:rPr>
                <w:highlight w:val="yellow"/>
              </w:rPr>
              <w:t>ью</w:t>
            </w:r>
            <w:r w:rsidRPr="00960B5E">
              <w:rPr>
                <w:color w:val="008000"/>
                <w:highlight w:val="yellow"/>
              </w:rPr>
              <w:t>) изменяется.</w:t>
            </w:r>
            <w:r w:rsidRPr="00960B5E">
              <w:rPr>
                <w:color w:val="008000"/>
                <w:highlight w:val="yellow"/>
              </w:rPr>
              <w:br/>
            </w:r>
            <w:r w:rsidRPr="00960B5E">
              <w:rPr>
                <w:color w:val="008000"/>
                <w:highlight w:val="yellow"/>
              </w:rPr>
              <w:br/>
              <w:t>печеночно</w:t>
            </w:r>
            <w:r w:rsidRPr="00960B5E">
              <w:rPr>
                <w:highlight w:val="yellow"/>
              </w:rPr>
              <w:t>й</w:t>
            </w:r>
            <w:r w:rsidRPr="00960B5E">
              <w:rPr>
                <w:color w:val="008000"/>
                <w:highlight w:val="yellow"/>
              </w:rPr>
              <w:t xml:space="preserve"> недостаточностью (</w:t>
            </w:r>
            <w:r w:rsidRPr="00960B5E">
              <w:rPr>
                <w:color w:val="008000"/>
                <w:highlight w:val="yellow"/>
              </w:rPr>
              <w:t>классы А и В по классификации Чайлд-фармакокинетика линезолида и двух его основных метаболитов не Фармакокинетика линезолида у пациентов с тяжелой печеночной недостаточностью (класс С по классификации Чайлд</w:t>
            </w:r>
            <w:r w:rsidRPr="00960B5E">
              <w:rPr>
                <w:highlight w:val="yellow"/>
              </w:rPr>
              <w:t xml:space="preserve">-Пью) не изучалась. Однако, поскольку линезолид </w:t>
            </w:r>
            <w:r w:rsidRPr="00960B5E">
              <w:rPr>
                <w:color w:val="008000"/>
                <w:highlight w:val="yellow"/>
              </w:rPr>
              <w:t>ме</w:t>
            </w:r>
            <w:r w:rsidRPr="00960B5E">
              <w:rPr>
                <w:color w:val="008000"/>
                <w:highlight w:val="yellow"/>
              </w:rPr>
              <w:t xml:space="preserve">таболизируется неферментным путем, не ожидается значимого нарушения </w:t>
            </w:r>
            <w:r w:rsidRPr="00960B5E">
              <w:rPr>
                <w:highlight w:val="yellow"/>
              </w:rPr>
              <w:t>его метаболизма при печеночной недостаточности.</w:t>
            </w:r>
            <w:r>
              <w:br/>
              <w:t xml:space="preserve"> Лица пожилого возраста</w:t>
            </w:r>
            <w:r>
              <w:br/>
              <w:t xml:space="preserve"> У пожилых пациентов в возрасте 65 лет и старше фармакокинетика линезолида существенно не изменяется.</w:t>
            </w:r>
            <w:r>
              <w:br/>
              <w:t xml:space="preserve"> Женщины</w:t>
            </w:r>
            <w:r>
              <w:br/>
              <w:t xml:space="preserve"> У же</w:t>
            </w:r>
            <w:r>
              <w:t>нщин объем распределения линезолида несколько ниже, чем у мужчин; у них также на 20 % снижен средний клиренс при расчете на массу тела. Концентрация препарата в плазмекрови женщин выше, чем у мужчин, что может отчасти объясняться различиями массы тела. Одн</w:t>
            </w:r>
            <w:r>
              <w:t>ако, поскольку период полувыведения линезолида у мужчин и женщин существенно не отличается, нет повода ожидать повышения концентрации препарата в крови женщин выше переносимого значения, так что коррекции дозы не требуется.</w:t>
            </w:r>
            <w:r>
              <w:br/>
              <w:t xml:space="preserve"> Дети</w:t>
            </w:r>
            <w:r>
              <w:br/>
              <w:t xml:space="preserve"> У подростков (12-17 лет) </w:t>
            </w:r>
            <w:r>
              <w:t>фармакокинетика линезолида, принятого в дозе 600 мг, не отличалась от кинетики у взрослых. Таким образом, при назначении подросткам 600 мг линезолида каждые 12 ч концентрация препарата будет такой же, как у взрослых при назначении той же дозы.</w:t>
            </w:r>
            <w:r>
              <w:br/>
              <w:t xml:space="preserve"> У детей в в</w:t>
            </w:r>
            <w:r>
              <w:t xml:space="preserve">озрасте до 12 лет применение линезолида в дозе 10 </w:t>
            </w:r>
            <w:r>
              <w:lastRenderedPageBreak/>
              <w:t>мг/кг ежедневно каждые 8 часов позволяет достичь той же экспозиции, что и у взрослых при применении 600 мг линезолида два раза в день.</w:t>
            </w:r>
          </w:p>
        </w:tc>
        <w:tc>
          <w:tcPr>
            <w:tcW w:w="7280" w:type="dxa"/>
          </w:tcPr>
          <w:p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07116C">
              <w:rPr>
                <w:b/>
                <w:sz w:val="24"/>
              </w:rPr>
              <w:lastRenderedPageBreak/>
              <w:t>5.2 Фармакокинетические свойства</w:t>
            </w:r>
          </w:p>
          <w:p w:rsidR="00573EB3" w:rsidRDefault="00E42A7E">
            <w:r>
              <w:t>Абсорбция</w:t>
            </w:r>
            <w:r>
              <w:br/>
              <w:t xml:space="preserve"> После приема внутрь линезол</w:t>
            </w:r>
            <w:r>
              <w:t>ид быстро и интенсивно всасывается из желудочно-кишечного тракта. Максимальная концентрация линезолида в плазме крови (Cmax) - 21,2 мг/л, средний период времени до достижения максимальной концентрации линезолида в крови (ТCmax) - 2 ч, абсолютная биодоступн</w:t>
            </w:r>
            <w:r>
              <w:t>ость составляет около 100 %. Прием пищи не влияет на всасывание линезолида. Равновесная концентрация линезолида в крови достигается на 2</w:t>
            </w:r>
            <w:r>
              <w:rPr>
                <w:color w:val="FF0000"/>
              </w:rPr>
              <w:t>-й</w:t>
            </w:r>
            <w:r>
              <w:t xml:space="preserve"> день приема.</w:t>
            </w:r>
            <w:r>
              <w:br/>
              <w:t xml:space="preserve"> Распределение</w:t>
            </w:r>
            <w:r>
              <w:br/>
              <w:t xml:space="preserve"> Объем распределения линезолида при достижении равновесной концентрации у здорового взрос</w:t>
            </w:r>
            <w:r>
              <w:t>лого человека составляет в среднем 40-50 л, что примерно равно общему содержанию воды в организме. Связывание с белками плазмы крови составляет 31 % и не зависит от концентрации линезолида в крови.</w:t>
            </w:r>
            <w:r>
              <w:br/>
              <w:t xml:space="preserve"> Биотрансформация</w:t>
            </w:r>
            <w:r>
              <w:br/>
              <w:t xml:space="preserve"> Установлено, что изоферменты цитохрома </w:t>
            </w:r>
            <w:r>
              <w:t>Р450 не участвуют в метаболизме линезолида in vitro. Линезолид не ингибирует и не потенцирует активность клинически важных изоферментов цитохрома Р450 (1А2, 2С9, 2С19, 2D6, 2Е1, 3А4).</w:t>
            </w:r>
            <w:r>
              <w:br/>
              <w:t xml:space="preserve"> Метаболическое окисление приводит к образованию двух неактивных метабол</w:t>
            </w:r>
            <w:r>
              <w:t>итов гидроксиэтилглицина (основной метаболит у человека, образуется в результате неферментативного процесса) и аминоэтоксиуксусной кислоты (образуется в меньших количествах). Также описаны другие неактивные метаболиты.</w:t>
            </w:r>
            <w:r>
              <w:br/>
              <w:t xml:space="preserve"> Элиминация</w:t>
            </w:r>
            <w:r>
              <w:br/>
            </w:r>
            <w:r>
              <w:lastRenderedPageBreak/>
              <w:t xml:space="preserve"> Внепочечный клиренс сост</w:t>
            </w:r>
            <w:r>
              <w:t>авляет около 65 % клиренса линезолида. С увеличением дозы линезолида отмечается небольшая степень нелинейности клиренса. Это может объясняться снижением почечного и внепочечного клиренса при высокой дозе линезолида. Однако различия клиренса невелики и не в</w:t>
            </w:r>
            <w:r>
              <w:t>лияют на кажущийся период полувыведения. Линезолид у пациентов с нормальной функцией почек и при почечной недостаточности легкой и средней степени выводится почками в виде гидроксиэтилглицина (40 %), аминоэтоксиуксусной кислоты (10 %) и в неизмененном виде</w:t>
            </w:r>
            <w:r>
              <w:t xml:space="preserve"> (30-35 %). Кишечником выводится в виде гидроксиэтилглицина (6 %) и аминоэтоксиуксусной кислоты (3 %). В неизмененном виде линезолид практически не выводится кишечником.</w:t>
            </w:r>
            <w:r>
              <w:br/>
              <w:t xml:space="preserve"> Период полувыведения линезолида в среднем составляет 5-7 ч.</w:t>
            </w:r>
            <w:r>
              <w:br/>
              <w:t xml:space="preserve"> Почечная недостаточность</w:t>
            </w:r>
            <w:r>
              <w:br/>
              <w:t xml:space="preserve"> После однократного приема 600 мг препарата пациентами с тяжелой почечной недостаточностью (клиренс креатинина &lt; 30 мл/мин) концентрация двух его основныхметаболитов возрастала в 7-8 раз. Однако увеличения площади под кривой «концентрация</w:t>
            </w:r>
            <w:r>
              <w:rPr>
                <w:color w:val="FF0000"/>
              </w:rPr>
              <w:t>-</w:t>
            </w:r>
            <w:r>
              <w:t>время» (AUC) исх</w:t>
            </w:r>
            <w:r>
              <w:t>одного препарата не наблюдалось. Несмотря на то, что при гемодиализе выводилось некоторое количество основных метаболитов, их концентрация в плазме крови после приема 600 мг линезолида и проведения процедуры диализа у пациентов с тяжелой почечной недостато</w:t>
            </w:r>
            <w:r>
              <w:t>чностью оставалась существенно выше концентрации в крови у пациентов с нормальной функцией почек, легкой или среднетяжелой почечной недостаточностью.</w:t>
            </w:r>
            <w:r>
              <w:br/>
              <w:t xml:space="preserve"> Печеночная недостаточность</w:t>
            </w:r>
            <w:r>
              <w:br/>
              <w:t xml:space="preserve"> </w:t>
            </w:r>
            <w:r w:rsidRPr="00960B5E">
              <w:rPr>
                <w:highlight w:val="yellow"/>
              </w:rPr>
              <w:t xml:space="preserve">Имеются ограниченные данные о том, что у пациентов с легкой и среднетяжелой </w:t>
            </w:r>
            <w:r w:rsidRPr="00960B5E">
              <w:rPr>
                <w:color w:val="FF0000"/>
                <w:highlight w:val="yellow"/>
              </w:rPr>
              <w:t>п</w:t>
            </w:r>
            <w:r w:rsidRPr="00960B5E">
              <w:rPr>
                <w:color w:val="FF0000"/>
                <w:highlight w:val="yellow"/>
              </w:rPr>
              <w:t>еченочной недостаточност</w:t>
            </w:r>
            <w:r w:rsidRPr="00960B5E">
              <w:rPr>
                <w:highlight w:val="yellow"/>
              </w:rPr>
              <w:t>ью</w:t>
            </w:r>
            <w:r w:rsidRPr="00960B5E">
              <w:rPr>
                <w:color w:val="FF0000"/>
                <w:highlight w:val="yellow"/>
              </w:rPr>
              <w:t xml:space="preserve"> </w:t>
            </w:r>
            <w:r w:rsidRPr="00960B5E">
              <w:rPr>
                <w:color w:val="FF0000"/>
                <w:highlight w:val="yellow"/>
              </w:rPr>
              <w:lastRenderedPageBreak/>
              <w:t>(классы А и В по классификации Ча</w:t>
            </w:r>
            <w:r w:rsidRPr="00960B5E">
              <w:rPr>
                <w:highlight w:val="yellow"/>
              </w:rPr>
              <w:t>й</w:t>
            </w:r>
            <w:r w:rsidRPr="00960B5E">
              <w:rPr>
                <w:color w:val="FF0000"/>
                <w:highlight w:val="yellow"/>
              </w:rPr>
              <w:t>лда</w:t>
            </w:r>
            <w:r w:rsidRPr="00960B5E">
              <w:rPr>
                <w:highlight w:val="yellow"/>
              </w:rPr>
              <w:t xml:space="preserve">-Пью) </w:t>
            </w:r>
            <w:r w:rsidRPr="00960B5E">
              <w:rPr>
                <w:color w:val="FF0000"/>
                <w:highlight w:val="yellow"/>
              </w:rPr>
              <w:t>фармакокинетика линезолида и двух его основных метаболитов не изменяется. Фармакокинетика линезолида у пациентов с тяжелой печеночной недостаточностью (класс метаболизируется неферментны</w:t>
            </w:r>
            <w:r w:rsidRPr="00960B5E">
              <w:rPr>
                <w:color w:val="FF0000"/>
                <w:highlight w:val="yellow"/>
              </w:rPr>
              <w:t>м путем, не ожидается значимого нарушения</w:t>
            </w:r>
            <w:r w:rsidRPr="00960B5E">
              <w:rPr>
                <w:color w:val="FF0000"/>
                <w:highlight w:val="yellow"/>
              </w:rPr>
              <w:br/>
            </w:r>
            <w:r w:rsidRPr="00960B5E">
              <w:rPr>
                <w:color w:val="FF0000"/>
                <w:highlight w:val="yellow"/>
              </w:rPr>
              <w:br/>
              <w:t xml:space="preserve">• С по классификации Чайлда-Пью) </w:t>
            </w:r>
            <w:r w:rsidRPr="00960B5E">
              <w:rPr>
                <w:highlight w:val="yellow"/>
              </w:rPr>
              <w:t>не изучалась. Однако, поскольку линезолид его метаболизма при печеночной недостаточности.</w:t>
            </w:r>
            <w:r>
              <w:br/>
              <w:t xml:space="preserve"> Лица пожилого возраста</w:t>
            </w:r>
            <w:r>
              <w:br/>
              <w:t xml:space="preserve"> У пожилых пациентов в возрасте 65 лет и старше фармакокинетика ли</w:t>
            </w:r>
            <w:r>
              <w:t>незолида существенно не изменяется.</w:t>
            </w:r>
            <w:r>
              <w:br/>
              <w:t xml:space="preserve"> Женщины</w:t>
            </w:r>
            <w:r>
              <w:br/>
              <w:t xml:space="preserve"> У женщин объем распределения линезолида несколько ниже, чем у мужчин; у них также на 20 % снижен средний клиренс при расчете на массу тела. Концентрация препарата в плазме</w:t>
            </w:r>
            <w:r>
              <w:rPr>
                <w:color w:val="FF0000"/>
              </w:rPr>
              <w:br/>
            </w:r>
            <w:r>
              <w:rPr>
                <w:color w:val="FF0000"/>
              </w:rPr>
              <w:br/>
            </w:r>
            <w:r>
              <w:t xml:space="preserve">крови женщин выше, чем у мужчин, что </w:t>
            </w:r>
            <w:r>
              <w:t>может отчасти объясняться различиями массы тела. Однако, поскольку период полувыведения линезолида у мужчин и женщин существенно не отличается, нет повода ожидать повышения концентрации препарата в крови женщин выше переносимого значения, так что коррекции</w:t>
            </w:r>
            <w:r>
              <w:t xml:space="preserve"> дозы не требуется.</w:t>
            </w:r>
            <w:r>
              <w:br/>
              <w:t xml:space="preserve"> Дети</w:t>
            </w:r>
            <w:r>
              <w:br/>
              <w:t xml:space="preserve"> У подростков (12-17 лет) фармакокинетика линезолида, принятого в дозе 600 мг, не отличалась от кинетики у взрослых. Таким образом, при назначении подросткам 600 мг линезолида каждые 12 ч концентрация препарата будет такой же, как</w:t>
            </w:r>
            <w:r>
              <w:t xml:space="preserve"> у взрослых при назначении той же дозы.</w:t>
            </w:r>
            <w:r>
              <w:br/>
              <w:t xml:space="preserve"> У детей в возрасте до 12 лет применение линезолида в дозе 10 мг/кг ежедневно каждые 8 часов позволяет достичь той же </w:t>
            </w:r>
            <w:r>
              <w:lastRenderedPageBreak/>
              <w:t>экспозиции, что и у взрослых при применении 600 мг линезолида два раза в день.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lastRenderedPageBreak/>
              <w:t xml:space="preserve">6. </w:t>
            </w:r>
            <w:r w:rsidRPr="00B32A72">
              <w:rPr>
                <w:b/>
                <w:bCs/>
                <w:sz w:val="23"/>
                <w:szCs w:val="23"/>
              </w:rPr>
              <w:t>ФАРМАЦЕВТИЧЕСКИЕ СВОЙСТВА</w:t>
            </w:r>
          </w:p>
          <w:p w:rsidR="00573EB3" w:rsidRDefault="00573EB3"/>
        </w:tc>
        <w:tc>
          <w:tcPr>
            <w:tcW w:w="7280" w:type="dxa"/>
          </w:tcPr>
          <w:p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6. </w:t>
            </w:r>
            <w:r w:rsidRPr="00B32A72">
              <w:rPr>
                <w:b/>
                <w:bCs/>
                <w:sz w:val="23"/>
                <w:szCs w:val="23"/>
              </w:rPr>
              <w:t>ФАРМАЦЕВТИЧЕСКИЕ СВОЙСТВА</w:t>
            </w:r>
          </w:p>
          <w:p w:rsidR="00573EB3" w:rsidRDefault="00573EB3"/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6.1 </w:t>
            </w:r>
            <w:r w:rsidRPr="00B32A72">
              <w:rPr>
                <w:b/>
                <w:sz w:val="24"/>
              </w:rPr>
              <w:t>Перечень вспомогательных веществ</w:t>
            </w:r>
          </w:p>
          <w:p w:rsidR="00573EB3" w:rsidRDefault="00E42A7E">
            <w:r>
              <w:t>Состав ядра</w:t>
            </w:r>
            <w:r>
              <w:br/>
              <w:t xml:space="preserve"> Целлюлоза микрокристаллическая (тип 102)</w:t>
            </w:r>
            <w:r>
              <w:br/>
              <w:t xml:space="preserve"> Коповидон</w:t>
            </w:r>
            <w:r>
              <w:br/>
              <w:t xml:space="preserve"> Крахмал кукурузный прежелатинизированный</w:t>
            </w:r>
            <w:r>
              <w:br/>
              <w:t xml:space="preserve"> Карбоксиметилкрахмал натрия</w:t>
            </w:r>
            <w:r>
              <w:t xml:space="preserve"> тип А (натрия крахмал гликолят тип А)</w:t>
            </w:r>
            <w:r>
              <w:br/>
              <w:t xml:space="preserve"> Кремния диоксид коллоидный (аэросил)</w:t>
            </w:r>
            <w:r>
              <w:br/>
              <w:t xml:space="preserve"> Натрия стеарилфумарат</w:t>
            </w:r>
            <w:r>
              <w:br/>
              <w:t xml:space="preserve"> Магния карбонат (магний углекислый основной водный)</w:t>
            </w:r>
            <w:r>
              <w:br/>
              <w:t xml:space="preserve"> Гипромеллоза-2910 (оксиметилпропилцеллюлоза)</w:t>
            </w:r>
            <w:r>
              <w:br/>
              <w:t xml:space="preserve"> Состав оболочки</w:t>
            </w:r>
            <w:r>
              <w:br/>
              <w:t xml:space="preserve"> Готовая смесь для пленочной оболочки</w:t>
            </w:r>
            <w:r>
              <w:br/>
              <w:t xml:space="preserve"> Т</w:t>
            </w:r>
            <w:r>
              <w:t>итана диоксид</w:t>
            </w:r>
            <w:r>
              <w:br/>
              <w:t xml:space="preserve"> Тальк</w:t>
            </w:r>
            <w:r>
              <w:br/>
              <w:t xml:space="preserve"> Поливиниловый спирт</w:t>
            </w:r>
            <w:r>
              <w:br/>
              <w:t xml:space="preserve"> Краситель железа оксид желтый</w:t>
            </w:r>
            <w:r>
              <w:br/>
              <w:t xml:space="preserve"> Макрогол-4000</w:t>
            </w:r>
          </w:p>
        </w:tc>
        <w:tc>
          <w:tcPr>
            <w:tcW w:w="7280" w:type="dxa"/>
          </w:tcPr>
          <w:p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6.1 </w:t>
            </w:r>
            <w:r w:rsidRPr="00B32A72">
              <w:rPr>
                <w:b/>
                <w:sz w:val="24"/>
              </w:rPr>
              <w:t>Перечень вспомогательных веществ</w:t>
            </w:r>
          </w:p>
          <w:p w:rsidR="00573EB3" w:rsidRDefault="00E42A7E">
            <w:r>
              <w:t>Состав ядра</w:t>
            </w:r>
            <w:r>
              <w:br/>
              <w:t xml:space="preserve"> Целлюлоза микрокристаллическая (тип 102)</w:t>
            </w:r>
            <w:r>
              <w:br/>
              <w:t xml:space="preserve"> Коповидон</w:t>
            </w:r>
            <w:r>
              <w:br/>
              <w:t xml:space="preserve"> Крахмал кукурузный прежелатинизированный</w:t>
            </w:r>
            <w:r>
              <w:br/>
              <w:t xml:space="preserve"> Карбоксиметилкрахмал на</w:t>
            </w:r>
            <w:r>
              <w:t>трия</w:t>
            </w:r>
            <w:r>
              <w:rPr>
                <w:color w:val="FF0000"/>
              </w:rPr>
              <w:t>,</w:t>
            </w:r>
            <w:r>
              <w:t xml:space="preserve"> тип А (натрия крахмал гликолят</w:t>
            </w:r>
            <w:r>
              <w:rPr>
                <w:color w:val="FF0000"/>
              </w:rPr>
              <w:t>,</w:t>
            </w:r>
            <w:r>
              <w:t xml:space="preserve"> тип А)</w:t>
            </w:r>
            <w:r>
              <w:br/>
              <w:t xml:space="preserve"> Кремния диоксид коллоидный (аэросил)</w:t>
            </w:r>
            <w:r>
              <w:br/>
              <w:t xml:space="preserve"> Натрия стеарилфумарат</w:t>
            </w:r>
            <w:r>
              <w:br/>
              <w:t xml:space="preserve"> Магния карбонат (магний углекислый основной водный)</w:t>
            </w:r>
            <w:r>
              <w:br/>
              <w:t xml:space="preserve"> Гипромеллоза-2910 (оксиметилпропилцеллюлоза)</w:t>
            </w:r>
            <w:r>
              <w:br/>
              <w:t xml:space="preserve"> Состав оболочки</w:t>
            </w:r>
            <w:r>
              <w:br/>
              <w:t xml:space="preserve"> Готовая смесь для пленочной оболо</w:t>
            </w:r>
            <w:r>
              <w:t>чки</w:t>
            </w:r>
            <w:r>
              <w:br/>
              <w:t xml:space="preserve"> Титана диоксид</w:t>
            </w:r>
            <w:r>
              <w:br/>
              <w:t xml:space="preserve"> Тальк</w:t>
            </w:r>
            <w:r>
              <w:br/>
              <w:t xml:space="preserve"> Поливиниловый спирт</w:t>
            </w:r>
            <w:r>
              <w:br/>
              <w:t xml:space="preserve"> Краситель железа оксид желтый</w:t>
            </w:r>
            <w:r>
              <w:br/>
              <w:t xml:space="preserve"> Макрогол-4000</w:t>
            </w:r>
            <w:r>
              <w:rPr>
                <w:color w:val="FF0000"/>
              </w:rPr>
              <w:t xml:space="preserve"> (полиэтиленгликоль-4000)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6.2 </w:t>
            </w:r>
            <w:r w:rsidRPr="00B32A72">
              <w:rPr>
                <w:b/>
                <w:sz w:val="24"/>
              </w:rPr>
              <w:t>Несовместимость</w:t>
            </w:r>
          </w:p>
          <w:p w:rsidR="00573EB3" w:rsidRDefault="00E42A7E">
            <w:r>
              <w:t>Не применимо.</w:t>
            </w:r>
          </w:p>
        </w:tc>
        <w:tc>
          <w:tcPr>
            <w:tcW w:w="7280" w:type="dxa"/>
          </w:tcPr>
          <w:p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6.2 </w:t>
            </w:r>
            <w:r w:rsidRPr="00B32A72">
              <w:rPr>
                <w:b/>
                <w:sz w:val="24"/>
              </w:rPr>
              <w:t>Несовместимость</w:t>
            </w:r>
          </w:p>
          <w:p w:rsidR="00573EB3" w:rsidRDefault="00E42A7E">
            <w:r>
              <w:t>Не применимо.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6.3 </w:t>
            </w:r>
            <w:r w:rsidRPr="00B32A72">
              <w:rPr>
                <w:b/>
                <w:sz w:val="24"/>
              </w:rPr>
              <w:t>Срок годности (срок хранения)</w:t>
            </w:r>
          </w:p>
          <w:p w:rsidR="00573EB3" w:rsidRDefault="00E42A7E">
            <w:r>
              <w:t>3 года.</w:t>
            </w:r>
          </w:p>
        </w:tc>
        <w:tc>
          <w:tcPr>
            <w:tcW w:w="7280" w:type="dxa"/>
          </w:tcPr>
          <w:p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6.3 </w:t>
            </w:r>
            <w:r w:rsidRPr="00B32A72">
              <w:rPr>
                <w:b/>
                <w:sz w:val="24"/>
              </w:rPr>
              <w:t>Срок годности (срок хранения)</w:t>
            </w:r>
          </w:p>
          <w:p w:rsidR="00573EB3" w:rsidRDefault="00E42A7E">
            <w:r>
              <w:t>3 года.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577D01">
              <w:rPr>
                <w:b/>
                <w:sz w:val="24"/>
              </w:rPr>
              <w:t xml:space="preserve">6.4 </w:t>
            </w:r>
            <w:r w:rsidRPr="00B32A72">
              <w:rPr>
                <w:b/>
                <w:sz w:val="24"/>
              </w:rPr>
              <w:t>Особые меры предосторожности при хранении</w:t>
            </w:r>
          </w:p>
          <w:p w:rsidR="00573EB3" w:rsidRDefault="00E42A7E">
            <w:r>
              <w:t>Хранить при температуре не выше 25 oС.</w:t>
            </w:r>
          </w:p>
        </w:tc>
        <w:tc>
          <w:tcPr>
            <w:tcW w:w="7280" w:type="dxa"/>
          </w:tcPr>
          <w:p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577D01">
              <w:rPr>
                <w:b/>
                <w:sz w:val="24"/>
              </w:rPr>
              <w:t xml:space="preserve">6.4 </w:t>
            </w:r>
            <w:r w:rsidRPr="00B32A72">
              <w:rPr>
                <w:b/>
                <w:sz w:val="24"/>
              </w:rPr>
              <w:t>Особые меры предосторожности при хранении</w:t>
            </w:r>
          </w:p>
          <w:p w:rsidR="00573EB3" w:rsidRDefault="00E42A7E">
            <w:r>
              <w:t>Хранить при температуре не выше 25 oС.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577D01">
              <w:rPr>
                <w:b/>
                <w:sz w:val="24"/>
              </w:rPr>
              <w:t xml:space="preserve">6.5 </w:t>
            </w:r>
            <w:r w:rsidRPr="00B32A72">
              <w:rPr>
                <w:b/>
                <w:sz w:val="24"/>
              </w:rPr>
              <w:t>Характер и содержание первичной упаковки</w:t>
            </w:r>
          </w:p>
          <w:p w:rsidR="00573EB3" w:rsidRDefault="00E42A7E">
            <w:r>
              <w:t>По 10, 14, 20, 24, 30,</w:t>
            </w:r>
            <w:r>
              <w:t xml:space="preserve"> 50 или 100 таблеток в банки полимерные из полиэтилена или полипропилена с крышкой навинчиваемой </w:t>
            </w:r>
            <w:r>
              <w:lastRenderedPageBreak/>
              <w:t>или натягиваемой. При отсутствии уплотнителя пробки свободное пространство в банке заполняют ватой медицинской гигроскопической или амортизатором.</w:t>
            </w:r>
            <w:r>
              <w:br/>
              <w:t xml:space="preserve"> По 10 табле</w:t>
            </w:r>
            <w:r>
              <w:t>ток в контурную ячейковую упаковку из пленки поливинилхлоридной и фольги алюминиевой печатной лакированной.</w:t>
            </w:r>
            <w:r>
              <w:br/>
            </w:r>
            <w:r>
              <w:rPr>
                <w:color w:val="008000"/>
              </w:rPr>
              <w:br/>
              <w:t>•</w:t>
            </w:r>
            <w:r>
              <w:t xml:space="preserve"> 1 банку или 1, 2, 3, 5, 6 или 10 контурных ячейковых упаковок с </w:t>
            </w:r>
            <w:r>
              <w:rPr>
                <w:color w:val="008000"/>
              </w:rPr>
              <w:t>инструкцией по применени</w:t>
            </w:r>
            <w:r>
              <w:t>ю</w:t>
            </w:r>
            <w:r>
              <w:rPr>
                <w:color w:val="008000"/>
              </w:rPr>
              <w:t xml:space="preserve"> помещаю</w:t>
            </w:r>
            <w:r>
              <w:t>т в пачку из картона.</w:t>
            </w:r>
            <w:r>
              <w:rPr>
                <w:color w:val="008000"/>
              </w:rPr>
              <w:br/>
            </w:r>
            <w:commentRangeStart w:id="7"/>
            <w:r w:rsidRPr="00960B5E">
              <w:rPr>
                <w:color w:val="008000"/>
                <w:highlight w:val="yellow"/>
              </w:rPr>
              <w:t>• 6.6. Особые меры предост</w:t>
            </w:r>
            <w:r w:rsidRPr="00960B5E">
              <w:rPr>
                <w:color w:val="008000"/>
                <w:highlight w:val="yellow"/>
              </w:rPr>
              <w:t>орожности при уничтожении использованного лекарственного препарата или отходов, полученных после применения лекарственного препарата, и другие манипуляции с препаратом</w:t>
            </w:r>
            <w:r w:rsidRPr="00960B5E">
              <w:rPr>
                <w:color w:val="008000"/>
                <w:highlight w:val="yellow"/>
              </w:rPr>
              <w:br/>
            </w:r>
            <w:r w:rsidRPr="00960B5E">
              <w:rPr>
                <w:color w:val="008000"/>
                <w:highlight w:val="yellow"/>
              </w:rPr>
              <w:br/>
              <w:t xml:space="preserve"> Особые требования отсутствуют.</w:t>
            </w:r>
            <w:commentRangeEnd w:id="7"/>
            <w:r w:rsidR="00F53309">
              <w:rPr>
                <w:rStyle w:val="af4"/>
              </w:rPr>
              <w:commentReference w:id="7"/>
            </w:r>
          </w:p>
        </w:tc>
        <w:tc>
          <w:tcPr>
            <w:tcW w:w="7280" w:type="dxa"/>
          </w:tcPr>
          <w:p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577D01">
              <w:rPr>
                <w:b/>
                <w:sz w:val="24"/>
              </w:rPr>
              <w:lastRenderedPageBreak/>
              <w:t xml:space="preserve">6.5 </w:t>
            </w:r>
            <w:r w:rsidRPr="00B32A72">
              <w:rPr>
                <w:b/>
                <w:sz w:val="24"/>
              </w:rPr>
              <w:t>Характер и содержание первичной упаковки</w:t>
            </w:r>
          </w:p>
          <w:p w:rsidR="00573EB3" w:rsidRDefault="00E42A7E">
            <w:r>
              <w:t>По 10, 14,</w:t>
            </w:r>
            <w:r>
              <w:t xml:space="preserve"> 20, 24, 30, 50 или 100 таблеток в банки полимерные из полиэтилена или полипропилена с крышкой навинчиваемой </w:t>
            </w:r>
            <w:r>
              <w:lastRenderedPageBreak/>
              <w:t>или натягиваемой. При отсутствии уплотнителя пробки свободное пространство в банке заполняют ватой медицинской гигроскопической или амортизатором.</w:t>
            </w:r>
            <w:r>
              <w:br/>
            </w:r>
            <w:r>
              <w:t xml:space="preserve"> По 10 таблеток в контурную ячейковую упаковку из пленки поливинилхлоридной и фольги алюминиевой печатной лакированной.</w:t>
            </w:r>
            <w:r>
              <w:br/>
              <w:t xml:space="preserve"> 1 банку или 1, 2, 3, 5, 6 или 10 контурных ячейковых упаковок с </w:t>
            </w:r>
            <w:r>
              <w:rPr>
                <w:color w:val="FF0000"/>
              </w:rPr>
              <w:t>листком-вкладышем помеща</w:t>
            </w:r>
            <w:r>
              <w:t>ют в пачку из картона.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577D01">
              <w:rPr>
                <w:b/>
                <w:sz w:val="24"/>
              </w:rPr>
              <w:lastRenderedPageBreak/>
              <w:t xml:space="preserve">6.6 </w:t>
            </w:r>
            <w:r w:rsidRPr="00B32A72">
              <w:rPr>
                <w:b/>
                <w:sz w:val="24"/>
              </w:rPr>
              <w:t>Особые меры предосторожности при уничтожении использованного лекарственного препарата или отходов, полученных после применения лекарственного препарата, и другие манипуляции с препаратом</w:t>
            </w:r>
          </w:p>
          <w:p w:rsidR="00573EB3" w:rsidRDefault="00573EB3"/>
        </w:tc>
        <w:tc>
          <w:tcPr>
            <w:tcW w:w="7280" w:type="dxa"/>
          </w:tcPr>
          <w:p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577D01">
              <w:rPr>
                <w:b/>
                <w:sz w:val="24"/>
              </w:rPr>
              <w:t xml:space="preserve">6.6 </w:t>
            </w:r>
            <w:r w:rsidRPr="00B32A72">
              <w:rPr>
                <w:b/>
                <w:sz w:val="24"/>
              </w:rPr>
              <w:t>Особые меры предосторожности при уничтожении использованного лекарственного препарата или отходов, полученных после применения лекарственного препарата, и другие манипуляции с препаратом</w:t>
            </w:r>
          </w:p>
          <w:p w:rsidR="00573EB3" w:rsidRDefault="00E42A7E">
            <w:r>
              <w:rPr>
                <w:color w:val="FF0000"/>
              </w:rPr>
              <w:t>лекарственного препарата или отходов, полученных после лекарственного препарата, и другие манипуляции с препаратом Особые требования отсутствуют.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 w:rsidRPr="00655BDA">
              <w:rPr>
                <w:b/>
                <w:bCs/>
                <w:sz w:val="23"/>
                <w:szCs w:val="23"/>
              </w:rPr>
              <w:t xml:space="preserve">7. </w:t>
            </w:r>
            <w:r w:rsidRPr="00B32A72">
              <w:rPr>
                <w:b/>
                <w:bCs/>
                <w:sz w:val="23"/>
                <w:szCs w:val="23"/>
              </w:rPr>
              <w:t>ДЕРЖАТЕЛЬ РЕГИСТРАЦИОННОГО УДОСТОВЕРЕНИЯ</w:t>
            </w:r>
          </w:p>
          <w:p w:rsidR="00573EB3" w:rsidRDefault="00E42A7E">
            <w:r>
              <w:t>Российская Федерация</w:t>
            </w:r>
            <w:r>
              <w:br/>
              <w:t xml:space="preserve"> Публичное акционерное общество «Акционерное Курганское общество медицинских препаратов и изделий «Синтез» (ПАО «Синтез»)</w:t>
            </w:r>
            <w:r>
              <w:br/>
              <w:t xml:space="preserve"> 640008, Курганская обл., г. Курган, проспект Конституции, д. 7</w:t>
            </w:r>
            <w:r>
              <w:rPr>
                <w:color w:val="008000"/>
              </w:rPr>
              <w:t>.</w:t>
            </w:r>
            <w:r>
              <w:br/>
              <w:t xml:space="preserve"> Телефон:</w:t>
            </w:r>
            <w:r>
              <w:t xml:space="preserve"> +7 (495) 646-28-68</w:t>
            </w:r>
            <w:r>
              <w:br/>
              <w:t xml:space="preserve"> e-mail: info@binnopharmgroup.ru</w:t>
            </w:r>
          </w:p>
        </w:tc>
        <w:tc>
          <w:tcPr>
            <w:tcW w:w="7280" w:type="dxa"/>
          </w:tcPr>
          <w:p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 w:rsidRPr="00655BDA">
              <w:rPr>
                <w:b/>
                <w:bCs/>
                <w:sz w:val="23"/>
                <w:szCs w:val="23"/>
              </w:rPr>
              <w:t xml:space="preserve">7. </w:t>
            </w:r>
            <w:r w:rsidRPr="00B32A72">
              <w:rPr>
                <w:b/>
                <w:bCs/>
                <w:sz w:val="23"/>
                <w:szCs w:val="23"/>
              </w:rPr>
              <w:t>ДЕРЖАТЕЛЬ РЕГИСТРАЦИОННОГО УДОСТОВЕРЕНИЯ</w:t>
            </w:r>
          </w:p>
          <w:p w:rsidR="00573EB3" w:rsidRDefault="00E42A7E">
            <w:r>
              <w:t>Российская Федерация</w:t>
            </w:r>
            <w:r>
              <w:br/>
              <w:t xml:space="preserve"> Публичное акционерное общество «Акционерное Курганское общество медицинских препаратов и изделий «Синтез» (ПАО «Синтез»)</w:t>
            </w:r>
            <w:r>
              <w:br/>
              <w:t xml:space="preserve"> 640008, Курганс</w:t>
            </w:r>
            <w:r>
              <w:t>кая обл., г. Курган, проспект Конституции, д. 7</w:t>
            </w:r>
            <w:r>
              <w:br/>
              <w:t xml:space="preserve"> Телефон: +7 (495) 646-28-68</w:t>
            </w:r>
            <w:r>
              <w:br/>
              <w:t xml:space="preserve"> e-mail: info@binnopharmgroup.ru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lastRenderedPageBreak/>
              <w:t xml:space="preserve">7.1 </w:t>
            </w:r>
            <w:r w:rsidRPr="00B32A72">
              <w:rPr>
                <w:b/>
                <w:sz w:val="24"/>
              </w:rPr>
              <w:t>Представитель держателя регистрационного удостоверения</w:t>
            </w:r>
          </w:p>
          <w:p w:rsidR="00573EB3" w:rsidRDefault="00E42A7E">
            <w:r>
              <w:t>Претензии потребителей направлять по адресу:</w:t>
            </w:r>
            <w:r>
              <w:br/>
              <w:t xml:space="preserve"> Российская Федерация</w:t>
            </w:r>
            <w:r>
              <w:br/>
              <w:t xml:space="preserve"> Публичное акционер</w:t>
            </w:r>
            <w:r>
              <w:t>ное общество «Акционерное Курганское общество медицинских</w:t>
            </w:r>
            <w:r>
              <w:rPr>
                <w:color w:val="008000"/>
              </w:rPr>
              <w:br/>
            </w:r>
            <w:r>
              <w:rPr>
                <w:color w:val="008000"/>
              </w:rPr>
              <w:br/>
            </w:r>
            <w:r>
              <w:t>препаратов и изделий «Синтез» (ПАО «Синтез»)</w:t>
            </w:r>
            <w:r>
              <w:br/>
              <w:t xml:space="preserve"> 640008, Курганская обл., г. Курган, проспект Конституции, д. 7</w:t>
            </w:r>
            <w:r>
              <w:rPr>
                <w:color w:val="008000"/>
              </w:rPr>
              <w:t>.</w:t>
            </w:r>
            <w:r>
              <w:br/>
              <w:t xml:space="preserve"> Телефон: +7 (495) 646-28-68</w:t>
            </w:r>
            <w:r>
              <w:br/>
              <w:t xml:space="preserve"> e-mail: info@binnopharmgroup.ru</w:t>
            </w:r>
          </w:p>
        </w:tc>
        <w:tc>
          <w:tcPr>
            <w:tcW w:w="7280" w:type="dxa"/>
          </w:tcPr>
          <w:p w:rsid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color w:val="FF0000"/>
                <w:sz w:val="28"/>
                <w:szCs w:val="28"/>
              </w:rPr>
            </w:pPr>
            <w:r w:rsidRPr="003D6C68">
              <w:rPr>
                <w:b/>
                <w:sz w:val="24"/>
              </w:rPr>
              <w:t xml:space="preserve">7.1 </w:t>
            </w:r>
            <w:r w:rsidRPr="00B32A72">
              <w:rPr>
                <w:b/>
                <w:sz w:val="24"/>
              </w:rPr>
              <w:t>Представитель держателя регистрационного удостоверения</w:t>
            </w:r>
          </w:p>
          <w:p w:rsidR="00573EB3" w:rsidRDefault="00E42A7E">
            <w:r>
              <w:t>Претензии потребителей направлять по адресу:</w:t>
            </w:r>
            <w:r>
              <w:br/>
              <w:t xml:space="preserve"> Российская Федерация</w:t>
            </w:r>
            <w:r>
              <w:br/>
              <w:t xml:space="preserve"> Публичное акционерное общество «Акционерное Курганское общество медицинскихпрепаратов и изделий «Синтез» (ПАО «Синтез»)</w:t>
            </w:r>
            <w:r>
              <w:br/>
              <w:t xml:space="preserve"> 640008, Курганская обл., г</w:t>
            </w:r>
            <w:r>
              <w:t>. Курган, проспект Конституции, д. 7</w:t>
            </w:r>
            <w:r>
              <w:br/>
              <w:t xml:space="preserve"> Телефон: +7 (495) 646-28-68</w:t>
            </w:r>
            <w:r>
              <w:br/>
              <w:t xml:space="preserve"> e-mail: info@binnopharmgroup.ru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 w:rsidRPr="00655BDA">
              <w:rPr>
                <w:b/>
                <w:bCs/>
                <w:sz w:val="23"/>
                <w:szCs w:val="23"/>
              </w:rPr>
              <w:t xml:space="preserve">8. </w:t>
            </w:r>
            <w:r w:rsidRPr="00B32A72">
              <w:rPr>
                <w:b/>
                <w:bCs/>
                <w:sz w:val="23"/>
                <w:szCs w:val="23"/>
              </w:rPr>
              <w:t>НОМЕР РЕГИСТРАЦИОННОГО УДОСТОВЕРЕНИЯ</w:t>
            </w:r>
          </w:p>
          <w:p w:rsidR="00573EB3" w:rsidRDefault="00E42A7E">
            <w:r>
              <w:t>ЛП-No(001766)-(РГ-RU)</w:t>
            </w:r>
          </w:p>
        </w:tc>
        <w:tc>
          <w:tcPr>
            <w:tcW w:w="7280" w:type="dxa"/>
          </w:tcPr>
          <w:p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 w:rsidRPr="00655BDA">
              <w:rPr>
                <w:b/>
                <w:bCs/>
                <w:sz w:val="23"/>
                <w:szCs w:val="23"/>
              </w:rPr>
              <w:t xml:space="preserve">8. </w:t>
            </w:r>
            <w:r w:rsidRPr="00B32A72">
              <w:rPr>
                <w:b/>
                <w:bCs/>
                <w:sz w:val="23"/>
                <w:szCs w:val="23"/>
              </w:rPr>
              <w:t>НОМЕР РЕГИСТРАЦИОННОГО УДОСТОВЕРЕНИЯ</w:t>
            </w:r>
          </w:p>
          <w:p w:rsidR="00573EB3" w:rsidRDefault="00E42A7E">
            <w:r>
              <w:t>ЛП-No(001766)-(РГ-RU)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 w:rsidRPr="00B32A72">
              <w:rPr>
                <w:b/>
                <w:bCs/>
                <w:sz w:val="23"/>
                <w:szCs w:val="23"/>
              </w:rPr>
              <w:t>9. ДАТА ПЕРВИЧНОЙ РЕГИСТРАЦИИ (ПОДТВЕРЖДЕНИЯ РЕГИСТРАЦИИ, ПЕРЕРЕГИСТРАЦИИ)</w:t>
            </w:r>
          </w:p>
          <w:p w:rsidR="00573EB3" w:rsidRDefault="00E42A7E">
            <w:r>
              <w:t>Дата первой регистрации: 02.02.2023</w:t>
            </w:r>
          </w:p>
        </w:tc>
        <w:tc>
          <w:tcPr>
            <w:tcW w:w="7280" w:type="dxa"/>
          </w:tcPr>
          <w:p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 w:rsidRPr="00B32A72">
              <w:rPr>
                <w:b/>
                <w:bCs/>
                <w:sz w:val="23"/>
                <w:szCs w:val="23"/>
              </w:rPr>
              <w:t>9. ДАТА ПЕРВИЧНОЙ РЕГИСТРАЦИИ (ПОДТВЕРЖДЕНИЯ РЕГИСТРАЦИИ, ПЕРЕРЕГИСТРАЦИИ)</w:t>
            </w:r>
          </w:p>
          <w:p w:rsidR="00573EB3" w:rsidRDefault="00E42A7E">
            <w:r>
              <w:t>Дата первой регистрации: 02.02.2023</w:t>
            </w:r>
          </w:p>
        </w:tc>
      </w:tr>
      <w:tr w:rsidR="0007116C" w:rsidTr="00E94612">
        <w:tc>
          <w:tcPr>
            <w:tcW w:w="7280" w:type="dxa"/>
          </w:tcPr>
          <w:p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 w:rsidRPr="00655BDA">
              <w:rPr>
                <w:b/>
                <w:bCs/>
                <w:sz w:val="23"/>
                <w:szCs w:val="23"/>
              </w:rPr>
              <w:t xml:space="preserve">10. </w:t>
            </w:r>
            <w:r w:rsidRPr="00B32A72">
              <w:rPr>
                <w:b/>
                <w:bCs/>
                <w:sz w:val="23"/>
                <w:szCs w:val="23"/>
              </w:rPr>
              <w:t>ДАТА ПЕРЕСМОТРА ТЕКСТА</w:t>
            </w:r>
          </w:p>
          <w:p w:rsidR="00573EB3" w:rsidRDefault="00E42A7E">
            <w:r>
              <w:t xml:space="preserve">Общая характеристика лекарственного </w:t>
            </w:r>
            <w:r>
              <w:t>препарата ЛИНЕЗОЛИД доступна на информационном портале Евразийского экономического союза в информационнокоммуникационной сети «Интернет»: https://eec.eaeunion.org/.</w:t>
            </w:r>
          </w:p>
        </w:tc>
        <w:tc>
          <w:tcPr>
            <w:tcW w:w="7280" w:type="dxa"/>
          </w:tcPr>
          <w:p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 w:rsidRPr="00655BDA">
              <w:rPr>
                <w:b/>
                <w:bCs/>
                <w:sz w:val="23"/>
                <w:szCs w:val="23"/>
              </w:rPr>
              <w:t xml:space="preserve">10. </w:t>
            </w:r>
            <w:r w:rsidRPr="00B32A72">
              <w:rPr>
                <w:b/>
                <w:bCs/>
                <w:sz w:val="23"/>
                <w:szCs w:val="23"/>
              </w:rPr>
              <w:t>ДАТА ПЕРЕСМОТРА ТЕКСТА</w:t>
            </w:r>
          </w:p>
          <w:p w:rsidR="00573EB3" w:rsidRDefault="00E42A7E">
            <w:r>
              <w:t>Общая характеристика лекарственного препарата ЛИНЕЗОЛИД доступна</w:t>
            </w:r>
            <w:r>
              <w:t xml:space="preserve"> на информационном портале Евразийского экономического союза в информационнокоммуникационной сети «Интернет»: https://eec.eaeunion.org/.</w:t>
            </w:r>
          </w:p>
        </w:tc>
      </w:tr>
    </w:tbl>
    <w:p w:rsidR="00FB11A4" w:rsidRDefault="00FB11A4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p w:rsidR="000774F1" w:rsidRPr="000774F1" w:rsidRDefault="000774F1" w:rsidP="000774F1">
      <w:pPr>
        <w:tabs>
          <w:tab w:val="left" w:pos="1047"/>
        </w:tabs>
        <w:jc w:val="center"/>
        <w:rPr>
          <w:b/>
          <w:bCs/>
          <w:sz w:val="20"/>
        </w:rPr>
      </w:pPr>
    </w:p>
    <w:sectPr w:rsidR="000774F1" w:rsidRPr="000774F1" w:rsidSect="00345710">
      <w:pgSz w:w="16838" w:h="11906" w:orient="landscape"/>
      <w:pgMar w:top="1134" w:right="1134" w:bottom="851" w:left="1134" w:header="709" w:footer="1134" w:gutter="0"/>
      <w:cols w:space="708"/>
      <w:titlePg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beshlieva" w:date="2025-09-02T16:06:00Z" w:initials="ED">
    <w:p w:rsidR="00655BDA" w:rsidRDefault="00655BDA">
      <w:pPr>
        <w:pStyle w:val="af5"/>
      </w:pPr>
      <w:r>
        <w:rPr>
          <w:rStyle w:val="af4"/>
        </w:rPr>
        <w:annotationRef/>
      </w:r>
    </w:p>
    <w:p w:rsidR="00655BDA" w:rsidRDefault="00655BDA" w:rsidP="00655BDA">
      <w:pPr>
        <w:pStyle w:val="af5"/>
      </w:pPr>
      <w:r>
        <w:t>Текст одинаковый, но выделил как различие.</w:t>
      </w:r>
    </w:p>
  </w:comment>
  <w:comment w:id="1" w:author="beshlieva" w:date="2025-09-02T16:06:00Z" w:initials="ED">
    <w:p w:rsidR="00655BDA" w:rsidRDefault="00655BDA">
      <w:pPr>
        <w:pStyle w:val="af5"/>
      </w:pPr>
      <w:r>
        <w:rPr>
          <w:rStyle w:val="af4"/>
        </w:rPr>
        <w:annotationRef/>
      </w:r>
    </w:p>
    <w:p w:rsidR="00655BDA" w:rsidRDefault="00655BDA" w:rsidP="00655BDA">
      <w:pPr>
        <w:pStyle w:val="af5"/>
      </w:pPr>
      <w:r>
        <w:t>Текст одинаковый, но выделил как различие.</w:t>
      </w:r>
    </w:p>
  </w:comment>
  <w:comment w:id="2" w:author="beshlieva" w:date="2025-09-02T16:04:00Z" w:initials="ED">
    <w:p w:rsidR="00655BDA" w:rsidRDefault="00655BDA">
      <w:pPr>
        <w:pStyle w:val="af5"/>
      </w:pPr>
      <w:r>
        <w:rPr>
          <w:rStyle w:val="af4"/>
        </w:rPr>
        <w:annotationRef/>
      </w:r>
    </w:p>
    <w:p w:rsidR="00655BDA" w:rsidRDefault="00655BDA">
      <w:pPr>
        <w:pStyle w:val="af5"/>
      </w:pPr>
      <w:r>
        <w:t>Текст одинаковый, но выделил как различие.</w:t>
      </w:r>
    </w:p>
  </w:comment>
  <w:comment w:id="3" w:author="beshlieva" w:date="2025-09-02T16:10:00Z" w:initials="ED">
    <w:p w:rsidR="00960B5E" w:rsidRDefault="00960B5E">
      <w:pPr>
        <w:pStyle w:val="af5"/>
      </w:pPr>
      <w:r>
        <w:rPr>
          <w:rStyle w:val="af4"/>
        </w:rPr>
        <w:annotationRef/>
      </w:r>
    </w:p>
    <w:p w:rsidR="00960B5E" w:rsidRDefault="00960B5E">
      <w:pPr>
        <w:pStyle w:val="af5"/>
      </w:pPr>
      <w:r>
        <w:t xml:space="preserve">Ошибка распознавания текста (фразы поменялись местами =&gt; сверка «слетела»). </w:t>
      </w:r>
    </w:p>
    <w:p w:rsidR="00960B5E" w:rsidRDefault="00960B5E">
      <w:pPr>
        <w:pStyle w:val="af5"/>
      </w:pPr>
      <w:r>
        <w:t>Хотя текст в обоих документах одинаковый.</w:t>
      </w:r>
    </w:p>
  </w:comment>
  <w:comment w:id="4" w:author="beshlieva" w:date="2025-09-02T16:13:00Z" w:initials="ED">
    <w:p w:rsidR="00960B5E" w:rsidRDefault="00960B5E">
      <w:pPr>
        <w:pStyle w:val="af5"/>
      </w:pPr>
      <w:r>
        <w:rPr>
          <w:rStyle w:val="af4"/>
        </w:rPr>
        <w:annotationRef/>
      </w:r>
    </w:p>
    <w:p w:rsidR="00960B5E" w:rsidRDefault="00960B5E">
      <w:pPr>
        <w:pStyle w:val="af5"/>
      </w:pPr>
      <w:r>
        <w:t>Текст одинаковый, но выделил как различие.</w:t>
      </w:r>
    </w:p>
  </w:comment>
  <w:comment w:id="5" w:author="beshlieva" w:date="2025-09-02T16:15:00Z" w:initials="ED">
    <w:p w:rsidR="00960B5E" w:rsidRDefault="00960B5E">
      <w:pPr>
        <w:pStyle w:val="af5"/>
      </w:pPr>
      <w:r>
        <w:rPr>
          <w:rStyle w:val="af4"/>
        </w:rPr>
        <w:annotationRef/>
      </w:r>
    </w:p>
    <w:p w:rsidR="00960B5E" w:rsidRDefault="00960B5E">
      <w:pPr>
        <w:pStyle w:val="af5"/>
      </w:pPr>
      <w:r>
        <w:t>Этот блок информации не распознался как раздел 4.7 (и ниже, соответственно, ячейка слева – пустая, ячейка справа - красная).</w:t>
      </w:r>
    </w:p>
  </w:comment>
  <w:comment w:id="6" w:author="beshlieva" w:date="2025-09-02T16:18:00Z" w:initials="ED">
    <w:p w:rsidR="00960B5E" w:rsidRDefault="00960B5E">
      <w:pPr>
        <w:pStyle w:val="af5"/>
      </w:pPr>
      <w:r>
        <w:rPr>
          <w:rStyle w:val="af4"/>
        </w:rPr>
        <w:annotationRef/>
      </w:r>
    </w:p>
    <w:p w:rsidR="00960B5E" w:rsidRDefault="00960B5E" w:rsidP="00960B5E">
      <w:pPr>
        <w:pStyle w:val="af5"/>
      </w:pPr>
      <w:r>
        <w:t xml:space="preserve">Ошибка распознавания текста (фразы поменялись местами =&gt; сверка «слетела»). </w:t>
      </w:r>
    </w:p>
    <w:p w:rsidR="00960B5E" w:rsidRDefault="00960B5E" w:rsidP="00960B5E">
      <w:pPr>
        <w:pStyle w:val="af5"/>
      </w:pPr>
      <w:r>
        <w:t>Текст в обоих документах одинаковый, за исключением слов: Чайлд / Чайлд</w:t>
      </w:r>
      <w:r w:rsidRPr="00960B5E">
        <w:rPr>
          <w:b/>
        </w:rPr>
        <w:t>а</w:t>
      </w:r>
      <w:r>
        <w:t>.</w:t>
      </w:r>
    </w:p>
  </w:comment>
  <w:comment w:id="7" w:author="beshlieva" w:date="2025-09-02T16:21:00Z" w:initials="ED">
    <w:p w:rsidR="00F53309" w:rsidRDefault="00F53309">
      <w:pPr>
        <w:pStyle w:val="af5"/>
      </w:pPr>
      <w:r>
        <w:rPr>
          <w:rStyle w:val="af4"/>
        </w:rPr>
        <w:annotationRef/>
      </w:r>
    </w:p>
    <w:p w:rsidR="00F53309" w:rsidRDefault="00F53309">
      <w:pPr>
        <w:pStyle w:val="af5"/>
      </w:pPr>
      <w:r>
        <w:t>Этот блок информации не распознался как раздел 6.6 (и ниже, соответственно, ячейка слева – пустая, ячейка справа – красная + с ошибками распознавания (часть заголовка «встроилась» в текст)).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2A7E" w:rsidRDefault="00E42A7E" w:rsidP="00C74AE5">
      <w:r>
        <w:separator/>
      </w:r>
    </w:p>
  </w:endnote>
  <w:endnote w:type="continuationSeparator" w:id="1">
    <w:p w:rsidR="00E42A7E" w:rsidRDefault="00E42A7E" w:rsidP="00C74A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2A7E" w:rsidRDefault="00E42A7E" w:rsidP="00C74AE5">
      <w:r>
        <w:separator/>
      </w:r>
    </w:p>
  </w:footnote>
  <w:footnote w:type="continuationSeparator" w:id="1">
    <w:p w:rsidR="00E42A7E" w:rsidRDefault="00E42A7E" w:rsidP="00C74AE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4506" w:rsidRPr="00C46EDD" w:rsidRDefault="00573EB3">
    <w:pPr>
      <w:pStyle w:val="ae"/>
      <w:jc w:val="center"/>
      <w:rPr>
        <w:sz w:val="28"/>
        <w:szCs w:val="28"/>
      </w:rPr>
    </w:pPr>
    <w:r w:rsidRPr="00C46EDD">
      <w:rPr>
        <w:sz w:val="28"/>
        <w:szCs w:val="28"/>
      </w:rPr>
      <w:fldChar w:fldCharType="begin"/>
    </w:r>
    <w:r w:rsidR="001B0ECA" w:rsidRPr="00C46EDD">
      <w:rPr>
        <w:sz w:val="28"/>
        <w:szCs w:val="28"/>
      </w:rPr>
      <w:instrText xml:space="preserve"> PAGE   \* MERGEFORMAT </w:instrText>
    </w:r>
    <w:r w:rsidRPr="00C46EDD">
      <w:rPr>
        <w:sz w:val="28"/>
        <w:szCs w:val="28"/>
      </w:rPr>
      <w:fldChar w:fldCharType="separate"/>
    </w:r>
    <w:r w:rsidR="00F53309">
      <w:rPr>
        <w:noProof/>
        <w:sz w:val="28"/>
        <w:szCs w:val="28"/>
      </w:rPr>
      <w:t>6</w:t>
    </w:r>
    <w:r w:rsidRPr="00C46EDD">
      <w:rPr>
        <w:sz w:val="28"/>
        <w:szCs w:val="28"/>
      </w:rPr>
      <w:fldChar w:fldCharType="end"/>
    </w:r>
  </w:p>
  <w:p w:rsidR="00BF4506" w:rsidRDefault="00BF4506">
    <w:pPr>
      <w:pStyle w:val="a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94218"/>
    <w:multiLevelType w:val="multilevel"/>
    <w:tmpl w:val="B8007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>
    <w:nsid w:val="128368A9"/>
    <w:multiLevelType w:val="multilevel"/>
    <w:tmpl w:val="B8007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>
    <w:nsid w:val="185B0734"/>
    <w:multiLevelType w:val="hybridMultilevel"/>
    <w:tmpl w:val="0318E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923F18"/>
    <w:multiLevelType w:val="hybridMultilevel"/>
    <w:tmpl w:val="BB543FF8"/>
    <w:lvl w:ilvl="0" w:tplc="BE3C958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">
    <w:nsid w:val="22AD0D45"/>
    <w:multiLevelType w:val="hybridMultilevel"/>
    <w:tmpl w:val="E5D47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B85E7C"/>
    <w:multiLevelType w:val="multilevel"/>
    <w:tmpl w:val="F6C0C77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5B1B66F8"/>
    <w:multiLevelType w:val="hybridMultilevel"/>
    <w:tmpl w:val="DEC002AA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540030"/>
    <w:multiLevelType w:val="hybridMultilevel"/>
    <w:tmpl w:val="468A91E4"/>
    <w:lvl w:ilvl="0" w:tplc="D81C24F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8">
    <w:nsid w:val="67F624F6"/>
    <w:multiLevelType w:val="hybridMultilevel"/>
    <w:tmpl w:val="DFAC8AFE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DA5D33"/>
    <w:multiLevelType w:val="hybridMultilevel"/>
    <w:tmpl w:val="B0E252BA"/>
    <w:lvl w:ilvl="0" w:tplc="5506545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0">
    <w:nsid w:val="6F211C8F"/>
    <w:multiLevelType w:val="hybridMultilevel"/>
    <w:tmpl w:val="CAD4C2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CD67FD0"/>
    <w:multiLevelType w:val="multilevel"/>
    <w:tmpl w:val="47669D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>
    <w:nsid w:val="7FA95858"/>
    <w:multiLevelType w:val="hybridMultilevel"/>
    <w:tmpl w:val="1F9C1E60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5"/>
  </w:num>
  <w:num w:numId="5">
    <w:abstractNumId w:val="12"/>
  </w:num>
  <w:num w:numId="6">
    <w:abstractNumId w:val="6"/>
  </w:num>
  <w:num w:numId="7">
    <w:abstractNumId w:val="8"/>
  </w:num>
  <w:num w:numId="8">
    <w:abstractNumId w:val="11"/>
  </w:num>
  <w:num w:numId="9">
    <w:abstractNumId w:val="1"/>
  </w:num>
  <w:num w:numId="10">
    <w:abstractNumId w:val="2"/>
  </w:num>
  <w:num w:numId="11">
    <w:abstractNumId w:val="4"/>
  </w:num>
  <w:num w:numId="12">
    <w:abstractNumId w:val="7"/>
  </w:num>
  <w:num w:numId="13">
    <w:abstractNumId w:val="3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B1B12"/>
    <w:rsid w:val="000529AD"/>
    <w:rsid w:val="0006497D"/>
    <w:rsid w:val="0007116C"/>
    <w:rsid w:val="000774F1"/>
    <w:rsid w:val="000B1B12"/>
    <w:rsid w:val="000C78F6"/>
    <w:rsid w:val="00173FF2"/>
    <w:rsid w:val="001B0ECA"/>
    <w:rsid w:val="00205CF6"/>
    <w:rsid w:val="00246528"/>
    <w:rsid w:val="00345710"/>
    <w:rsid w:val="00371EFA"/>
    <w:rsid w:val="003720D7"/>
    <w:rsid w:val="00376F9C"/>
    <w:rsid w:val="003807DE"/>
    <w:rsid w:val="003D6C68"/>
    <w:rsid w:val="004B7813"/>
    <w:rsid w:val="00573EB3"/>
    <w:rsid w:val="00577D01"/>
    <w:rsid w:val="005D25A2"/>
    <w:rsid w:val="00606AEF"/>
    <w:rsid w:val="00622B6B"/>
    <w:rsid w:val="00655BDA"/>
    <w:rsid w:val="006C0B77"/>
    <w:rsid w:val="00714AA5"/>
    <w:rsid w:val="00724547"/>
    <w:rsid w:val="007835D3"/>
    <w:rsid w:val="007B1FD4"/>
    <w:rsid w:val="008232B2"/>
    <w:rsid w:val="008242FF"/>
    <w:rsid w:val="008648E4"/>
    <w:rsid w:val="00870751"/>
    <w:rsid w:val="00922C48"/>
    <w:rsid w:val="00932124"/>
    <w:rsid w:val="00960B5E"/>
    <w:rsid w:val="009D7283"/>
    <w:rsid w:val="00A16227"/>
    <w:rsid w:val="00AC3A98"/>
    <w:rsid w:val="00AD16C2"/>
    <w:rsid w:val="00AE40AD"/>
    <w:rsid w:val="00B22FDF"/>
    <w:rsid w:val="00B32A72"/>
    <w:rsid w:val="00B915B7"/>
    <w:rsid w:val="00B92EF4"/>
    <w:rsid w:val="00BD06FB"/>
    <w:rsid w:val="00BF4506"/>
    <w:rsid w:val="00C13B68"/>
    <w:rsid w:val="00C17D40"/>
    <w:rsid w:val="00C74AE5"/>
    <w:rsid w:val="00C86F15"/>
    <w:rsid w:val="00D01840"/>
    <w:rsid w:val="00D4319B"/>
    <w:rsid w:val="00D86F35"/>
    <w:rsid w:val="00DC262A"/>
    <w:rsid w:val="00E42A7E"/>
    <w:rsid w:val="00E52579"/>
    <w:rsid w:val="00E52DCB"/>
    <w:rsid w:val="00E64A95"/>
    <w:rsid w:val="00EA59DF"/>
    <w:rsid w:val="00EB200F"/>
    <w:rsid w:val="00EE17ED"/>
    <w:rsid w:val="00EE4070"/>
    <w:rsid w:val="00F12C76"/>
    <w:rsid w:val="00F53309"/>
    <w:rsid w:val="00F84A5E"/>
    <w:rsid w:val="00F85B35"/>
    <w:rsid w:val="00FB11A4"/>
    <w:rsid w:val="00FD2C3D"/>
    <w:rsid w:val="00FF2D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3B68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B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B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B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B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B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B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B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B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B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B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B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B1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B1B1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B1B1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B1B1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B1B1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B1B1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B1B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B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B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B1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B1B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B1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B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B1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B1B12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e">
    <w:name w:val="header"/>
    <w:basedOn w:val="a"/>
    <w:link w:val="af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f0">
    <w:name w:val="Normal (Web)"/>
    <w:basedOn w:val="a"/>
    <w:uiPriority w:val="99"/>
    <w:semiHidden/>
    <w:unhideWhenUsed/>
    <w:rsid w:val="00C74AE5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C74AE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f1">
    <w:name w:val="Table Grid"/>
    <w:basedOn w:val="a1"/>
    <w:uiPriority w:val="39"/>
    <w:rsid w:val="00FB11A4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2">
    <w:name w:val="Hyperlink"/>
    <w:basedOn w:val="a0"/>
    <w:uiPriority w:val="99"/>
    <w:unhideWhenUsed/>
    <w:rsid w:val="00FB11A4"/>
    <w:rPr>
      <w:color w:val="0563C1" w:themeColor="hyperlink"/>
      <w:u w:val="single"/>
    </w:rPr>
  </w:style>
  <w:style w:type="character" w:styleId="af3">
    <w:name w:val="FollowedHyperlink"/>
    <w:basedOn w:val="a0"/>
    <w:uiPriority w:val="99"/>
    <w:semiHidden/>
    <w:unhideWhenUsed/>
    <w:rsid w:val="00FB11A4"/>
    <w:rPr>
      <w:color w:val="954F72" w:themeColor="followed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655BDA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55BDA"/>
    <w:rPr>
      <w:sz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55BD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55BDA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55BDA"/>
    <w:rPr>
      <w:b/>
      <w:bCs/>
    </w:rPr>
  </w:style>
  <w:style w:type="paragraph" w:styleId="af9">
    <w:name w:val="Balloon Text"/>
    <w:basedOn w:val="a"/>
    <w:link w:val="afa"/>
    <w:uiPriority w:val="99"/>
    <w:semiHidden/>
    <w:unhideWhenUsed/>
    <w:rsid w:val="00655BDA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uiPriority w:val="99"/>
    <w:semiHidden/>
    <w:rsid w:val="00655BDA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12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36</Pages>
  <Words>14162</Words>
  <Characters>80725</Characters>
  <Application>Microsoft Office Word</Application>
  <DocSecurity>0</DocSecurity>
  <Lines>672</Lines>
  <Paragraphs>189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GKO</dc:creator>
  <cp:keywords/>
  <dc:description/>
  <cp:lastModifiedBy>beshlieva</cp:lastModifiedBy>
  <cp:revision>35</cp:revision>
  <dcterms:created xsi:type="dcterms:W3CDTF">2025-04-18T13:16:00Z</dcterms:created>
  <dcterms:modified xsi:type="dcterms:W3CDTF">2025-09-02T13:22:00Z</dcterms:modified>
</cp:coreProperties>
</file>