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56" w:type="dxa"/>
        <w:tblLook w:val="01E0" w:firstRow="1" w:lastRow="1" w:firstColumn="1" w:lastColumn="1" w:noHBand="0" w:noVBand="0"/>
      </w:tblPr>
      <w:tblGrid>
        <w:gridCol w:w="4928"/>
        <w:gridCol w:w="964"/>
        <w:gridCol w:w="4564"/>
      </w:tblGrid>
      <w:tr w:rsidR="00C74AE5" w:rsidRPr="005C3BF9" w14:paraId="487E81A4" w14:textId="77777777" w:rsidTr="005D00F9">
        <w:trPr>
          <w:trHeight w:val="1985"/>
        </w:trPr>
        <w:tc>
          <w:tcPr>
            <w:tcW w:w="4928" w:type="dxa"/>
          </w:tcPr>
          <w:p w14:paraId="4A87BC0B" w14:textId="77777777" w:rsidR="00C74AE5" w:rsidRPr="00B03496" w:rsidRDefault="00C74AE5" w:rsidP="005D00F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64" w:type="dxa"/>
          </w:tcPr>
          <w:p w14:paraId="5445D56D" w14:textId="77777777" w:rsidR="00C74AE5" w:rsidRPr="009731EF" w:rsidRDefault="00C74AE5" w:rsidP="005D00F9"/>
        </w:tc>
        <w:tc>
          <w:tcPr>
            <w:tcW w:w="4564" w:type="dxa"/>
          </w:tcPr>
          <w:p w14:paraId="161991DD" w14:textId="77777777" w:rsidR="00C74AE5" w:rsidRPr="00F53ADD" w:rsidRDefault="00C74AE5" w:rsidP="005D00F9">
            <w:pPr>
              <w:rPr>
                <w:sz w:val="28"/>
                <w:szCs w:val="28"/>
              </w:rPr>
            </w:pPr>
            <w:r w:rsidRPr="00F53ADD">
              <w:rPr>
                <w:sz w:val="28"/>
                <w:szCs w:val="28"/>
              </w:rPr>
              <w:t xml:space="preserve">Заместителю генерального </w:t>
            </w:r>
            <w:proofErr w:type="gramStart"/>
            <w:r w:rsidRPr="00F53ADD">
              <w:rPr>
                <w:sz w:val="28"/>
                <w:szCs w:val="28"/>
              </w:rPr>
              <w:t xml:space="preserve">директора  </w:t>
            </w:r>
            <w:r>
              <w:rPr>
                <w:sz w:val="28"/>
                <w:szCs w:val="28"/>
              </w:rPr>
              <w:t>ФГБУ</w:t>
            </w:r>
            <w:proofErr w:type="gramEnd"/>
            <w:r>
              <w:rPr>
                <w:sz w:val="28"/>
                <w:szCs w:val="28"/>
              </w:rPr>
              <w:t xml:space="preserve"> «НЦЭСМП» Минздрава России</w:t>
            </w:r>
          </w:p>
          <w:p w14:paraId="6DFD87E6" w14:textId="77777777" w:rsidR="00C74AE5" w:rsidRDefault="00C74AE5" w:rsidP="005D00F9">
            <w:pPr>
              <w:rPr>
                <w:sz w:val="28"/>
                <w:szCs w:val="28"/>
              </w:rPr>
            </w:pPr>
          </w:p>
          <w:p w14:paraId="325380BC" w14:textId="7E8610C3" w:rsidR="00C74AE5" w:rsidRPr="00246528" w:rsidRDefault="00246528" w:rsidP="005D00F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________________</w:t>
            </w:r>
          </w:p>
        </w:tc>
      </w:tr>
      <w:tr w:rsidR="00C74AE5" w:rsidRPr="005C3BF9" w14:paraId="7BD22904" w14:textId="77777777" w:rsidTr="005D00F9">
        <w:trPr>
          <w:trHeight w:val="853"/>
        </w:trPr>
        <w:tc>
          <w:tcPr>
            <w:tcW w:w="4928" w:type="dxa"/>
          </w:tcPr>
          <w:p w14:paraId="38404626" w14:textId="77777777" w:rsidR="00C74AE5" w:rsidRPr="007716D1" w:rsidRDefault="00C74AE5" w:rsidP="005D00F9">
            <w:pPr>
              <w:outlineLvl w:val="0"/>
              <w:rPr>
                <w:b/>
                <w:sz w:val="22"/>
                <w:szCs w:val="22"/>
              </w:rPr>
            </w:pPr>
          </w:p>
          <w:p w14:paraId="14CFE3EB" w14:textId="67D88C00" w:rsidR="00C74AE5" w:rsidRPr="00F53ADD" w:rsidRDefault="00C74AE5" w:rsidP="005D00F9">
            <w:pPr>
              <w:outlineLvl w:val="0"/>
              <w:rPr>
                <w:b/>
                <w:sz w:val="22"/>
                <w:szCs w:val="22"/>
              </w:rPr>
            </w:pPr>
            <w:r w:rsidRPr="00E2620B">
              <w:rPr>
                <w:b/>
                <w:sz w:val="22"/>
                <w:szCs w:val="22"/>
              </w:rPr>
              <w:t xml:space="preserve">Задание </w:t>
            </w:r>
            <w:r w:rsidRPr="00F53ADD">
              <w:rPr>
                <w:b/>
                <w:sz w:val="22"/>
                <w:szCs w:val="22"/>
              </w:rPr>
              <w:t>от</w:t>
            </w:r>
            <w:r>
              <w:rPr>
                <w:b/>
                <w:sz w:val="22"/>
                <w:szCs w:val="22"/>
                <w:lang w:val="en-US"/>
              </w:rPr>
              <w:t> </w:t>
            </w:r>
            <w:r>
              <w:rPr>
                <w:b/>
                <w:sz w:val="22"/>
                <w:szCs w:val="22"/>
              </w:rPr>
              <w:t>____________</w:t>
            </w:r>
            <w:r w:rsidRPr="00F53ADD">
              <w:rPr>
                <w:b/>
                <w:sz w:val="22"/>
                <w:szCs w:val="22"/>
              </w:rPr>
              <w:t>. № 25-5-4280804/ПРеф/ЗД/Э</w:t>
            </w:r>
          </w:p>
        </w:tc>
        <w:tc>
          <w:tcPr>
            <w:tcW w:w="964" w:type="dxa"/>
          </w:tcPr>
          <w:p w14:paraId="0667661F" w14:textId="77777777" w:rsidR="00C74AE5" w:rsidRPr="005C3BF9" w:rsidRDefault="00C74AE5" w:rsidP="005D00F9"/>
        </w:tc>
        <w:tc>
          <w:tcPr>
            <w:tcW w:w="4564" w:type="dxa"/>
          </w:tcPr>
          <w:p w14:paraId="47C56C22" w14:textId="77777777" w:rsidR="00C74AE5" w:rsidRPr="005C3BF9" w:rsidRDefault="00C74AE5" w:rsidP="005D00F9"/>
        </w:tc>
      </w:tr>
    </w:tbl>
    <w:p w14:paraId="487C8865" w14:textId="77777777" w:rsidR="00C74AE5" w:rsidRDefault="00C74AE5" w:rsidP="00C74AE5">
      <w:pPr>
        <w:ind w:left="142" w:firstLine="567"/>
        <w:jc w:val="both"/>
        <w:rPr>
          <w:sz w:val="28"/>
          <w:szCs w:val="28"/>
        </w:rPr>
      </w:pPr>
    </w:p>
    <w:p w14:paraId="6C8973F7" w14:textId="77777777" w:rsidR="00C74AE5" w:rsidRDefault="00C74AE5" w:rsidP="00C74AE5">
      <w:pPr>
        <w:ind w:left="142" w:firstLine="567"/>
        <w:jc w:val="center"/>
        <w:rPr>
          <w:sz w:val="28"/>
          <w:szCs w:val="28"/>
        </w:rPr>
      </w:pPr>
    </w:p>
    <w:p w14:paraId="7032AC6F" w14:textId="77961395" w:rsidR="00C74AE5" w:rsidRPr="00C852A8" w:rsidRDefault="00C74AE5" w:rsidP="00C74AE5">
      <w:pPr>
        <w:ind w:left="142" w:firstLine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Уважаемая </w:t>
      </w:r>
      <w:r w:rsidR="00205CF6" w:rsidRPr="00F84A5E">
        <w:rPr>
          <w:sz w:val="28"/>
          <w:szCs w:val="28"/>
        </w:rPr>
        <w:t>_____________________</w:t>
      </w:r>
      <w:r>
        <w:rPr>
          <w:sz w:val="28"/>
          <w:szCs w:val="28"/>
        </w:rPr>
        <w:t>!</w:t>
      </w:r>
    </w:p>
    <w:p w14:paraId="630E1921" w14:textId="77777777" w:rsidR="00C74AE5" w:rsidRPr="00C852A8" w:rsidRDefault="00C74AE5" w:rsidP="00C74AE5">
      <w:pPr>
        <w:ind w:left="142" w:firstLine="567"/>
        <w:jc w:val="both"/>
        <w:rPr>
          <w:sz w:val="28"/>
          <w:szCs w:val="28"/>
        </w:rPr>
      </w:pPr>
    </w:p>
    <w:p w14:paraId="2EE6FC1A" w14:textId="4E7E488B" w:rsidR="00C74AE5" w:rsidRPr="00684BE2" w:rsidRDefault="00C74AE5" w:rsidP="00C74AE5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684BE2">
        <w:rPr>
          <w:sz w:val="28"/>
          <w:szCs w:val="28"/>
        </w:rPr>
      </w:r>
      <w:r w:rsidR="00E52579" w:rsidRPr="00E52579">
        <w:rPr>
          <w:color w:val="FF0000"/>
          <w:sz w:val="28"/>
          <w:szCs w:val="28"/>
        </w:rPr>
      </w:r>
      <w:r w:rsidR="00BD06FB">
        <w:rPr>
          <w:color w:val="FF0000"/>
          <w:sz w:val="28"/>
          <w:szCs w:val="28"/>
        </w:rPr>
      </w:r>
      <w:r w:rsidR="00D4319B">
        <w:rPr>
          <w:rFonts w:eastAsiaTheme="minorEastAsia"/>
          <w:color w:val="FF0000"/>
          <w:sz w:val="28"/>
          <w:szCs w:val="28"/>
          <w:lang w:val="en-US" w:eastAsia="zh-CN"/>
        </w:rPr>
      </w:r>
      <w:r w:rsidR="00E52579" w:rsidRPr="00E52579">
        <w:rPr>
          <w:rFonts w:eastAsiaTheme="minorEastAsia"/>
          <w:color w:val="FF0000"/>
          <w:sz w:val="28"/>
          <w:szCs w:val="28"/>
          <w:lang w:eastAsia="zh-CN"/>
        </w:rPr>
      </w:r>
      <w:r w:rsidR="00E52579" w:rsidRPr="00E52579">
        <w:rPr>
          <w:rFonts w:eastAsiaTheme="minorEastAsia"/>
          <w:color w:val="FF0000"/>
          <w:sz w:val="28"/>
          <w:szCs w:val="28"/>
          <w:lang w:val="en-US" w:eastAsia="zh-CN"/>
        </w:rPr>
      </w:r>
      <w:r w:rsidR="00BD06FB">
        <w:rPr>
          <w:rFonts w:eastAsiaTheme="minorEastAsia"/>
          <w:color w:val="FF0000"/>
          <w:sz w:val="28"/>
          <w:szCs w:val="28"/>
          <w:lang w:eastAsia="zh-CN"/>
        </w:rPr>
      </w:r>
      <w:r w:rsidR="00E52579" w:rsidRPr="00E52579">
        <w:rPr>
          <w:color w:val="FF0000"/>
          <w:sz w:val="28"/>
          <w:szCs w:val="28"/>
        </w:rPr>
      </w:r>
      <w:r w:rsidRPr="0045721A">
        <w:rPr>
          <w:sz w:val="28"/>
          <w:szCs w:val="28"/>
        </w:rPr>
      </w:r>
      <w:r w:rsidRPr="00684BE2">
        <w:rPr>
          <w:sz w:val="28"/>
          <w:szCs w:val="28"/>
        </w:rPr>
      </w:r>
      <w:r w:rsidR="00E52579">
        <w:rPr>
          <w:sz w:val="28"/>
          <w:szCs w:val="28"/>
        </w:rPr>
      </w:r>
      <w:r w:rsidRPr="00684BE2">
        <w:rPr>
          <w:sz w:val="28"/>
          <w:szCs w:val="28"/>
        </w:rPr>
      </w:r>
      <w:r>
        <w:rPr>
          <w:sz w:val="28"/>
          <w:szCs w:val="28"/>
        </w:rPr>
      </w:r>
      <w:r w:rsidR="00F85B35">
        <w:rPr>
          <w:sz w:val="28"/>
          <w:szCs w:val="28"/>
        </w:rPr>
      </w:r>
      <w:r>
        <w:rPr>
          <w:sz w:val="28"/>
          <w:szCs w:val="28"/>
        </w:rPr>
      </w:r>
      <w:r w:rsidR="00F85B35">
        <w:rPr>
          <w:sz w:val="28"/>
          <w:szCs w:val="28"/>
        </w:rPr>
      </w:r>
      <w:r>
        <w:rPr>
          <w:sz w:val="28"/>
          <w:szCs w:val="28"/>
        </w:rPr>
      </w:r>
      <w:r w:rsidRPr="00A71848">
        <w:rPr>
          <w:sz w:val="28"/>
          <w:szCs w:val="28"/>
        </w:rPr>
      </w:r>
      <w:r w:rsidRPr="00684BE2">
        <w:rPr>
          <w:sz w:val="28"/>
          <w:szCs w:val="28"/>
        </w:rPr>
      </w:r>
      <w:r>
        <w:rPr>
          <w:sz w:val="28"/>
          <w:szCs w:val="28"/>
        </w:rPr>
      </w:r>
      <w:r w:rsidRPr="002A6E2B">
        <w:rPr>
          <w:sz w:val="28"/>
          <w:szCs w:val="28"/>
        </w:rPr>
      </w:r>
      <w:r>
        <w:rPr>
          <w:sz w:val="28"/>
          <w:szCs w:val="28"/>
        </w:rPr>
      </w:r>
      <w:r w:rsidRPr="002A6E2B">
        <w:rPr>
          <w:sz w:val="28"/>
          <w:szCs w:val="28"/>
        </w:rPr>
      </w:r>
      <w:r>
        <w:rPr>
          <w:sz w:val="28"/>
          <w:szCs w:val="28"/>
        </w:rPr>
      </w:r>
      <w:r w:rsidRPr="002A6E2B">
        <w:rPr>
          <w:sz w:val="28"/>
          <w:szCs w:val="28"/>
        </w:rPr>
      </w:r>
      <w:r>
        <w:rPr>
          <w:sz w:val="28"/>
          <w:szCs w:val="28"/>
        </w:rPr>
      </w:r>
      <w:r w:rsidRPr="00684BE2">
        <w:rPr>
          <w:sz w:val="28"/>
          <w:szCs w:val="28"/>
        </w:rPr>
      </w:r>
      <w:r>
        <w:rPr>
          <w:sz w:val="28"/>
          <w:szCs w:val="28"/>
        </w:rPr>
      </w:r>
      <w:r>
        <w:rPr>
          <w:rFonts w:eastAsia="Calibri"/>
          <w:sz w:val="28"/>
          <w:szCs w:val="28"/>
        </w:rPr>
      </w:r>
      <w:r w:rsidRPr="009B7DD8">
        <w:rPr>
          <w:rFonts w:eastAsia="Calibri"/>
          <w:sz w:val="28"/>
          <w:szCs w:val="28"/>
        </w:rPr>
      </w:r>
      <w:r>
        <w:rPr>
          <w:rFonts w:eastAsia="Calibri"/>
          <w:sz w:val="28"/>
          <w:szCs w:val="28"/>
        </w:rPr>
      </w:r>
      <w:r>
        <w:rPr>
          <w:sz w:val="28"/>
        </w:rPr>
        <w:t>При проведении экспертизы лекарственного средства , мною, экспертом, входящим в состав комиссии экспертов по заданию от _____. № _____________, выданному Минздравом России экспертному учреждению в соответствии с положениями Решения Совета ЕЭК от 03.11.2016 N 78 «О Правилах регистрации и экспертизы лекарственных средств для медицинского применения» (далее – Правила) выявлена необходимость направления заявителю запроса о представлении дополнительной информации, необходимых уточнений, касающихся представленных документов и данных регистрационного досье лекарственного препарата.</w:t>
      </w:r>
    </w:p>
    <w:p w14:paraId="3FCE1F39" w14:textId="132DA94F" w:rsidR="00F84A5E" w:rsidRDefault="00C74AE5" w:rsidP="00F84A5E">
      <w:pPr>
        <w:ind w:right="-143" w:firstLine="539"/>
        <w:jc w:val="both"/>
        <w:rPr>
          <w:iCs/>
          <w:sz w:val="28"/>
          <w:szCs w:val="28"/>
        </w:rPr>
      </w:pPr>
      <w:r>
        <w:rPr>
          <w:sz w:val="28"/>
          <w:szCs w:val="28"/>
        </w:rPr>
        <w:t>В целях подготовки всесторонне обоснованного и объективного экспертного отчета</w:t>
      </w:r>
      <w:r w:rsidRPr="00C852A8">
        <w:rPr>
          <w:sz w:val="28"/>
          <w:szCs w:val="28"/>
        </w:rPr>
        <w:t xml:space="preserve"> </w:t>
      </w:r>
      <w:r>
        <w:rPr>
          <w:iCs/>
          <w:sz w:val="28"/>
          <w:szCs w:val="28"/>
        </w:rPr>
        <w:t>необходимо предоставление следующей информации:</w:t>
      </w:r>
    </w:p>
    <w:p w14:paraId="06EEAA4B" w14:textId="77777777" w:rsidR="00FD2C3D" w:rsidRPr="00FD2C3D" w:rsidRDefault="00FD2C3D" w:rsidP="00FD2C3D">
      <w:pPr>
        <w:ind w:right="-143" w:firstLine="539"/>
        <w:jc w:val="both"/>
        <w:rPr>
          <w:sz w:val="28"/>
          <w:szCs w:val="28"/>
        </w:rPr>
      </w:pPr>
      <w:r w:rsidRPr="00FD2C3D">
        <w:rPr>
          <w:sz w:val="28"/>
          <w:szCs w:val="28"/>
        </w:rPr>
        <w:t>Необходимо в разделе 1.3.1. регистрационного досье в форме общего технического документа (в электронном досье с учетом соответствующего кода видов документов) представить проект общей характеристики лекарственного препарата (ОХЛП), который требуется привести в соответствие с учетом Требований, утвержденных Решением Совета ЕЭК от 03.11.2016 № 88:</w:t>
      </w:r>
    </w:p>
    <w:p w14:paraId="0D07B4AC" w14:textId="4A3C9D59" w:rsidR="00FD2C3D" w:rsidRPr="000C78F6" w:rsidRDefault="00FD2C3D" w:rsidP="00FD2C3D">
      <w:pPr>
        <w:ind w:right="-143" w:firstLine="539"/>
        <w:jc w:val="both"/>
        <w:rPr>
          <w:sz w:val="28"/>
          <w:szCs w:val="28"/>
        </w:rPr>
      </w:pPr>
      <w:r w:rsidRPr="00FD2C3D">
        <w:rPr>
          <w:sz w:val="28"/>
          <w:szCs w:val="28"/>
        </w:rPr>
        <w:t>При подготовке ответа на запрос рекомендуется учитывать «Рекомендации по составлению проекта общей характеристики лекарственного препарата (ОХЛП)», размещенные на сайте ФГБУ «НЦЭСМП» Минздрава России в разделе «Экспертиза», в подразделе «Заявителям», в рубрике «Библиотека документов» (далее – Рекомендации к ОХЛП)</w:t>
      </w:r>
      <w:r w:rsidR="000C78F6" w:rsidRPr="000C78F6">
        <w:rPr>
          <w:sz w:val="28"/>
          <w:szCs w:val="28"/>
        </w:rPr>
        <w:t>.</w:t>
      </w:r>
    </w:p>
    <w:p w14:paraId="23CCA299" w14:textId="7EAC27F7" w:rsidR="00F84A5E" w:rsidRPr="00F84A5E" w:rsidRDefault="00F84A5E" w:rsidP="00F84A5E">
      <w:pPr>
        <w:ind w:right="-143" w:firstLine="539"/>
        <w:jc w:val="both"/>
        <w:rPr>
          <w:iCs/>
          <w:sz w:val="28"/>
          <w:szCs w:val="28"/>
        </w:rPr>
      </w:pPr>
      <w:r/>
    </w:p>
    <w:p>
      <w:pPr>
        <w:ind w:firstLine="567"/>
        <w:jc w:val="both"/>
      </w:pPr>
      <w:r>
        <w:rPr>
          <w:b/>
          <w:sz w:val="28"/>
        </w:rPr>
        <w:t xml:space="preserve">2. КАЧЕСТВЕННЫЙ И КОЛИЧЕСТВЕННЫЙ СОСТАВ: </w:t>
      </w:r>
      <w:r>
        <w:rPr>
          <w:sz w:val="28"/>
        </w:rPr>
        <w:t>отсутствует информация о действующем веществе и его количественном составе в проверяемом разделе инструкции. Нет указания на качественный и количественный состав вспомогательных веществ.</w:t>
      </w:r>
    </w:p>
    <w:p>
      <w:pPr>
        <w:ind w:firstLine="567"/>
        <w:jc w:val="both"/>
      </w:pPr>
      <w:r>
        <w:rPr>
          <w:b/>
          <w:sz w:val="28"/>
        </w:rPr>
        <w:t xml:space="preserve">4.1 Показания к применению: </w:t>
      </w:r>
      <w:r>
        <w:rPr>
          <w:sz w:val="28"/>
        </w:rPr>
        <w:t>раздел не содержит стандартных фраз о назначении препарата и показаниях к применению. Отсутствует информация о возрастных ограничениях и конкретных показаниях.</w:t>
      </w:r>
    </w:p>
    <w:p>
      <w:pPr>
        <w:ind w:firstLine="567"/>
        <w:jc w:val="both"/>
      </w:pPr>
      <w:r>
        <w:rPr>
          <w:b/>
          <w:sz w:val="28"/>
        </w:rPr>
        <w:t xml:space="preserve">4.2 Режим дозирования и способ применения: </w:t>
      </w:r>
      <w:r>
        <w:rPr>
          <w:sz w:val="28"/>
        </w:rPr>
        <w:t>раздел не содержит информации о режиме дозирования для каждого способа и показания, рекомендаций по режиму дозирования для взрослых, данных о выражении активности препарата в единицах, а также информации об особых группах пациентов, кроме детей. Отсутствует подраздел «Способ применения» с исчерпывающими инструкциями по применению.</w:t>
      </w:r>
    </w:p>
    <w:p>
      <w:pPr>
        <w:ind w:firstLine="567"/>
        <w:jc w:val="both"/>
      </w:pPr>
      <w:r>
        <w:rPr>
          <w:b/>
          <w:sz w:val="28"/>
        </w:rPr>
        <w:t xml:space="preserve">4.4 Особые указания и меры предосторожности при применении: </w:t>
      </w:r>
      <w:r>
        <w:rPr>
          <w:sz w:val="28"/>
        </w:rPr>
        <w:t>в разделе «Особые указания» дублируются некоторые пункты из раздела «С осторожностью». Согласно рекомендациям, группы пациентов, у которых применение ЛП противопоказано, необходимо указать только в разделе 4.3 ОХЛП, не дублируя в данном разделе. Также в разделе «Особые указания» не выделено подразделение для пациентов с нарушениями функции печени и почек, как это рекомендовано.</w:t>
      </w:r>
    </w:p>
    <w:p>
      <w:pPr>
        <w:ind w:firstLine="567"/>
        <w:jc w:val="both"/>
      </w:pPr>
      <w:r>
        <w:rPr>
          <w:b/>
          <w:sz w:val="28"/>
        </w:rPr>
        <w:t xml:space="preserve">4.7 Влияние на способность управлять транспортными средствами и работать с механизмами: </w:t>
      </w:r>
      <w:r>
        <w:rPr>
          <w:sz w:val="28"/>
        </w:rPr>
        <w:t>в инструкции указано, что Римантадин не влияет на способность управлять транспортными средствами, однако не использованы стандартные фразы о степени влияния. Кроме того, указано наличие побочных эффектов, влияющих на способность управлять, но не указано, что это может быть умеренное или выраженное влияние, требующее особых указаний.</w:t>
      </w:r>
    </w:p>
    <w:p>
      <w:pPr>
        <w:ind w:firstLine="567"/>
        <w:jc w:val="both"/>
      </w:pPr>
      <w:r>
        <w:rPr>
          <w:b/>
          <w:sz w:val="28"/>
        </w:rPr>
        <w:t xml:space="preserve">4.8 Нежелательные реакции: </w:t>
      </w:r>
      <w:r>
        <w:rPr>
          <w:sz w:val="28"/>
        </w:rPr>
        <w:t>в разделе не указано резюме профиля безопасности в начале, как рекомендовано. Также не все нежелательные реакции сгруппированы в соответствии с перечнем системно-органных классов в порядке убывания их серьёзности. Например, в разделе указаны реакции, которые не сгруппированы по системно-органным классам в порядке убывания серьёзности.</w:t>
      </w:r>
    </w:p>
    <w:p>
      <w:pPr>
        <w:ind w:firstLine="567"/>
        <w:jc w:val="both"/>
      </w:pPr>
      <w:r>
        <w:rPr>
          <w:b/>
          <w:sz w:val="28"/>
        </w:rPr>
        <w:t xml:space="preserve">4.9 Передозировка: </w:t>
      </w:r>
      <w:r>
        <w:rPr>
          <w:sz w:val="28"/>
        </w:rPr>
        <w:t>не описаны потенциальные последствия применения различных доз ЛП, не приведены сведения об особых группах пациентов (например, пожилые, пациенты с почечной недостаточностью, пациенты с печёночной недостаточностью, пациенты с прочими сопутствующими заболеваниями и др.).</w:t>
      </w:r>
    </w:p>
    <w:p>
      <w:pPr>
        <w:ind w:firstLine="567"/>
        <w:jc w:val="both"/>
      </w:pPr>
      <w:r>
        <w:rPr>
          <w:b/>
          <w:sz w:val="28"/>
        </w:rPr>
        <w:t xml:space="preserve">5.2 Фармакокинетические свойства: </w:t>
      </w:r>
      <w:r>
        <w:rPr>
          <w:sz w:val="28"/>
        </w:rPr>
        <w:t>в разделе не представлена информация о том, является ли римантадин пролекарством или есть ли у него активные метаболиты, хиральность, растворимость, сведения о популяции, у которой получены основные фармакокинетические данные (кроме возраста). Также не представлена информация о линейности (нелинейности) фармакокинетики и фармакокинетической-фармакодинамической зависимости.</w:t>
      </w:r>
    </w:p>
    <w:p>
      <w:pPr>
        <w:ind w:firstLine="567"/>
        <w:jc w:val="both"/>
      </w:pPr>
      <w:r>
        <w:rPr>
          <w:b/>
          <w:sz w:val="28"/>
        </w:rPr>
        <w:t xml:space="preserve">5.3 Данные доклинической безопасности: </w:t>
      </w:r>
      <w:r>
        <w:rPr>
          <w:sz w:val="28"/>
        </w:rPr>
        <w:t>в тексте проверяемого раздела инструкции не представлены количественные характеристики результатов доклинических испытаний, как того требуют рекомендации. Также не выделены значимые для детей результаты доклинических исследований под отдельным подзаголовком.</w:t>
      </w:r>
    </w:p>
    <w:p>
      <w:pPr>
        <w:ind w:firstLine="567"/>
        <w:jc w:val="both"/>
      </w:pPr>
      <w:r>
        <w:rPr>
          <w:b/>
          <w:sz w:val="28"/>
        </w:rPr>
        <w:t xml:space="preserve">6.2 Несовместимость: </w:t>
      </w:r>
      <w:r>
        <w:rPr>
          <w:sz w:val="28"/>
        </w:rPr>
        <w:t>в разделе отсутствует информация о физической или химической несовместимости ЛП с другими ЛП, что является обязательным согласно рекомендациям. Указаны только срок годности и особые меры предосторожности при хранении.</w:t>
      </w:r>
    </w:p>
    <w:p>
      <w:pPr>
        <w:ind w:firstLine="567"/>
        <w:jc w:val="both"/>
      </w:pPr>
      <w:r>
        <w:rPr>
          <w:b/>
          <w:sz w:val="28"/>
        </w:rPr>
        <w:t xml:space="preserve">6.4 Особые меры предосторожности при хранении: </w:t>
      </w:r>
      <w:r>
        <w:rPr>
          <w:sz w:val="28"/>
        </w:rPr>
        <w:t>в разделе не указаны стандартные фразы о хранении, рекомендованные в Приложении № 6 к Требованиям. Отсутствует пояснение относительно чувствительности препарата к свету и (или) влаге. Также не сделана ссылка на раздел 6.3 ОХЛП для условий хранения вскрытых, разведённых или восстановленных стерильных ЛП.</w:t>
      </w:r>
    </w:p>
    <w:p>
      <w:pPr>
        <w:ind w:firstLine="567"/>
        <w:jc w:val="both"/>
      </w:pPr>
      <w:r>
        <w:rPr>
          <w:b/>
          <w:sz w:val="28"/>
        </w:rPr>
        <w:t xml:space="preserve">6.6 Особые меры предосторожности при уничтожении использованного лекарственного препарата или отходов, полученных после применения лекарственного препарата, и другие манипуляции с препаратом: </w:t>
      </w:r>
      <w:r>
        <w:rPr>
          <w:sz w:val="28"/>
        </w:rPr>
        <w:t>в проверяемом разделе инструкции отсутствуют рекомендации по утилизации препарата, а также стандартные фразы, указанные в рекомендациях. Раздел не содержит информации о приготовлении препарата, его совместимости с другими лекарственными препаратами и изделиями, а также о рисках при работе с препаратом.</w:t>
      </w:r>
    </w:p>
    <w:p>
      <w:pPr>
        <w:ind w:firstLine="567"/>
        <w:jc w:val="both"/>
      </w:pPr>
      <w:r>
        <w:rPr>
          <w:b/>
          <w:sz w:val="28"/>
        </w:rPr>
        <w:t xml:space="preserve">7.1 Представитель держателя регистрационного удостоверения: </w:t>
      </w:r>
      <w:r>
        <w:rPr>
          <w:sz w:val="28"/>
        </w:rPr>
        <w:t>не указан адрес электронной почты представителя держателя регистрационного удостоверения ЛП.</w:t>
      </w:r>
    </w:p>
    <w:p w14:paraId="799EE8C6" w14:textId="77777777" w:rsidR="00C74AE5" w:rsidRPr="00C852A8" w:rsidRDefault="00C74AE5" w:rsidP="00C74AE5">
      <w:pPr>
        <w:jc w:val="both"/>
        <w:rPr>
          <w:sz w:val="28"/>
          <w:szCs w:val="28"/>
        </w:rPr>
      </w:pPr>
    </w:p>
    <w:tbl>
      <w:tblPr>
        <w:tblpPr w:leftFromText="180" w:rightFromText="180" w:vertAnchor="text" w:horzAnchor="page" w:tblpX="1198" w:tblpY="217"/>
        <w:tblW w:w="10065" w:type="dxa"/>
        <w:tblLook w:val="01E0" w:firstRow="1" w:lastRow="1" w:firstColumn="1" w:lastColumn="1" w:noHBand="0" w:noVBand="0"/>
      </w:tblPr>
      <w:tblGrid>
        <w:gridCol w:w="5920"/>
        <w:gridCol w:w="4145"/>
      </w:tblGrid>
      <w:tr w:rsidR="00C74AE5" w:rsidRPr="004575A1" w14:paraId="6C2863F2" w14:textId="77777777" w:rsidTr="005D00F9">
        <w:tc>
          <w:tcPr>
            <w:tcW w:w="5920" w:type="dxa"/>
          </w:tcPr>
          <w:p w14:paraId="6055001E" w14:textId="77777777" w:rsidR="00C74AE5" w:rsidRPr="004575A1" w:rsidRDefault="00C74AE5" w:rsidP="00D0184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145" w:type="dxa"/>
          </w:tcPr>
          <w:p w14:paraId="37F27968" w14:textId="77777777" w:rsidR="00C74AE5" w:rsidRPr="004575A1" w:rsidRDefault="00C74AE5" w:rsidP="005D00F9">
            <w:pPr>
              <w:ind w:left="540" w:hanging="180"/>
              <w:jc w:val="right"/>
              <w:rPr>
                <w:sz w:val="28"/>
                <w:szCs w:val="28"/>
              </w:rPr>
            </w:pPr>
          </w:p>
        </w:tc>
      </w:tr>
      <w:tr w:rsidR="00C74AE5" w:rsidRPr="00AD3A1A" w14:paraId="46F478C0" w14:textId="77777777" w:rsidTr="005D00F9">
        <w:tc>
          <w:tcPr>
            <w:tcW w:w="5920" w:type="dxa"/>
          </w:tcPr>
          <w:p w14:paraId="648F1A98" w14:textId="77777777" w:rsidR="00C74AE5" w:rsidRPr="00237EC2" w:rsidRDefault="00C74AE5" w:rsidP="00D01840">
            <w:pPr>
              <w:rPr>
                <w:sz w:val="28"/>
                <w:szCs w:val="28"/>
              </w:rPr>
            </w:pPr>
          </w:p>
        </w:tc>
        <w:tc>
          <w:tcPr>
            <w:tcW w:w="4145" w:type="dxa"/>
            <w:vAlign w:val="bottom"/>
          </w:tcPr>
          <w:p w14:paraId="60FC37C5" w14:textId="77777777" w:rsidR="00C74AE5" w:rsidRPr="00237EC2" w:rsidRDefault="00C74AE5" w:rsidP="005D00F9">
            <w:pPr>
              <w:rPr>
                <w:sz w:val="28"/>
                <w:szCs w:val="28"/>
              </w:rPr>
            </w:pPr>
          </w:p>
        </w:tc>
      </w:tr>
      <w:tr w:rsidR="00C74AE5" w:rsidRPr="00AD3A1A" w14:paraId="3B0721C1" w14:textId="77777777" w:rsidTr="005D00F9">
        <w:tc>
          <w:tcPr>
            <w:tcW w:w="5920" w:type="dxa"/>
          </w:tcPr>
          <w:p w14:paraId="2BC94514" w14:textId="77777777" w:rsidR="00C74AE5" w:rsidRPr="002A6E2B" w:rsidRDefault="00C74AE5" w:rsidP="00D01840">
            <w:pPr>
              <w:rPr>
                <w:sz w:val="28"/>
                <w:szCs w:val="28"/>
              </w:rPr>
            </w:pPr>
          </w:p>
        </w:tc>
        <w:tc>
          <w:tcPr>
            <w:tcW w:w="4145" w:type="dxa"/>
          </w:tcPr>
          <w:p w14:paraId="636BD63F" w14:textId="77777777" w:rsidR="00C74AE5" w:rsidRPr="002A6E2B" w:rsidRDefault="00C74AE5" w:rsidP="005D00F9">
            <w:pPr>
              <w:rPr>
                <w:sz w:val="28"/>
                <w:szCs w:val="28"/>
              </w:rPr>
            </w:pPr>
          </w:p>
        </w:tc>
      </w:tr>
      <w:tr w:rsidR="00C74AE5" w:rsidRPr="00AD3A1A" w14:paraId="33005AF5" w14:textId="77777777" w:rsidTr="005D00F9">
        <w:tc>
          <w:tcPr>
            <w:tcW w:w="5920" w:type="dxa"/>
          </w:tcPr>
          <w:p w14:paraId="1BA6AE0D" w14:textId="6EC8306F" w:rsidR="00C74AE5" w:rsidRPr="00C74AE5" w:rsidRDefault="00C74AE5" w:rsidP="00D018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Эксперт</w:t>
            </w:r>
            <w:r>
              <w:rPr>
                <w:sz w:val="28"/>
                <w:szCs w:val="28"/>
                <w:lang w:val="en-US"/>
              </w:rPr>
              <w:t xml:space="preserve"> …</w:t>
            </w:r>
          </w:p>
        </w:tc>
        <w:tc>
          <w:tcPr>
            <w:tcW w:w="4145" w:type="dxa"/>
            <w:vAlign w:val="bottom"/>
          </w:tcPr>
          <w:p w14:paraId="646FE064" w14:textId="7379FD6E" w:rsidR="00C74AE5" w:rsidRPr="00C74AE5" w:rsidRDefault="00C74AE5" w:rsidP="005D00F9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Иванов И.И.</w:t>
            </w:r>
          </w:p>
        </w:tc>
      </w:tr>
    </w:tbl>
    <w:p w14:paraId="2FAE41CC" w14:textId="78859152" w:rsidR="00C74AE5" w:rsidRDefault="00E52DCB" w:rsidP="00C74AE5">
      <w:pPr>
        <w:rPr>
          <w:sz w:val="20"/>
        </w:rPr>
      </w:pPr>
      <w:r w:rsidRPr="00B22FDF">
        <w:rPr>
          <w:color w:val="FF0000"/>
          <w:sz w:val="28"/>
          <w:szCs w:val="28"/>
          <w:lang w:val="en-US"/>
        </w:rPr>
      </w:r>
      <w:r>
        <w:rPr>
          <w:color w:val="FF0000"/>
          <w:sz w:val="28"/>
          <w:szCs w:val="28"/>
        </w:rPr>
      </w:r>
      <w:r w:rsidRPr="00B22FDF">
        <w:rPr>
          <w:color w:val="FF0000"/>
          <w:sz w:val="28"/>
          <w:szCs w:val="28"/>
          <w:lang w:val="en-US"/>
        </w:rPr>
      </w:r>
      <w:r>
        <w:rPr>
          <w:color w:val="FF0000"/>
          <w:sz w:val="28"/>
          <w:szCs w:val="28"/>
        </w:rPr>
      </w:r>
      <w:r w:rsidRPr="00B22FDF">
        <w:rPr>
          <w:color w:val="FF0000"/>
          <w:sz w:val="28"/>
          <w:szCs w:val="28"/>
          <w:lang w:val="en-US"/>
        </w:rPr>
      </w:r>
      <w:r>
        <w:rPr>
          <w:sz w:val="28"/>
        </w:rPr>
        <w:t>03.10.2025 г.</w:t>
      </w:r>
    </w:p>
    <w:p w14:paraId="475E3D8D" w14:textId="056C1DC6" w:rsidR="00345710" w:rsidRPr="00345710" w:rsidRDefault="00345710" w:rsidP="00345710">
      <w:pPr>
        <w:rPr>
          <w:sz w:val="20"/>
        </w:rPr>
      </w:pPr>
    </w:p>
    <w:p w14:paraId="6CCC11C5" w14:textId="77777777" w:rsidR="00345710" w:rsidRDefault="00345710" w:rsidP="00345710">
      <w:pPr>
        <w:tabs>
          <w:tab w:val="left" w:pos="1047"/>
        </w:tabs>
        <w:rPr>
          <w:sz w:val="20"/>
        </w:rPr>
        <w:sectPr w:rsidR="00345710" w:rsidSect="00C74AE5">
          <w:headerReference w:type="default" r:id="rId7"/>
          <w:pgSz w:w="11906" w:h="16838"/>
          <w:pgMar w:top="1134" w:right="851" w:bottom="1134" w:left="1134" w:header="709" w:footer="1134" w:gutter="0"/>
          <w:cols w:space="708"/>
          <w:titlePg/>
          <w:docGrid w:linePitch="360"/>
        </w:sectPr>
      </w:pPr>
      <w:r>
        <w:rPr>
          <w:sz w:val="20"/>
        </w:rPr>
        <w:tab/>
      </w:r>
    </w:p>
    <w:p w14:paraId="1F7FC7E8" w14:textId="6759D956" w:rsidR="00345710" w:rsidRPr="000774F1" w:rsidRDefault="000774F1" w:rsidP="000774F1">
      <w:pPr>
        <w:tabs>
          <w:tab w:val="left" w:pos="1047"/>
        </w:tabs>
        <w:jc w:val="right"/>
        <w:rPr>
          <w:b/>
          <w:bCs/>
          <w:sz w:val="28"/>
          <w:szCs w:val="28"/>
        </w:rPr>
      </w:pPr>
      <w:r w:rsidRPr="000774F1">
        <w:rPr>
          <w:b/>
          <w:bCs/>
          <w:sz w:val="28"/>
          <w:szCs w:val="28"/>
        </w:rPr>
        <w:lastRenderedPageBreak/>
        <w:t>Приложение 1</w:t>
      </w:r>
    </w:p>
    <w:p w14:paraId="3D5BFC84" w14:textId="77777777" w:rsidR="000774F1" w:rsidRPr="000774F1" w:rsidRDefault="000774F1" w:rsidP="000774F1">
      <w:pPr>
        <w:jc w:val="center"/>
        <w:rPr>
          <w:b/>
          <w:bCs/>
          <w:sz w:val="28"/>
          <w:szCs w:val="28"/>
        </w:rPr>
      </w:pPr>
      <w:r w:rsidRPr="000774F1">
        <w:rPr>
          <w:b/>
          <w:bCs/>
          <w:sz w:val="28"/>
          <w:szCs w:val="28"/>
        </w:rPr>
        <w:t>ПРОТОКОЛ АНАЛИЗА РАЗЛИЧИЙ ДОКУМЕНТОВ</w:t>
      </w:r>
    </w:p>
    <w:p w14:paraId="0CF31F1C" w14:textId="77777777" w:rsidR="000774F1" w:rsidRDefault="000774F1" w:rsidP="000774F1">
      <w:pPr>
        <w:jc w:val="both"/>
        <w:rPr>
          <w:sz w:val="28"/>
          <w:szCs w:val="28"/>
        </w:rPr>
      </w:pPr>
    </w:p>
    <w:p w14:paraId="65FD2FC4" w14:textId="6E6760A9" w:rsidR="000774F1" w:rsidRDefault="000774F1" w:rsidP="000774F1">
      <w:pPr>
        <w:autoSpaceDE w:val="0"/>
        <w:autoSpaceDN w:val="0"/>
        <w:adjustRightInd w:val="0"/>
        <w:ind w:firstLine="567"/>
        <w:jc w:val="both"/>
        <w:rPr>
          <w:iCs/>
          <w:sz w:val="28"/>
          <w:szCs w:val="28"/>
        </w:rPr>
      </w:pPr>
      <w:r>
        <w:rPr>
          <w:sz w:val="28"/>
          <w:szCs w:val="28"/>
        </w:rPr>
      </w:r>
      <w:r>
        <w:rPr>
          <w:color w:val="FF0000"/>
          <w:sz w:val="28"/>
          <w:szCs w:val="28"/>
        </w:rPr>
      </w:r>
      <w:r w:rsidR="00BD06FB">
        <w:rPr>
          <w:color w:val="FF0000"/>
          <w:sz w:val="28"/>
          <w:szCs w:val="28"/>
        </w:rPr>
      </w:r>
      <w:r w:rsidR="00D4319B">
        <w:rPr>
          <w:rFonts w:eastAsiaTheme="minorEastAsia"/>
          <w:color w:val="FF0000"/>
          <w:sz w:val="28"/>
          <w:szCs w:val="28"/>
          <w:lang w:val="en-US" w:eastAsia="zh-CN"/>
        </w:rPr>
      </w:r>
      <w:r w:rsidR="00D4319B" w:rsidRPr="00D4319B">
        <w:rPr>
          <w:rFonts w:eastAsiaTheme="minorEastAsia"/>
          <w:color w:val="FF0000"/>
          <w:sz w:val="28"/>
          <w:szCs w:val="28"/>
          <w:lang w:eastAsia="zh-CN"/>
        </w:rPr>
      </w:r>
      <w:r w:rsidR="00D4319B">
        <w:rPr>
          <w:rFonts w:eastAsiaTheme="minorEastAsia"/>
          <w:color w:val="FF0000"/>
          <w:sz w:val="28"/>
          <w:szCs w:val="28"/>
          <w:lang w:val="en-US" w:eastAsia="zh-CN"/>
        </w:rPr>
      </w:r>
      <w:r w:rsidR="00BD06FB">
        <w:rPr>
          <w:rFonts w:eastAsiaTheme="minorEastAsia"/>
          <w:color w:val="FF0000"/>
          <w:sz w:val="28"/>
          <w:szCs w:val="28"/>
          <w:lang w:eastAsia="zh-CN"/>
        </w:rPr>
      </w:r>
      <w:r>
        <w:rPr>
          <w:color w:val="FF0000"/>
          <w:sz w:val="28"/>
          <w:szCs w:val="28"/>
        </w:rPr>
      </w:r>
      <w:r>
        <w:rPr>
          <w:sz w:val="28"/>
          <w:szCs w:val="28"/>
        </w:rPr>
      </w:r>
      <w:r w:rsidR="00D4319B" w:rsidRPr="00D4319B">
        <w:rPr>
          <w:color w:val="FF0000"/>
          <w:sz w:val="28"/>
          <w:szCs w:val="28"/>
        </w:rPr>
      </w:r>
      <w:r w:rsidR="00D4319B" w:rsidRPr="00D4319B">
        <w:rPr>
          <w:color w:val="FF0000"/>
          <w:sz w:val="28"/>
          <w:szCs w:val="28"/>
          <w:lang w:val="en-US"/>
        </w:rPr>
      </w:r>
      <w:r w:rsidR="00D4319B" w:rsidRPr="00D4319B">
        <w:rPr>
          <w:color w:val="FF0000"/>
          <w:sz w:val="28"/>
          <w:szCs w:val="28"/>
        </w:rPr>
      </w:r>
      <w:r w:rsidR="00D4319B" w:rsidRPr="00D4319B">
        <w:rPr>
          <w:color w:val="FF0000"/>
          <w:sz w:val="28"/>
          <w:szCs w:val="28"/>
          <w:lang w:val="en-US"/>
        </w:rPr>
      </w:r>
      <w:r w:rsidR="00D4319B" w:rsidRPr="00D4319B">
        <w:rPr>
          <w:color w:val="FF0000"/>
          <w:sz w:val="28"/>
          <w:szCs w:val="28"/>
        </w:rPr>
      </w:r>
      <w:r w:rsidR="00D4319B" w:rsidRPr="00D4319B">
        <w:rPr>
          <w:sz w:val="28"/>
          <w:szCs w:val="28"/>
        </w:rPr>
      </w:r>
      <w:r>
        <w:rPr>
          <w:sz w:val="28"/>
          <w:szCs w:val="28"/>
        </w:rPr>
      </w:r>
      <w:r>
        <w:rPr>
          <w:iCs/>
          <w:sz w:val="28"/>
          <w:szCs w:val="28"/>
        </w:rPr>
      </w:r>
      <w:r>
        <w:rPr>
          <w:sz w:val="28"/>
        </w:rPr>
        <w:t>При проведении сравнения инструкции лекарственного средства  с эталоном Ремантадин выявлены следующие различия:</w:t>
      </w:r>
    </w:p>
    <w:p w14:paraId="4E9750D2" w14:textId="1F9F0C3D" w:rsidR="000774F1" w:rsidRDefault="000774F1" w:rsidP="000774F1">
      <w:pPr>
        <w:autoSpaceDE w:val="0"/>
        <w:autoSpaceDN w:val="0"/>
        <w:adjustRightInd w:val="0"/>
        <w:ind w:firstLine="567"/>
        <w:jc w:val="both"/>
        <w:rPr>
          <w:iCs/>
          <w:sz w:val="28"/>
          <w:szCs w:val="28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7280"/>
        <w:gridCol w:w="7280"/>
      </w:tblGrid>
      <w:tr w:rsidR="00FB11A4" w14:paraId="6E603230" w14:textId="77777777" w:rsidTr="00E94612">
        <w:tc>
          <w:tcPr>
            <w:tcW w:w="7280" w:type="dxa"/>
          </w:tcPr>
          <w:p w14:paraId="66304990" w14:textId="6B55D706" w:rsidR="00FB11A4" w:rsidRPr="00932124" w:rsidRDefault="00FB11A4" w:rsidP="00E9461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932124">
              <w:rPr>
                <w:b/>
                <w:bCs/>
                <w:color w:val="FF0000"/>
                <w:sz w:val="28"/>
                <w:szCs w:val="28"/>
              </w:rPr>
            </w:r>
            <w:r w:rsidRPr="00932124">
              <w:rPr>
                <w:b/>
                <w:bCs/>
                <w:color w:val="FF0000"/>
                <w:sz w:val="28"/>
                <w:szCs w:val="28"/>
                <w:lang w:val="en-US"/>
              </w:rPr>
            </w:r>
            <w:r w:rsidRPr="00932124">
              <w:rPr>
                <w:b/>
                <w:bCs/>
                <w:color w:val="FF0000"/>
                <w:sz w:val="28"/>
                <w:szCs w:val="28"/>
              </w:rPr>
            </w:r>
            <w:r w:rsidRPr="00932124">
              <w:rPr>
                <w:b/>
                <w:bCs/>
                <w:color w:val="FF0000"/>
                <w:sz w:val="28"/>
                <w:szCs w:val="28"/>
                <w:lang w:val="en-US"/>
              </w:rPr>
            </w:r>
            <w:r w:rsidRPr="00932124">
              <w:rPr>
                <w:b/>
                <w:bCs/>
                <w:color w:val="FF0000"/>
                <w:sz w:val="28"/>
                <w:szCs w:val="28"/>
              </w:rPr>
            </w:r>
            <w:r w:rsidRPr="00932124">
              <w:rPr>
                <w:b/>
                <w:bCs/>
                <w:sz w:val="28"/>
                <w:szCs w:val="28"/>
              </w:rPr>
            </w:r>
            <w:r w:rsidRPr="00932124">
              <w:rPr>
                <w:b/>
                <w:bCs/>
              </w:rPr>
            </w:r>
            <w:r>
              <w:rPr>
                <w:b/>
                <w:sz w:val="24"/>
              </w:rPr>
              <w:t>Ремантадин (референтный)</w:t>
            </w:r>
          </w:p>
        </w:tc>
        <w:tc>
          <w:tcPr>
            <w:tcW w:w="7280" w:type="dxa"/>
          </w:tcPr>
          <w:p w14:paraId="658304E8" w14:textId="5726FCF6" w:rsidR="00FB11A4" w:rsidRPr="00932124" w:rsidRDefault="00FB11A4" w:rsidP="00E9461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932124">
              <w:rPr>
                <w:b/>
                <w:bCs/>
                <w:color w:val="FF0000"/>
                <w:sz w:val="28"/>
                <w:szCs w:val="28"/>
              </w:rPr>
            </w:r>
            <w:r w:rsidRPr="00932124">
              <w:rPr>
                <w:rFonts w:eastAsiaTheme="minorEastAsia"/>
                <w:b/>
                <w:bCs/>
                <w:color w:val="FF0000"/>
                <w:sz w:val="28"/>
                <w:szCs w:val="28"/>
                <w:lang w:val="en-US" w:eastAsia="zh-CN"/>
              </w:rPr>
            </w:r>
            <w:r w:rsidRPr="00932124">
              <w:rPr>
                <w:rFonts w:eastAsiaTheme="minorEastAsia"/>
                <w:b/>
                <w:bCs/>
                <w:color w:val="FF0000"/>
                <w:sz w:val="28"/>
                <w:szCs w:val="28"/>
                <w:lang w:eastAsia="zh-CN"/>
              </w:rPr>
            </w:r>
            <w:r w:rsidRPr="00932124">
              <w:rPr>
                <w:rFonts w:eastAsiaTheme="minorEastAsia"/>
                <w:b/>
                <w:bCs/>
                <w:color w:val="FF0000"/>
                <w:sz w:val="28"/>
                <w:szCs w:val="28"/>
                <w:lang w:val="en-US" w:eastAsia="zh-CN"/>
              </w:rPr>
            </w:r>
            <w:r w:rsidRPr="00932124">
              <w:rPr>
                <w:rFonts w:eastAsiaTheme="minorEastAsia"/>
                <w:b/>
                <w:bCs/>
                <w:color w:val="FF0000"/>
                <w:sz w:val="28"/>
                <w:szCs w:val="28"/>
                <w:lang w:eastAsia="zh-CN"/>
              </w:rPr>
            </w:r>
            <w:r w:rsidRPr="00932124">
              <w:rPr>
                <w:b/>
                <w:bCs/>
                <w:color w:val="FF0000"/>
                <w:sz w:val="28"/>
                <w:szCs w:val="28"/>
              </w:rPr>
            </w:r>
            <w:r w:rsidRPr="00932124">
              <w:rPr>
                <w:b/>
                <w:bCs/>
                <w:sz w:val="28"/>
                <w:szCs w:val="28"/>
              </w:rPr>
            </w:r>
            <w:r w:rsidRPr="00932124">
              <w:rPr>
                <w:b/>
                <w:bCs/>
              </w:rPr>
            </w:r>
            <w:r>
              <w:rPr>
                <w:b/>
                <w:sz w:val="24"/>
              </w:rPr>
              <w:t xml:space="preserve"> (оцениваемый)</w:t>
            </w:r>
          </w:p>
        </w:tc>
      </w:tr>
      <w:tr w:rsidR="0007116C" w14:paraId="3A09161D" w14:textId="77777777" w:rsidTr="00E94612">
        <w:tc>
          <w:tcPr>
            <w:tcW w:w="7280" w:type="dxa"/>
          </w:tcPr>
          <w:p w14:paraId="57279A0E" w14:textId="3814DAC1" w:rsidR="0007116C" w:rsidRPr="00B32A72" w:rsidRDefault="0007116C" w:rsidP="0007116C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z w:val="24"/>
              </w:rPr>
            </w:pPr>
            <w:r w:rsidRPr="00B32A72">
              <w:rPr>
                <w:b/>
                <w:sz w:val="24"/>
                <w:lang w:val="en-US"/>
              </w:rPr>
              <w:t>1.</w:t>
            </w:r>
            <w:r>
              <w:rPr>
                <w:b/>
                <w:sz w:val="24"/>
              </w:rPr>
              <w:t xml:space="preserve"> </w:t>
            </w:r>
            <w:r w:rsidRPr="00B32A72">
              <w:rPr>
                <w:b/>
                <w:sz w:val="24"/>
              </w:rPr>
              <w:t>НАИМЕНОВАНИЕ ЛЕКАРСТВЕННОГО ПРЕПАРАТА</w:t>
            </w:r>
          </w:p>
          <w:p>
            <w:r>
              <w:rPr>
                <w:color w:val="008000"/>
              </w:rPr>
              <w:t>Ремантадин, 50 мг, таблетки.</w:t>
            </w:r>
          </w:p>
        </w:tc>
        <w:tc>
          <w:tcPr>
            <w:tcW w:w="7280" w:type="dxa"/>
          </w:tcPr>
          <w:p w14:paraId="254DF051" w14:textId="606A03E1" w:rsidR="0007116C" w:rsidRPr="00B32A72" w:rsidRDefault="0007116C" w:rsidP="0007116C">
            <w:pPr>
              <w:pStyle w:val="a7"/>
              <w:autoSpaceDE w:val="0"/>
              <w:autoSpaceDN w:val="0"/>
              <w:adjustRightInd w:val="0"/>
              <w:ind w:left="113"/>
              <w:rPr>
                <w:b/>
                <w:sz w:val="24"/>
              </w:rPr>
            </w:pPr>
            <w:r w:rsidRPr="00B32A72">
              <w:rPr>
                <w:b/>
                <w:sz w:val="24"/>
                <w:lang w:val="en-US"/>
              </w:rPr>
              <w:t>1.</w:t>
            </w:r>
            <w:r>
              <w:rPr>
                <w:b/>
                <w:sz w:val="24"/>
              </w:rPr>
              <w:t xml:space="preserve"> </w:t>
            </w:r>
            <w:r w:rsidRPr="00B32A72">
              <w:rPr>
                <w:b/>
                <w:sz w:val="24"/>
              </w:rPr>
              <w:t>НАИМЕНОВАНИЕ ЛЕКАРСТВЕННОГО ПРЕПАРАТА</w:t>
            </w:r>
          </w:p>
          <w:p/>
        </w:tc>
      </w:tr>
      <w:tr w:rsidR="0007116C" w14:paraId="5B7B95CC" w14:textId="77777777" w:rsidTr="00E94612">
        <w:tc>
          <w:tcPr>
            <w:tcW w:w="7280" w:type="dxa"/>
          </w:tcPr>
          <w:p w14:paraId="318750F7" w14:textId="75D64962" w:rsidR="0007116C" w:rsidRPr="00C13B68" w:rsidRDefault="0007116C" w:rsidP="0007116C">
            <w:pPr>
              <w:pStyle w:val="Default"/>
              <w:widowControl/>
              <w:ind w:left="113"/>
              <w:jc w:val="both"/>
              <w:rPr>
                <w:b/>
                <w:bCs/>
                <w:color w:val="auto"/>
                <w:sz w:val="23"/>
                <w:szCs w:val="23"/>
              </w:rPr>
            </w:pPr>
            <w:r>
              <w:rPr>
                <w:b/>
                <w:bCs/>
                <w:color w:val="auto"/>
                <w:sz w:val="23"/>
                <w:szCs w:val="23"/>
                <w:lang w:val="en-US"/>
              </w:rPr>
              <w:t xml:space="preserve">2. </w:t>
            </w:r>
            <w:r w:rsidRPr="00C13B68">
              <w:rPr>
                <w:b/>
                <w:bCs/>
                <w:color w:val="auto"/>
                <w:sz w:val="23"/>
                <w:szCs w:val="23"/>
              </w:rPr>
              <w:t>КАЧЕСТВЕННЫЙ И КОЛИЧЕСТВЕННЫЙ СОСТАВ</w:t>
            </w:r>
          </w:p>
          <w:p>
            <w:r>
              <w:rPr>
                <w:color w:val="008000"/>
              </w:rPr>
              <w:t>Действующее вещество: римантадин.</w:t>
              <w:br/>
              <w:t xml:space="preserve"> Каждая таблетка содержит 50 мг римантадина (в виде гидрохлорида).</w:t>
              <w:br/>
              <w:t xml:space="preserve"> Вспомогательные вещества, наличие которых надо учитывать в составе лекарственного препарата: лактозы моногидрат (см. разделы 4.3, 4.4).</w:t>
              <w:br/>
              <w:t xml:space="preserve"> Полный перечень вспомогательных веществ приведен в разделе 6.1.</w:t>
            </w:r>
          </w:p>
        </w:tc>
        <w:tc>
          <w:tcPr>
            <w:tcW w:w="7280" w:type="dxa"/>
          </w:tcPr>
          <w:p w14:paraId="2F39E7BA" w14:textId="5E23C19A" w:rsidR="0007116C" w:rsidRPr="00B32A72" w:rsidRDefault="0007116C" w:rsidP="0007116C">
            <w:pPr>
              <w:pStyle w:val="a7"/>
              <w:autoSpaceDE w:val="0"/>
              <w:autoSpaceDN w:val="0"/>
              <w:adjustRightInd w:val="0"/>
              <w:ind w:left="113"/>
              <w:rPr>
                <w:b/>
                <w:sz w:val="24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2. </w:t>
            </w:r>
            <w:r w:rsidRPr="00C13B68">
              <w:rPr>
                <w:b/>
                <w:bCs/>
                <w:sz w:val="23"/>
                <w:szCs w:val="23"/>
              </w:rPr>
              <w:t>КАЧЕСТВЕННЫЙ И КОЛИЧЕСТВЕННЫЙ СОСТАВ</w:t>
            </w:r>
          </w:p>
          <w:p/>
        </w:tc>
      </w:tr>
      <w:tr w:rsidR="0007116C" w14:paraId="1E094F75" w14:textId="77777777" w:rsidTr="00E94612">
        <w:tc>
          <w:tcPr>
            <w:tcW w:w="7280" w:type="dxa"/>
          </w:tcPr>
          <w:p w14:paraId="2373621D" w14:textId="1930F3CE" w:rsidR="0007116C" w:rsidRPr="00B32A72" w:rsidRDefault="0007116C" w:rsidP="0007116C">
            <w:pPr>
              <w:pStyle w:val="Default"/>
              <w:widowControl/>
              <w:ind w:left="113"/>
              <w:jc w:val="both"/>
              <w:rPr>
                <w:b/>
                <w:color w:val="auto"/>
              </w:rPr>
            </w:pPr>
            <w:r>
              <w:rPr>
                <w:b/>
                <w:color w:val="auto"/>
                <w:lang w:val="en-US"/>
              </w:rPr>
              <w:t xml:space="preserve">3. </w:t>
            </w:r>
            <w:r w:rsidRPr="00C13B68">
              <w:rPr>
                <w:b/>
                <w:color w:val="auto"/>
              </w:rPr>
              <w:t>ЛЕКАРСТВЕННАЯ ФОРМА</w:t>
            </w:r>
          </w:p>
          <w:p>
            <w:r>
              <w:rPr>
                <w:color w:val="008000"/>
              </w:rPr>
              <w:t>Таблетки.</w:t>
              <w:br/>
              <w:t xml:space="preserve"> Таблетки белого или почти белого цвета, круглой плоскоцилиндрической формы с фаской.</w:t>
            </w:r>
          </w:p>
        </w:tc>
        <w:tc>
          <w:tcPr>
            <w:tcW w:w="7280" w:type="dxa"/>
          </w:tcPr>
          <w:p w14:paraId="1C87BA78" w14:textId="1CC71C3F" w:rsidR="0007116C" w:rsidRDefault="0007116C" w:rsidP="0007116C">
            <w:pPr>
              <w:autoSpaceDE w:val="0"/>
              <w:autoSpaceDN w:val="0"/>
              <w:adjustRightInd w:val="0"/>
              <w:ind w:left="113"/>
              <w:rPr>
                <w:color w:val="FF0000"/>
                <w:sz w:val="28"/>
                <w:szCs w:val="28"/>
              </w:rPr>
            </w:pPr>
            <w:r>
              <w:rPr>
                <w:b/>
                <w:lang w:val="en-US"/>
              </w:rPr>
              <w:t xml:space="preserve">3. </w:t>
            </w:r>
            <w:r w:rsidRPr="00C13B68">
              <w:rPr>
                <w:b/>
              </w:rPr>
              <w:t>ЛЕКАРСТВЕННАЯ ФОРМА</w:t>
            </w:r>
          </w:p>
          <w:p/>
        </w:tc>
      </w:tr>
      <w:tr w:rsidR="0007116C" w14:paraId="10A498B5" w14:textId="77777777" w:rsidTr="00E94612">
        <w:tc>
          <w:tcPr>
            <w:tcW w:w="7280" w:type="dxa"/>
          </w:tcPr>
          <w:p w14:paraId="1A43B7E3" w14:textId="7651483B" w:rsidR="0007116C" w:rsidRPr="00B32A72" w:rsidRDefault="0007116C" w:rsidP="0007116C">
            <w:pPr>
              <w:autoSpaceDE w:val="0"/>
              <w:autoSpaceDN w:val="0"/>
              <w:adjustRightInd w:val="0"/>
              <w:ind w:left="113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4. </w:t>
            </w:r>
            <w:r w:rsidRPr="00B32A72">
              <w:rPr>
                <w:b/>
                <w:bCs/>
                <w:sz w:val="23"/>
                <w:szCs w:val="23"/>
              </w:rPr>
              <w:t>КЛИНИЧЕСКИЕ ДАННЫЕ</w:t>
            </w:r>
          </w:p>
          <w:p/>
        </w:tc>
        <w:tc>
          <w:tcPr>
            <w:tcW w:w="7280" w:type="dxa"/>
          </w:tcPr>
          <w:p w14:paraId="32F2333E" w14:textId="1D935490" w:rsidR="0007116C" w:rsidRDefault="0007116C" w:rsidP="0007116C">
            <w:pPr>
              <w:autoSpaceDE w:val="0"/>
              <w:autoSpaceDN w:val="0"/>
              <w:adjustRightInd w:val="0"/>
              <w:ind w:left="113"/>
              <w:rPr>
                <w:color w:val="FF0000"/>
                <w:sz w:val="28"/>
                <w:szCs w:val="28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4. </w:t>
            </w:r>
            <w:r w:rsidRPr="00B32A72">
              <w:rPr>
                <w:b/>
                <w:bCs/>
                <w:sz w:val="23"/>
                <w:szCs w:val="23"/>
              </w:rPr>
              <w:t>КЛИНИЧЕСКИЕ ДАННЫЕ</w:t>
            </w:r>
          </w:p>
          <w:p/>
        </w:tc>
      </w:tr>
      <w:tr w:rsidR="0007116C" w14:paraId="5E65D266" w14:textId="77777777" w:rsidTr="00E94612">
        <w:tc>
          <w:tcPr>
            <w:tcW w:w="7280" w:type="dxa"/>
          </w:tcPr>
          <w:p w14:paraId="33B239EE" w14:textId="5226ABEE"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 xml:space="preserve">4.1 </w:t>
            </w:r>
            <w:r w:rsidRPr="00B32A72">
              <w:rPr>
                <w:b/>
                <w:sz w:val="24"/>
              </w:rPr>
              <w:t>Показания к применению</w:t>
            </w:r>
          </w:p>
          <w:p>
            <w:r>
              <w:rPr>
                <w:color w:val="008000"/>
              </w:rPr>
              <w:t>Препарат Ремантадин показан к применению у взрослых и детей старше 10 лет для раннего лечения и профилактики гриппа А.</w:t>
            </w:r>
          </w:p>
        </w:tc>
        <w:tc>
          <w:tcPr>
            <w:tcW w:w="7280" w:type="dxa"/>
          </w:tcPr>
          <w:p w14:paraId="576525BE" w14:textId="381FCA37"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07116C">
              <w:rPr>
                <w:b/>
                <w:sz w:val="24"/>
              </w:rPr>
              <w:t xml:space="preserve">4.1 </w:t>
            </w:r>
            <w:r w:rsidRPr="00B32A72">
              <w:rPr>
                <w:b/>
                <w:sz w:val="24"/>
              </w:rPr>
              <w:t>Показания к применению</w:t>
            </w:r>
          </w:p>
          <w:p/>
        </w:tc>
      </w:tr>
      <w:tr w:rsidR="0007116C" w14:paraId="1B8FC0C0" w14:textId="77777777" w:rsidTr="00E94612">
        <w:tc>
          <w:tcPr>
            <w:tcW w:w="7280" w:type="dxa"/>
          </w:tcPr>
          <w:p w14:paraId="7A2A7E41" w14:textId="5042FA30"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B32A72">
              <w:rPr>
                <w:b/>
                <w:sz w:val="24"/>
              </w:rPr>
              <w:t>4.2 Режим дозирования и способ применения</w:t>
            </w:r>
          </w:p>
          <w:p>
            <w:r>
              <w:rPr>
                <w:color w:val="008000"/>
              </w:rPr>
              <w:t>Лечение гриппа следует начинать в течение 24-48 часов после появления симптомов болезни.</w:t>
              <w:br/>
              <w:t xml:space="preserve"> Режим дозирования</w:t>
              <w:br/>
              <w:t xml:space="preserve"> Лечение гриппа</w:t>
              <w:br/>
              <w:t xml:space="preserve"> Назначают по 100 мг 2 раза в день.</w:t>
              <w:br/>
              <w:t xml:space="preserve"> Длительность курса лечения составляет 5 дней.</w:t>
              <w:br/>
              <w:t xml:space="preserve"> Профилактика гриппа</w:t>
              <w:br/>
              <w:t xml:space="preserve"> Назначают по 50 мг 1 раз в день в течение до 30-ти дней.</w:t>
              <w:br/>
              <w:t xml:space="preserve"> Особые группы пациентов</w:t>
              <w:br/>
              <w:t xml:space="preserve"> Пациенты пожилого возраста (старше 65 лет)</w:t>
              <w:br/>
              <w:t xml:space="preserve"> По 100 мг 1 раз в день.</w:t>
              <w:br/>
              <w:t xml:space="preserve"> Пациенты с нарушением функции почек</w:t>
              <w:br/>
              <w:t xml:space="preserve"> У пациентов с нарушением функции почек легкой степени тяжести и средней степени тяжести при необходимости следует снизить дозу препарата: по 100 мг 1 раз в день. Пациенты должны находиться под тщательным наблюдением.</w:t>
              <w:br/>
              <w:t xml:space="preserve"> Пациенты с нарушением функции печени</w:t>
              <w:br/>
              <w:t xml:space="preserve"> У пациентов с нарушением функции печени легкой и средней степени тяжести при необходимости следует снизить дозу препарата: по 100 мг 1 раз в день.</w:t>
              <w:br/>
              <w:t xml:space="preserve"> Пациенты должны находиться под тщательным наблюдением.</w:t>
              <w:br/>
              <w:t xml:space="preserve"> Дети</w:t>
              <w:br/>
              <w:t xml:space="preserve"> Лечение гриппа</w:t>
              <w:br/>
              <w:t xml:space="preserve"> Детям в возрасте 10 лет-назначают по 50 мг 2 раза в день.</w:t>
              <w:br/>
              <w:t xml:space="preserve"> Детям от 11 до 14 лет-назначают по 50 мг 3 раза в день.</w:t>
              <w:br/>
              <w:t xml:space="preserve"> Детям старше 14 лет-дозы для взрослых.</w:t>
              <w:br/>
              <w:t xml:space="preserve"> Длительность курса лечения составляет 5 дней.</w:t>
              <w:br/>
              <w:t xml:space="preserve"> Профилактика гриппа</w:t>
              <w:br/>
              <w:t xml:space="preserve"> Детям старше 10 лет-по 50 мг 1 раз в день в течение до 15-ти дней.</w:t>
              <w:br/>
              <w:t xml:space="preserve"> Способ применения</w:t>
              <w:br/>
              <w:t xml:space="preserve"> Внутрь, после еды, запивая водой.</w:t>
            </w:r>
          </w:p>
        </w:tc>
        <w:tc>
          <w:tcPr>
            <w:tcW w:w="7280" w:type="dxa"/>
          </w:tcPr>
          <w:p w14:paraId="4B3A6DB6" w14:textId="369D78C5"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B32A72">
              <w:rPr>
                <w:b/>
                <w:sz w:val="24"/>
              </w:rPr>
              <w:t>4.2 Режим дозирования и способ применения</w:t>
            </w:r>
          </w:p>
          <w:p/>
        </w:tc>
      </w:tr>
      <w:tr w:rsidR="0007116C" w14:paraId="3095B3FC" w14:textId="77777777" w:rsidTr="00E94612">
        <w:tc>
          <w:tcPr>
            <w:tcW w:w="7280" w:type="dxa"/>
          </w:tcPr>
          <w:p w14:paraId="6D6AD58C" w14:textId="12AE996B"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 xml:space="preserve">4.3 </w:t>
            </w:r>
            <w:r w:rsidRPr="00B32A72">
              <w:rPr>
                <w:b/>
                <w:sz w:val="24"/>
              </w:rPr>
              <w:t>Противопоказания</w:t>
            </w:r>
          </w:p>
          <w:p>
            <w:r>
              <w:rPr>
                <w:color w:val="008000"/>
              </w:rPr>
              <w:t>• Г</w:t>
            </w:r>
            <w:r>
              <w:t>иперчувствительность к римантадину, производным адамантана или</w:t>
            </w:r>
            <w:r>
              <w:t xml:space="preserve"> любому из вспомогательных веществ, перечисленных в разделе 6.1</w:t>
            </w:r>
            <w:r>
              <w:rPr>
                <w:color w:val="008000"/>
              </w:rPr>
              <w:br/>
              <w:t>• П</w:t>
            </w:r>
            <w:r>
              <w:t>еченочная недостаточность тяжелой степени тяжести</w:t>
            </w:r>
            <w:r>
              <w:rPr>
                <w:color w:val="008000"/>
              </w:rPr>
              <w:br/>
              <w:t>• П</w:t>
            </w:r>
            <w:r>
              <w:t>очечная недостаточность тяжелой степени тяжести</w:t>
            </w:r>
            <w:r>
              <w:rPr>
                <w:color w:val="008000"/>
              </w:rPr>
              <w:br/>
              <w:t>• Тиреотоксикоз</w:t>
              <w:br/>
              <w:t>• Б</w:t>
            </w:r>
            <w:r>
              <w:t>еременность и период грудного вскармливания</w:t>
            </w:r>
            <w:r>
              <w:rPr>
                <w:color w:val="008000"/>
              </w:rPr>
              <w:br/>
              <w:t>• Д</w:t>
            </w:r>
            <w:r>
              <w:t>ефицит лактазы, непереносимость лактозы, глюкозо-галактозная мальабсорбция</w:t>
            </w:r>
            <w:r>
              <w:rPr>
                <w:color w:val="008000"/>
              </w:rPr>
              <w:br/>
              <w:t>• Беременность и период грудного вскармливания</w:t>
              <w:br/>
              <w:t>• Дети</w:t>
            </w:r>
            <w:r>
              <w:t xml:space="preserve"> до 10 лет</w:t>
            </w:r>
          </w:p>
        </w:tc>
        <w:tc>
          <w:tcPr>
            <w:tcW w:w="7280" w:type="dxa"/>
          </w:tcPr>
          <w:p w14:paraId="368F3FF7" w14:textId="522F00C5"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07116C">
              <w:rPr>
                <w:b/>
                <w:sz w:val="24"/>
              </w:rPr>
              <w:t xml:space="preserve">4.3 </w:t>
            </w:r>
            <w:r w:rsidRPr="00B32A72">
              <w:rPr>
                <w:b/>
                <w:sz w:val="24"/>
              </w:rPr>
              <w:t>Противопоказания</w:t>
            </w:r>
          </w:p>
          <w:p>
            <w:r>
              <w:rPr>
                <w:color w:val="FF0000"/>
              </w:rPr>
              <w:t>- -г</w:t>
            </w:r>
            <w:r>
              <w:t>иперчувствительность к римантадину, производным адамантана или</w:t>
            </w:r>
            <w:r>
              <w:rPr>
                <w:color w:val="FF0000"/>
              </w:rPr>
              <w:t xml:space="preserve"> к</w:t>
            </w:r>
            <w:r>
              <w:t xml:space="preserve"> любому из вспомогательных веществ, перечисленных в разделе 6.1</w:t>
            </w:r>
            <w:r>
              <w:rPr>
                <w:color w:val="FF0000"/>
              </w:rPr>
              <w:t>.;</w:t>
              <w:br/>
              <w:t>- -п</w:t>
            </w:r>
            <w:r>
              <w:t>еченочная недостаточность тяжелой степени тяжести</w:t>
            </w:r>
            <w:r>
              <w:rPr>
                <w:color w:val="FF0000"/>
              </w:rPr>
              <w:t>;</w:t>
              <w:br/>
              <w:t>- -п</w:t>
            </w:r>
            <w:r>
              <w:t>очечная недостаточность тяжелой степени тяжести</w:t>
            </w:r>
            <w:r>
              <w:rPr>
                <w:color w:val="FF0000"/>
              </w:rPr>
              <w:t>;</w:t>
              <w:br/>
              <w:t>- -тиреотоксикоз;</w:t>
              <w:br/>
              <w:t>- -б</w:t>
            </w:r>
            <w:r>
              <w:t>еременность и период грудного вскармливания</w:t>
            </w:r>
            <w:r>
              <w:rPr>
                <w:color w:val="FF0000"/>
              </w:rPr>
              <w:t>;</w:t>
              <w:br/>
              <w:t>- -д</w:t>
            </w:r>
            <w:r>
              <w:t>ефицит лактазы, непереносимость лактозы, глюкозо-галактозная мальабсорбция</w:t>
            </w:r>
            <w:r>
              <w:rPr>
                <w:color w:val="FF0000"/>
              </w:rPr>
              <w:t>;</w:t>
              <w:br/>
              <w:t>- -детский возраст</w:t>
            </w:r>
            <w:r>
              <w:t xml:space="preserve"> до 10 лет</w:t>
            </w:r>
            <w:r>
              <w:rPr>
                <w:color w:val="FF0000"/>
              </w:rPr>
              <w:t>.</w:t>
            </w:r>
          </w:p>
        </w:tc>
      </w:tr>
      <w:tr w:rsidR="0007116C" w14:paraId="31D0F5C7" w14:textId="77777777" w:rsidTr="00E94612">
        <w:tc>
          <w:tcPr>
            <w:tcW w:w="7280" w:type="dxa"/>
          </w:tcPr>
          <w:p w14:paraId="2DCD6C77" w14:textId="046BFC7B"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4B7813">
              <w:rPr>
                <w:b/>
                <w:sz w:val="24"/>
              </w:rPr>
              <w:t xml:space="preserve">4.4 </w:t>
            </w:r>
            <w:r w:rsidRPr="00B32A72">
              <w:rPr>
                <w:b/>
                <w:sz w:val="24"/>
              </w:rPr>
              <w:t>Особые указания и меры предосторожности при применении</w:t>
            </w:r>
          </w:p>
          <w:p>
            <w:r>
              <w:t>С осторожностью</w:t>
              <w:br/>
              <w:br/>
            </w:r>
            <w:r>
              <w:rPr>
                <w:color w:val="008000"/>
              </w:rPr>
              <w:t>• Н</w:t>
            </w:r>
            <w:r>
              <w:t>арушения функции желудочно-кишечного тракта</w:t>
            </w:r>
            <w:r>
              <w:br/>
            </w:r>
            <w:r>
              <w:rPr>
                <w:color w:val="008000"/>
              </w:rPr>
              <w:t>• Н</w:t>
            </w:r>
            <w:r>
              <w:t>арушения функции печени и/или почек легкой или средней степени тяжести</w:t>
            </w:r>
            <w:r>
              <w:br/>
            </w:r>
            <w:r>
              <w:br/>
            </w:r>
            <w:r>
              <w:rPr>
                <w:color w:val="008000"/>
              </w:rPr>
              <w:t>• Тя</w:t>
            </w:r>
            <w:r>
              <w:t>ж</w:t>
            </w:r>
            <w:r>
              <w:rPr>
                <w:color w:val="008000"/>
              </w:rPr>
              <w:t>елое заболевание сердца и/или нарушения сердечного ритма</w:t>
              <w:br/>
              <w:t>• Эпилепсия (в том числе в анамнезе)</w:t>
              <w:br/>
              <w:t>• Пациентам пожилого возраста</w:t>
              <w:br/>
              <w:t xml:space="preserve"> В этих случаях рекомендуется уменьшить дозу</w:t>
            </w:r>
            <w:r>
              <w:t>.</w:t>
              <w:br/>
              <w:t xml:space="preserve"> Особые указания</w:t>
              <w:br/>
              <w:t xml:space="preserve"> </w:t>
            </w:r>
            <w:r>
              <w:rPr>
                <w:color w:val="008000"/>
              </w:rPr>
              <w:t>Пациенты с</w:t>
            </w:r>
            <w:r>
              <w:t xml:space="preserve"> э</w:t>
            </w:r>
            <w:r>
              <w:rPr>
                <w:color w:val="008000"/>
              </w:rPr>
              <w:t>пилепсией</w:t>
            </w:r>
            <w:r>
              <w:br/>
              <w:t xml:space="preserve"> При указаниях в анамнезе на эпилепсию и применении противосудорожной терапии одновременный прием римантадина повышает риск развития эпилептического приступа. В данных случаях снижают дозу римантадина до 100 мг в день. Если развивается приступ, прием лекарственного средства прекращают.</w:t>
              <w:br/>
              <w:t xml:space="preserve"> Пациенты с нарушени</w:t>
            </w:r>
            <w:r>
              <w:rPr>
                <w:color w:val="008000"/>
              </w:rPr>
              <w:t>ем</w:t>
            </w:r>
            <w:r>
              <w:t xml:space="preserve"> функции печени</w:t>
              <w:br/>
              <w:t xml:space="preserve"> Римантадин противопоказан в случае тяжелых нарушений функции печени.</w:t>
              <w:br/>
              <w:t xml:space="preserve"> Объем доступных данных о применении римантадина пациентам</w:t>
            </w:r>
            <w:r>
              <w:t xml:space="preserve"> с острыми или хроническими нарушениями функции печени ограничен. Перед назначением римантадина врач должен оценить ожидаемую пользу и потенциальный риск, а также необходимость корректировать дозу. Необходимо тщательно наблюдать за пациентами, так как римантадин интенсивно метаболизируется в печени, и из-за накопления его метаболитов после многократного применения лекарственного средства могут возникнуть </w:t>
            </w:r>
            <w:r>
              <w:rPr>
                <w:color w:val="008000"/>
              </w:rPr>
              <w:t>нежелатель</w:t>
            </w:r>
            <w:r>
              <w:t>ные реакции.</w:t>
              <w:br/>
              <w:t xml:space="preserve"> Пациенты с нарушени</w:t>
            </w:r>
            <w:r>
              <w:rPr>
                <w:color w:val="008000"/>
              </w:rPr>
              <w:t>ем</w:t>
            </w:r>
            <w:r>
              <w:t xml:space="preserve"> функции почек</w:t>
              <w:br/>
              <w:t xml:space="preserve"> Римантадин противопоказан в случае тяжелых нарушений функции почек.</w:t>
              <w:br/>
              <w:t xml:space="preserve"> Объем доступных данных о применении римантадина пациентам</w:t>
            </w:r>
            <w:r>
              <w:t xml:space="preserve"> с острыми или хроническими нарушениями функции почек ограничен. Перед назначением римантадина врач должен оценить ожидаемую пользу и потенциальный риск, а также необходимость корректировать дозу. Необходимо тщательно наблюдать за пациентами, так как из-за накопления римантадина и его метаболитов после многократного применения лекарственного средства могут возникнуть </w:t>
            </w:r>
            <w:r>
              <w:rPr>
                <w:color w:val="008000"/>
              </w:rPr>
              <w:t>нежелатель</w:t>
            </w:r>
            <w:r>
              <w:t>ные реакции.</w:t>
              <w:br/>
              <w:t xml:space="preserve"> Чтобы уменьшить развитие резистентности к римантадину (также амантадину), лечение гриппоподобных симптомов следует прекратить как можно быстрее, если это клинически возможно, обычно примерно через 5 дней или в течение 24</w:t>
            </w:r>
            <w:r>
              <w:rPr>
                <w:color w:val="008000"/>
              </w:rPr>
              <w:t>-</w:t>
            </w:r>
            <w:r>
              <w:t>48 часов после исчезновения симптомов.</w:t>
              <w:br/>
              <w:t xml:space="preserve"> </w:t>
            </w:r>
            <w:r>
              <w:rPr>
                <w:color w:val="008000"/>
              </w:rPr>
              <w:t>Вспомогательные вещества</w:t>
              <w:br/>
              <w:t xml:space="preserve"> </w:t>
            </w:r>
            <w:r>
              <w:t>П</w:t>
            </w:r>
            <w:r>
              <w:rPr>
                <w:color w:val="008000"/>
              </w:rPr>
              <w:t>ациентам с редко встреча</w:t>
            </w:r>
            <w:r>
              <w:t>ю</w:t>
            </w:r>
            <w:r>
              <w:rPr>
                <w:color w:val="008000"/>
              </w:rPr>
              <w:t>ще</w:t>
            </w:r>
            <w:r>
              <w:t>й</w:t>
            </w:r>
            <w:r>
              <w:rPr>
                <w:color w:val="008000"/>
              </w:rPr>
              <w:t>ся наследственно</w:t>
            </w:r>
            <w:r>
              <w:t>й не</w:t>
            </w:r>
            <w:r>
              <w:rPr>
                <w:color w:val="008000"/>
              </w:rPr>
              <w:t>переносимостью галактозы,</w:t>
              <w:br/>
              <w:br/>
              <w:t>дефицитом лактазы лопаре</w:t>
            </w:r>
            <w:r>
              <w:t xml:space="preserve">й </w:t>
            </w:r>
            <w:r>
              <w:rPr>
                <w:color w:val="008000"/>
              </w:rPr>
              <w:t>или глюкозо-галактозной мальабсорбцией не следует принимать препарат Ремантадин из-за наличия лактозы моногидрата в составе вспомогательных веществ</w:t>
            </w:r>
            <w:r>
              <w:t>.</w:t>
            </w:r>
          </w:p>
        </w:tc>
        <w:tc>
          <w:tcPr>
            <w:tcW w:w="7280" w:type="dxa"/>
          </w:tcPr>
          <w:p w14:paraId="3CC6CDC6" w14:textId="703D7249"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4B7813">
              <w:rPr>
                <w:b/>
                <w:sz w:val="24"/>
              </w:rPr>
              <w:t xml:space="preserve">4.4 </w:t>
            </w:r>
            <w:r w:rsidRPr="00B32A72">
              <w:rPr>
                <w:b/>
                <w:sz w:val="24"/>
              </w:rPr>
              <w:t>Особые указания и меры предосторожности при применении</w:t>
            </w:r>
          </w:p>
          <w:p>
            <w:r>
              <w:t>С осторожностью</w:t>
              <w:br/>
              <w:br/>
            </w:r>
            <w:r>
              <w:rPr>
                <w:color w:val="FF0000"/>
              </w:rPr>
              <w:t>- -н</w:t>
            </w:r>
            <w:r>
              <w:t>арушения функции желудочно-кишечного тракта</w:t>
            </w:r>
            <w:r>
              <w:rPr>
                <w:color w:val="FF0000"/>
              </w:rPr>
              <w:t>;</w:t>
            </w:r>
            <w:r>
              <w:br/>
            </w:r>
            <w:r>
              <w:rPr>
                <w:color w:val="FF0000"/>
              </w:rPr>
              <w:t>- -н</w:t>
            </w:r>
            <w:r>
              <w:t>арушения функции печени и/или почек легкой или средней степени тяжести</w:t>
            </w:r>
            <w:r>
              <w:rPr>
                <w:color w:val="FF0000"/>
              </w:rPr>
              <w:t>;</w:t>
            </w:r>
            <w:r>
              <w:br/>
            </w:r>
            <w:r>
              <w:rPr>
                <w:color w:val="FF0000"/>
              </w:rPr>
              <w:t>- -тяжелое заболевание сердца и/или нарушения сердечного ритма;</w:t>
            </w:r>
            <w:r>
              <w:br/>
            </w:r>
            <w:r>
              <w:rPr>
                <w:color w:val="FF0000"/>
              </w:rPr>
              <w:t>- -эпилепсия (в т.ч. в анамнезе);</w:t>
              <w:br/>
              <w:t>- -людям по</w:t>
            </w:r>
            <w:r>
              <w:t>ж</w:t>
            </w:r>
            <w:r>
              <w:rPr>
                <w:color w:val="FF0000"/>
              </w:rPr>
              <w:t>илого возраста</w:t>
            </w:r>
            <w:r>
              <w:t>.</w:t>
              <w:br/>
              <w:t xml:space="preserve"> Особые указания</w:t>
              <w:br/>
              <w:t xml:space="preserve"> </w:t>
            </w:r>
            <w:r>
              <w:rPr>
                <w:color w:val="FF0000"/>
              </w:rPr>
              <w:t>С осторожностью принимать лекарственное средство пациентам с нарушениями функции желудочно-кишечного тракта, нарушениями функции печени и/или почек легкой или средней степени тяжести, тяжелыми заболеваниями сердца, в том числе нарушениями сердечного ритма, людям пожилого возраста. В</w:t>
            </w:r>
            <w:r>
              <w:t xml:space="preserve"> э</w:t>
            </w:r>
            <w:r>
              <w:rPr>
                <w:color w:val="FF0000"/>
              </w:rPr>
              <w:t>тих случаях рекомендуется уменьшить дозу.</w:t>
            </w:r>
            <w:r>
              <w:br/>
              <w:t xml:space="preserve"> При указаниях в анамнезе на эпилепсию и применении противосудорожной терапии одновременный прием римантадина повышает риск развития эпилептического приступа. В данных случаях снижают дозу римантадина до 100 мг в день. Если развивается приступ, прием лекарственного средства прекращают.</w:t>
              <w:br/>
              <w:t xml:space="preserve"> Пациенты с нарушени</w:t>
            </w:r>
            <w:r>
              <w:rPr>
                <w:color w:val="FF0000"/>
              </w:rPr>
              <w:t>ями</w:t>
            </w:r>
            <w:r>
              <w:t xml:space="preserve"> функции печени</w:t>
              <w:br/>
              <w:t xml:space="preserve"> Римантадин противопоказан в случае тяжелых нарушений функции печени.</w:t>
              <w:br/>
              <w:t xml:space="preserve"> Объем доступных данных о применении римантадина пациентам</w:t>
            </w:r>
            <w:r>
              <w:rPr>
                <w:color w:val="FF0000"/>
              </w:rPr>
              <w:t>и</w:t>
            </w:r>
            <w:r>
              <w:t xml:space="preserve"> с острыми или хроническими нарушениями функции печени ограничен. Перед назначением римантадина врач должен оценить ожидаемую пользу и потенциальный риск, а также необходимость корректировать дозу. Необходимо тщательно наблюдать за пациентами, так как римантадин интенсивно метаболизируется в печени, и из-за накопления его метаболитов после многократного применения лекарственного средства могут возникнуть </w:t>
            </w:r>
            <w:r>
              <w:rPr>
                <w:color w:val="FF0000"/>
              </w:rPr>
              <w:t>побоч</w:t>
            </w:r>
            <w:r>
              <w:t>ные реакции.</w:t>
              <w:br/>
              <w:t xml:space="preserve"> Пациенты с нарушени</w:t>
            </w:r>
            <w:r>
              <w:rPr>
                <w:color w:val="FF0000"/>
              </w:rPr>
              <w:t>ями</w:t>
            </w:r>
            <w:r>
              <w:t xml:space="preserve"> функции почек</w:t>
              <w:br/>
              <w:t xml:space="preserve"> Римантадин противопоказан в случае тяжелых нарушений функции почек.</w:t>
              <w:br/>
              <w:t xml:space="preserve"> Объем доступных данных о применении римантадина пациентам</w:t>
            </w:r>
            <w:r>
              <w:rPr>
                <w:color w:val="FF0000"/>
              </w:rPr>
              <w:t>и</w:t>
            </w:r>
            <w:r>
              <w:t xml:space="preserve"> с острыми или хроническими нарушениями функции почек ограничен. Перед назначением римантадина врач должен оценить ожидаемую пользу и потенциальный риск, а также необходимость корректировать дозу. Необходимо тщательно наблюдать за пациентами, так как из-за накопления римантадина и его метаболитов после многократного применения лекарственного средства могут возникнуть </w:t>
            </w:r>
            <w:r>
              <w:rPr>
                <w:color w:val="FF0000"/>
              </w:rPr>
              <w:t>побоч</w:t>
            </w:r>
            <w:r>
              <w:t>ные реакции.</w:t>
              <w:br/>
              <w:t xml:space="preserve"> Чтобы уменьшить развитие резистентности к римантадину (также амантадину), лечение гриппоподобных симптомов следует прекратить как можно быстрее, если это клинически возможно, обычно примерно через 5 дней или в течение 24</w:t>
            </w:r>
            <w:r>
              <w:t>48 часов после исчезновения симптомов.</w:t>
              <w:br/>
              <w:t xml:space="preserve"> </w:t>
            </w:r>
            <w:r>
              <w:t>П</w:t>
            </w:r>
            <w:r>
              <w:rPr>
                <w:color w:val="FF0000"/>
              </w:rPr>
              <w:t>репарат содержит лактозы моногидрат. Пациентам с дефицитом лактазы, непереносимость</w:t>
            </w:r>
            <w:r>
              <w:t>ю</w:t>
            </w:r>
            <w:r>
              <w:rPr>
                <w:color w:val="FF0000"/>
              </w:rPr>
              <w:t xml:space="preserve"> лактозы, глюкозо-галактозно</w:t>
            </w:r>
            <w:r>
              <w:t>й</w:t>
            </w:r>
            <w:r>
              <w:rPr>
                <w:color w:val="FF0000"/>
              </w:rPr>
              <w:t xml:space="preserve"> мальабсорбцие</w:t>
            </w:r>
            <w:r>
              <w:t>й не</w:t>
            </w:r>
            <w:r>
              <w:rPr>
                <w:color w:val="FF0000"/>
              </w:rPr>
              <w:t xml:space="preserve"> следует применять данны</w:t>
            </w:r>
            <w:r>
              <w:t xml:space="preserve">й </w:t>
            </w:r>
            <w:r>
              <w:rPr>
                <w:color w:val="FF0000"/>
              </w:rPr>
              <w:t>препарат</w:t>
            </w:r>
            <w:r>
              <w:t>.</w:t>
            </w:r>
          </w:p>
        </w:tc>
      </w:tr>
      <w:tr w:rsidR="0007116C" w14:paraId="35E7209D" w14:textId="77777777" w:rsidTr="00E94612">
        <w:tc>
          <w:tcPr>
            <w:tcW w:w="7280" w:type="dxa"/>
          </w:tcPr>
          <w:p w14:paraId="42E5851E" w14:textId="69BBA328"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3720D7">
              <w:rPr>
                <w:b/>
                <w:sz w:val="24"/>
              </w:rPr>
              <w:t xml:space="preserve">4.5 </w:t>
            </w:r>
            <w:r w:rsidRPr="00B32A72">
              <w:rPr>
                <w:b/>
                <w:sz w:val="24"/>
              </w:rPr>
              <w:t>Взаимодействие с другими лекарственными препаратами и другие виды взаимодействия</w:t>
            </w:r>
          </w:p>
          <w:p>
            <w:r>
              <w:t>Римантадин снижает эффективность противоэпилептических препаратов.</w:t>
              <w:br/>
              <w:t xml:space="preserve"> Парацетамол и ацетилсалициловая кислота снижают максимальную концентрацию римантадина в плазме крови на 11 %.</w:t>
              <w:br/>
              <w:t xml:space="preserve"> Циметидин снижает клиренс римантадина на 18 %.</w:t>
              <w:br/>
              <w:t xml:space="preserve"> Адсорбенты, вяжущие и обволакивающие средства уменьшают всасывание римантадина.</w:t>
              <w:br/>
              <w:t xml:space="preserve"> Защелачивающие мочу средства (ацетазоламид, натрия гидрокарбонат и др.) усиливают эффективность римантадина вследствие уменьшения его выделения почками.</w:t>
              <w:br/>
              <w:t xml:space="preserve"> Закисляющие мочу средства (например, кислота аскорбиновая) уменьшают эффективность римантадина вследствие усиления его выведения почками.</w:t>
              <w:br/>
              <w:t xml:space="preserve"> Следует воздерживаться от употребления алкоголя, т</w:t>
            </w:r>
            <w:r>
              <w:rPr>
                <w:color w:val="008000"/>
              </w:rPr>
              <w:t>ак как</w:t>
            </w:r>
            <w:r>
              <w:t xml:space="preserve"> могут возникнуть непредвиденные реакции со стороны центральной нервной системы.</w:t>
            </w:r>
          </w:p>
        </w:tc>
        <w:tc>
          <w:tcPr>
            <w:tcW w:w="7280" w:type="dxa"/>
          </w:tcPr>
          <w:p w14:paraId="7A309C3F" w14:textId="005649DE"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3720D7">
              <w:rPr>
                <w:b/>
                <w:sz w:val="24"/>
              </w:rPr>
              <w:t xml:space="preserve">4.5 </w:t>
            </w:r>
            <w:r w:rsidRPr="00B32A72">
              <w:rPr>
                <w:b/>
                <w:sz w:val="24"/>
              </w:rPr>
              <w:t>Взаимодействие с другими лекарственными препаратами и другие виды взаимодействия</w:t>
            </w:r>
          </w:p>
          <w:p>
            <w:r>
              <w:t>Римантадин снижает эффективность противоэпилептических препаратов.</w:t>
              <w:br/>
              <w:t xml:space="preserve"> Парацетамол и ацетилсалициловая кислота снижают максимальную концентрацию римантадина в плазме крови на 11 %.</w:t>
              <w:br/>
              <w:t xml:space="preserve"> Циметидин снижает клиренс римантадина на 18 %.</w:t>
              <w:br/>
              <w:t xml:space="preserve"> Адсорбенты, вяжущие и обволакивающие средства уменьшают всасывание римантадина.</w:t>
              <w:br/>
              <w:t xml:space="preserve"> Защелачивающие мочу средства (ацетазоламид, натрия гидрокарбонат и др.) усиливают эффективность римантадина вследствие уменьшения его выделения почками.</w:t>
              <w:br/>
              <w:t xml:space="preserve"> Закисляющие мочу средства (например, кислота аскорбиновая) уменьшают эффективность римантадина вследствие усиления его выведения почками.</w:t>
              <w:br/>
              <w:t xml:space="preserve"> Следует воздерживаться от употребления алкоголя, т</w:t>
            </w:r>
            <w:r>
              <w:rPr>
                <w:color w:val="FF0000"/>
              </w:rPr>
              <w:t>.к.</w:t>
            </w:r>
            <w:r>
              <w:t xml:space="preserve"> могут возникнуть непредвиденные реакции со стороны центральной нервной системы.</w:t>
            </w:r>
          </w:p>
        </w:tc>
      </w:tr>
      <w:tr w:rsidR="0007116C" w14:paraId="4EE59292" w14:textId="77777777" w:rsidTr="00E94612">
        <w:tc>
          <w:tcPr>
            <w:tcW w:w="7280" w:type="dxa"/>
          </w:tcPr>
          <w:p w14:paraId="77EF5282" w14:textId="4460E350"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 xml:space="preserve">4.6 </w:t>
            </w:r>
            <w:r w:rsidRPr="00B32A72">
              <w:rPr>
                <w:b/>
                <w:sz w:val="24"/>
              </w:rPr>
              <w:t>Фертильность, беременность и лактация</w:t>
            </w:r>
          </w:p>
          <w:p>
            <w:r>
              <w:t>Беременность</w:t>
              <w:br/>
              <w:t xml:space="preserve"> Отсутствуют данные о применении римантадина во время беременности. </w:t>
            </w:r>
            <w:r>
              <w:t>Пр</w:t>
            </w:r>
            <w:r>
              <w:rPr>
                <w:color w:val="008000"/>
              </w:rPr>
              <w:t>именение пр</w:t>
            </w:r>
            <w:r>
              <w:t>отивопоказано при</w:t>
            </w:r>
            <w:r>
              <w:t xml:space="preserve"> беременности.</w:t>
              <w:br/>
              <w:t xml:space="preserve"> Лактация</w:t>
              <w:br/>
              <w:t xml:space="preserve"> Отсутствуют данные о применении римантадина в период грудного вскармливания. В исследованиях на животных установлено, что римантадин </w:t>
            </w:r>
            <w:r>
              <w:rPr>
                <w:color w:val="008000"/>
              </w:rPr>
              <w:t>проходит чере</w:t>
            </w:r>
            <w:r>
              <w:t>з</w:t>
            </w:r>
            <w:r>
              <w:rPr>
                <w:color w:val="008000"/>
              </w:rPr>
              <w:t xml:space="preserve"> плацентарный барьер и выделяется в молоко самки. Применение противопоказано</w:t>
            </w:r>
            <w:r>
              <w:t xml:space="preserve"> в период грудного вскармливания.</w:t>
              <w:br/>
              <w:t xml:space="preserve"> Фертильность</w:t>
              <w:br/>
              <w:t xml:space="preserve"> Исследования на фертильность у животных не выявили угнетения плодовитости.</w:t>
            </w:r>
          </w:p>
        </w:tc>
        <w:tc>
          <w:tcPr>
            <w:tcW w:w="7280" w:type="dxa"/>
          </w:tcPr>
          <w:p w14:paraId="333D39F7" w14:textId="095C7A21"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07116C">
              <w:rPr>
                <w:b/>
                <w:sz w:val="24"/>
              </w:rPr>
              <w:t xml:space="preserve">4.6 </w:t>
            </w:r>
            <w:r w:rsidRPr="00B32A72">
              <w:rPr>
                <w:b/>
                <w:sz w:val="24"/>
              </w:rPr>
              <w:t>Фертильность, беременность и лактация</w:t>
            </w:r>
          </w:p>
          <w:p>
            <w:r>
              <w:t>Беременность</w:t>
              <w:br/>
              <w:t xml:space="preserve"> Отсутствуют данные о применении римантадина во время беременности. </w:t>
            </w:r>
            <w:r>
              <w:rPr>
                <w:color w:val="FF0000"/>
              </w:rPr>
              <w:t xml:space="preserve">В исследованиях на животных установлено, что римантадин проходит через плацентарный барьер. </w:t>
            </w:r>
            <w:r>
              <w:t>Пр</w:t>
            </w:r>
            <w:r>
              <w:t>отивопоказано при</w:t>
            </w:r>
            <w:r>
              <w:rPr>
                <w:color w:val="FF0000"/>
              </w:rPr>
              <w:t>менение при</w:t>
            </w:r>
            <w:r>
              <w:t xml:space="preserve"> беременности.</w:t>
              <w:br/>
              <w:t xml:space="preserve"> Лактация</w:t>
              <w:br/>
              <w:t xml:space="preserve"> Отсутствуют данные о применении римантадина в период грудного вскармливания. В исследованиях на животных установлено, что римантадин </w:t>
            </w:r>
            <w:r>
              <w:rPr>
                <w:color w:val="FF0000"/>
              </w:rPr>
              <w:t>выделяется в молоко самки.</w:t>
              <w:br/>
              <w:t xml:space="preserve"> Противопока</w:t>
            </w:r>
            <w:r>
              <w:t>з</w:t>
            </w:r>
            <w:r>
              <w:rPr>
                <w:color w:val="FF0000"/>
              </w:rPr>
              <w:t>ано применение</w:t>
            </w:r>
            <w:r>
              <w:t xml:space="preserve"> в период грудного вскармливания.</w:t>
              <w:br/>
              <w:t xml:space="preserve"> Фертильность</w:t>
              <w:br/>
              <w:t xml:space="preserve"> Исследования на фертильность у животных не выявили угнетения плодовитости.</w:t>
            </w:r>
          </w:p>
        </w:tc>
      </w:tr>
      <w:tr w:rsidR="0007116C" w14:paraId="30C3DE2C" w14:textId="77777777" w:rsidTr="00E94612">
        <w:tc>
          <w:tcPr>
            <w:tcW w:w="7280" w:type="dxa"/>
          </w:tcPr>
          <w:p w14:paraId="61812873" w14:textId="09FC930D"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3720D7">
              <w:rPr>
                <w:b/>
                <w:sz w:val="24"/>
              </w:rPr>
              <w:t xml:space="preserve">4.7 </w:t>
            </w:r>
            <w:r w:rsidRPr="00B32A72">
              <w:rPr>
                <w:b/>
                <w:sz w:val="24"/>
              </w:rPr>
              <w:t>Влияние на способность управлять транспортными средствами и работать с механизмами</w:t>
            </w:r>
          </w:p>
          <w:p>
            <w:r>
              <w:t xml:space="preserve">Римантадин не влияет на способность управлять транспортными средствами, но лицам, у которых возникают головокружение, головная боль или другие </w:t>
            </w:r>
            <w:r>
              <w:rPr>
                <w:color w:val="008000"/>
              </w:rPr>
              <w:t>не</w:t>
            </w:r>
            <w:r>
              <w:t>ж</w:t>
            </w:r>
            <w:r>
              <w:rPr>
                <w:color w:val="008000"/>
              </w:rPr>
              <w:t>елательные реакции со</w:t>
              <w:br/>
              <w:br/>
              <w:t>стороны центральной нервной системы, следует соблюдать осторож</w:t>
            </w:r>
            <w:r>
              <w:t>ность.</w:t>
            </w:r>
          </w:p>
        </w:tc>
        <w:tc>
          <w:tcPr>
            <w:tcW w:w="7280" w:type="dxa"/>
          </w:tcPr>
          <w:p w14:paraId="32F9B5E5" w14:textId="3BC60B79"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3720D7">
              <w:rPr>
                <w:b/>
                <w:sz w:val="24"/>
              </w:rPr>
              <w:t xml:space="preserve">4.7 </w:t>
            </w:r>
            <w:r w:rsidRPr="00B32A72">
              <w:rPr>
                <w:b/>
                <w:sz w:val="24"/>
              </w:rPr>
              <w:t>Влияние на способность управлять транспортными средствами и работать с механизмами</w:t>
            </w:r>
          </w:p>
          <w:p>
            <w:r>
              <w:t xml:space="preserve">Римантадин не влияет на способность управлять транспортными средствами, но лицам, у которых возникают головокружение, головная боль или другие </w:t>
            </w:r>
            <w:r>
              <w:rPr>
                <w:color w:val="FF0000"/>
              </w:rPr>
              <w:t>побочные эффекты со стороны центральной нервной системы, следует соблюдать осторо</w:t>
            </w:r>
            <w:r>
              <w:t>ж</w:t>
            </w:r>
            <w:r>
              <w:t>ность.</w:t>
            </w:r>
          </w:p>
        </w:tc>
      </w:tr>
      <w:tr w:rsidR="0007116C" w14:paraId="079CFEB9" w14:textId="77777777" w:rsidTr="00E94612">
        <w:tc>
          <w:tcPr>
            <w:tcW w:w="7280" w:type="dxa"/>
          </w:tcPr>
          <w:p w14:paraId="62D9223E" w14:textId="3941F396"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 xml:space="preserve">4.8 </w:t>
            </w:r>
            <w:r w:rsidRPr="00B32A72">
              <w:rPr>
                <w:b/>
                <w:sz w:val="24"/>
              </w:rPr>
              <w:t>Нежелательные реакции</w:t>
            </w:r>
          </w:p>
          <w:p>
            <w:r>
              <w:t xml:space="preserve">Резюме </w:t>
            </w:r>
            <w:r>
              <w:rPr>
                <w:color w:val="008000"/>
              </w:rPr>
              <w:t>про</w:t>
            </w:r>
            <w:r>
              <w:t>фи</w:t>
            </w:r>
            <w:r>
              <w:rPr>
                <w:color w:val="008000"/>
              </w:rPr>
              <w:t xml:space="preserve">ля </w:t>
            </w:r>
            <w:r>
              <w:t>б</w:t>
            </w:r>
            <w:r>
              <w:rPr>
                <w:color w:val="008000"/>
              </w:rPr>
              <w:t>езопасности</w:t>
              <w:br/>
              <w:t xml:space="preserve"> В клиническом исследовании с участием 1027 пациентов, которые получали суточную дозу римантадина 200 мг, наиболее частыми были жалобы на нарушения со стороны желудочнокишечного тракта и нервной системы.</w:t>
              <w:br/>
              <w:t xml:space="preserve"> Табличное резюме нежелательных реакций</w:t>
              <w:br/>
              <w:t xml:space="preserve"> Классификация нежелатель</w:t>
            </w:r>
            <w:r>
              <w:t>ных реакций по частоте развития: очень часто (≥</w:t>
            </w:r>
            <w:r>
              <w:rPr>
                <w:color w:val="008000"/>
              </w:rPr>
              <w:t xml:space="preserve"> </w:t>
            </w:r>
            <w:r>
              <w:t>1/10), часто (≥</w:t>
            </w:r>
            <w:r>
              <w:rPr>
                <w:color w:val="008000"/>
              </w:rPr>
              <w:t xml:space="preserve"> </w:t>
            </w:r>
            <w:r>
              <w:t>1</w:t>
            </w:r>
            <w:r>
              <w:t>/100</w:t>
            </w:r>
            <w:r>
              <w:t xml:space="preserve"> но &lt;</w:t>
            </w:r>
            <w:r>
              <w:rPr>
                <w:color w:val="008000"/>
              </w:rPr>
              <w:t xml:space="preserve"> </w:t>
            </w:r>
            <w:r>
              <w:t>1/10), нечасто (≥</w:t>
            </w:r>
            <w:r>
              <w:rPr>
                <w:color w:val="008000"/>
              </w:rPr>
              <w:t xml:space="preserve"> </w:t>
            </w:r>
            <w:r>
              <w:t>1/</w:t>
            </w:r>
            <w:r>
              <w:t>1</w:t>
            </w:r>
            <w:r>
              <w:rPr>
                <w:color w:val="008000"/>
              </w:rPr>
              <w:t xml:space="preserve"> </w:t>
            </w:r>
            <w:r>
              <w:t>000</w:t>
            </w:r>
            <w:r>
              <w:t xml:space="preserve"> но &lt;</w:t>
            </w:r>
            <w:r>
              <w:rPr>
                <w:color w:val="008000"/>
              </w:rPr>
              <w:t xml:space="preserve"> </w:t>
            </w:r>
            <w:r>
              <w:t>1/100), редко (≥</w:t>
            </w:r>
            <w:r>
              <w:rPr>
                <w:color w:val="008000"/>
              </w:rPr>
              <w:t xml:space="preserve"> </w:t>
            </w:r>
            <w:r>
              <w:t>1/10 000</w:t>
            </w:r>
            <w:r>
              <w:rPr>
                <w:color w:val="008000"/>
              </w:rPr>
              <w:t xml:space="preserve"> но &lt;</w:t>
            </w:r>
            <w:r>
              <w:t xml:space="preserve"> 1</w:t>
            </w:r>
            <w:r>
              <w:rPr>
                <w:color w:val="008000"/>
              </w:rPr>
              <w:t xml:space="preserve">/1 </w:t>
            </w:r>
            <w:r>
              <w:t>00</w:t>
            </w:r>
            <w:r>
              <w:rPr>
                <w:color w:val="008000"/>
              </w:rPr>
              <w:t>0), очень редко (&lt; 1/10 000), частота неизвестна (на основании имеющ</w:t>
            </w:r>
            <w:r>
              <w:t>их</w:t>
            </w:r>
            <w:r>
              <w:rPr>
                <w:color w:val="008000"/>
              </w:rPr>
              <w:t>ся данных оценить невозможно).</w:t>
              <w:br/>
              <w:t xml:space="preserve"> Таблица 1. Нежелательные реакции, зарегистрированные при применении римантадина</w:t>
              <w:br/>
              <w:br/>
              <w:t>| Часто | Нечасто | Частота неизвестна |</w:t>
              <w:br/>
              <w:t>|-----------------------------------------------|------------------------------------------------------------------------------------------------------------------------------------------------------------------------------------|-----------------------------------------------|</w:t>
              <w:br/>
              <w:t>| Психические нарушения | Психические нарушения | Психические нарушения |</w:t>
              <w:br/>
              <w:t>| | депрессия</w:t>
            </w:r>
            <w:r>
              <w:t xml:space="preserve"> эйфория</w:t>
            </w:r>
            <w:r>
              <w:t xml:space="preserve"> галлюцинации</w:t>
            </w:r>
            <w:r>
              <w:rPr>
                <w:color w:val="008000"/>
              </w:rPr>
              <w:t xml:space="preserve"> | |</w:t>
              <w:br/>
              <w:t>|</w:t>
            </w:r>
            <w:r>
              <w:t xml:space="preserve"> Нарушения со стороны нервной системы</w:t>
            </w:r>
            <w:r>
              <w:rPr>
                <w:color w:val="008000"/>
              </w:rPr>
              <w:t xml:space="preserve"> |</w:t>
            </w:r>
            <w:r>
              <w:t xml:space="preserve"> Нарушения со стороны </w:t>
            </w:r>
            <w:r>
              <w:rPr>
                <w:color w:val="008000"/>
              </w:rPr>
              <w:t>нерв</w:t>
            </w:r>
            <w:r>
              <w:t>ной системы</w:t>
            </w:r>
            <w:r>
              <w:rPr>
                <w:color w:val="008000"/>
              </w:rPr>
              <w:t xml:space="preserve"> |</w:t>
            </w:r>
            <w:r>
              <w:t xml:space="preserve"> Нарушения со стороны </w:t>
            </w:r>
            <w:r>
              <w:rPr>
                <w:color w:val="008000"/>
              </w:rPr>
              <w:t>нерв</w:t>
            </w:r>
            <w:r>
              <w:t xml:space="preserve">ной </w:t>
            </w:r>
            <w:r>
              <w:rPr>
                <w:color w:val="008000"/>
              </w:rPr>
              <w:t>системы |</w:t>
              <w:br/>
              <w:t>| бессонница | головокружение головные боли повышенная возбудимость нарушение внимания атаксия сонливость гиперкинез тремор состояние спутанности сознания судороги изменение или потеря обоняния | |</w:t>
              <w:br/>
              <w:t>| Нарушения со стороны органа слуха и лабиринта | Нарушения со стороны органа слуха и лабиринта | Нарушения со стороны органа слуха и лабиринта |</w:t>
              <w:br/>
              <w:t>| | шум в ушах | |</w:t>
              <w:br/>
              <w:t>| Нарушения со стороны сердца | Нарушения со стороны сердца | Нарушения со стороны сердца |</w:t>
              <w:br/>
              <w:t>| | сердцебиение сердечная недостаточность блокада сердца тахикардия | |</w:t>
              <w:br/>
              <w:t>| Нарушения со стороны сосудов | Нарушения со стороны сосудов | Нарушения со стороны сосудов |</w:t>
              <w:br/>
              <w:t>| | гипертензия | |</w:t>
              <w:br/>
              <w:br/>
              <w:t>| | цереброваскулярные нарушения обморок | |</w:t>
              <w:br/>
              <w:t>|</w:t>
            </w:r>
            <w:r>
              <w:t>-</w:t>
            </w:r>
            <w:r>
              <w:rPr>
                <w:color w:val="008000"/>
              </w:rPr>
              <w:t>-------------------------------------------------------------------------------|--------------------------------------------------------------------------------|--------------------------------------------------------------------------------|</w:t>
              <w:br/>
              <w:t>| Нарушения со стороны дыхательной системы, органов грудной клетки и средостения | Нарушения со стороны дыхательной системы, органов грудной клетки и средостения | Нарушения со стороны дыхательной системы, органов грудной клетки и средостения |</w:t>
              <w:br/>
              <w:t>| | одышка бронхоспазм кашель | |</w:t>
              <w:br/>
              <w:t>| Желудочно-кишечные нарушения | Желудочно-кишечные нарушения | Желудочно-кишечные нарушения |</w:t>
              <w:br/>
              <w:t>| тошнота рвота | анорексия сухость во рту боль в животе диарея диспепсия | |</w:t>
              <w:br/>
              <w:t>| Нарушения со стороны кожи и подкожных тканей | Нарушения со стороны кожи и подкожных тканей | Нарушения со стороны кожи и подкожных тканей |</w:t>
              <w:br/>
              <w:t>| | сыпь | зуд папулезная сыпь генерализированная сыпь крапивница |</w:t>
              <w:br/>
              <w:t>|</w:t>
            </w:r>
            <w:r>
              <w:t xml:space="preserve"> Общие нарушения и реакции в месте введения</w:t>
            </w:r>
            <w:r>
              <w:rPr>
                <w:color w:val="008000"/>
              </w:rPr>
              <w:t xml:space="preserve"> | О</w:t>
            </w:r>
            <w:r>
              <w:t>б</w:t>
            </w:r>
            <w:r>
              <w:rPr>
                <w:color w:val="008000"/>
              </w:rPr>
              <w:t>щие нару</w:t>
            </w:r>
            <w:r>
              <w:t>ше</w:t>
            </w:r>
            <w:r>
              <w:rPr>
                <w:color w:val="008000"/>
              </w:rPr>
              <w:t>ния и реакции в месте введения | Общие нару</w:t>
            </w:r>
            <w:r>
              <w:t xml:space="preserve">шения </w:t>
            </w:r>
            <w:r>
              <w:rPr>
                <w:color w:val="008000"/>
              </w:rPr>
              <w:t>и реакции в месте введения |</w:t>
              <w:br/>
              <w:t>| | астения усталость | |</w:t>
              <w:br/>
              <w:t xml:space="preserve"> Описание отдель</w:t>
            </w:r>
            <w:r>
              <w:t xml:space="preserve">ных </w:t>
            </w:r>
            <w:r>
              <w:rPr>
                <w:color w:val="008000"/>
              </w:rPr>
              <w:t>нежелат</w:t>
            </w:r>
            <w:r>
              <w:t xml:space="preserve">ельных </w:t>
            </w:r>
            <w:r>
              <w:rPr>
                <w:color w:val="008000"/>
              </w:rPr>
              <w:t>реакций</w:t>
              <w:br/>
              <w:t xml:space="preserve"> Частота нежелательны</w:t>
            </w:r>
            <w:r>
              <w:t>х</w:t>
            </w:r>
            <w:r>
              <w:rPr>
                <w:color w:val="008000"/>
              </w:rPr>
              <w:t xml:space="preserve"> реакций, особенно со стороны желудочно-кишечного тракта и нервной системы, увеличивается после превышения рекомендованных доз.</w:t>
              <w:br/>
              <w:br/>
              <w:t>• В отдельных случаях</w:t>
            </w:r>
            <w:r>
              <w:t xml:space="preserve"> после превышения рекомендованных доз наблюдается слезоточивость глаз, повышение мочеиспускания, озноб, запор, потоотделение, стоматит, гипестезия, боль в глазах.</w:t>
              <w:br/>
            </w:r>
            <w:r>
              <w:rPr>
                <w:color w:val="008000"/>
              </w:rPr>
              <w:t>•</w:t>
            </w:r>
            <w:r>
              <w:t xml:space="preserve"> В большинстве случаев нежелательные реакции исчезают после окончания приема препарата.</w:t>
            </w:r>
            <w:r>
              <w:rPr>
                <w:color w:val="008000"/>
              </w:rPr>
              <w:br/>
              <w:t xml:space="preserve"> Пациенты пожилого возраста</w:t>
            </w:r>
            <w:r>
              <w:br/>
              <w:t xml:space="preserve"> Имеется разная информация о нежелательных реакциях у пациентов старческого возраста. В клиническом исследовании во время эпидемии гриппа в 1997-1998 г. с участием 156 пациентов старческого возраста нежелательные реакции наблюдали только у 1,9 % пациентов, в основном</w:t>
            </w:r>
            <w:r>
              <w:rPr>
                <w:color w:val="008000"/>
              </w:rPr>
              <w:t>-</w:t>
            </w:r>
            <w:r>
              <w:t>нарушения сознания.</w:t>
              <w:br/>
              <w:t xml:space="preserve"> В другом контролированном исследовании с участием 83 пациентов старческого возраста, требующих ухода на дому, в группе получавших плацебо, нежелательные реакции со стороны центральной нервной системы были отмечены у 8,3 % пациентов, а в группе</w:t>
            </w:r>
            <w:r>
              <w:rPr>
                <w:color w:val="008000"/>
              </w:rPr>
              <w:br/>
              <w:br/>
            </w:r>
            <w:r>
              <w:t>применявших римантадин</w:t>
            </w:r>
            <w:r>
              <w:rPr>
                <w:color w:val="008000"/>
              </w:rPr>
              <w:t>-</w:t>
            </w:r>
            <w:r>
              <w:t>у 10,6 %. Профиль этих явлений</w:t>
            </w:r>
            <w:r>
              <w:rPr>
                <w:color w:val="008000"/>
              </w:rPr>
              <w:t>-</w:t>
            </w:r>
            <w:r>
              <w:t>бессонница, повышенная возбудимость, нарушения концентрации внимания, головокружение.</w:t>
              <w:br/>
              <w:t xml:space="preserve"> Сообщение о подозреваемых нежелательных реакциях</w:t>
              <w:br/>
              <w:t xml:space="preserve"> Важно сообщать о подозреваемых нежелательных реакциях после регистрации </w:t>
            </w:r>
            <w:r>
              <w:t>препарата с целью обеспечения непрерывного мониторинга соотношения «польза-риск» лекарственного препарата. Медицинским работникам рекомендуется сообщать о любых подозреваемых нежелательных реакциях лекарственного препарата через национальные системы сообщения о нежелательных реакциях государств-членов Евразийского экономического союза</w:t>
            </w:r>
            <w:r>
              <w:rPr>
                <w:color w:val="008000"/>
              </w:rPr>
              <w:t>:</w:t>
            </w:r>
            <w:r>
              <w:br/>
              <w:t xml:space="preserve"> Российская Федерац</w:t>
            </w:r>
            <w:r>
              <w:rPr>
                <w:color w:val="008000"/>
              </w:rPr>
              <w:t>ия</w:t>
              <w:br/>
              <w:t xml:space="preserve"> Федеральная служба по надзору в сфере здравоохранен</w:t>
            </w:r>
            <w:r>
              <w:t>ия</w:t>
              <w:br/>
              <w:t xml:space="preserve"> Адрес: 109012</w:t>
            </w:r>
            <w:r>
              <w:t xml:space="preserve"> г. Москва, Славянская площадь, д. 4, стр. 1</w:t>
            </w:r>
            <w:r>
              <w:br/>
              <w:t xml:space="preserve"> Телефон: +7 </w:t>
            </w:r>
            <w:r>
              <w:rPr>
                <w:color w:val="008000"/>
              </w:rPr>
              <w:t>(</w:t>
            </w:r>
            <w:r>
              <w:t>800</w:t>
            </w:r>
            <w:r>
              <w:rPr>
                <w:color w:val="008000"/>
              </w:rPr>
              <w:t>)</w:t>
            </w:r>
            <w:r>
              <w:t xml:space="preserve"> 550 99 03</w:t>
              <w:br/>
              <w:t xml:space="preserve"> Электронная почта: pharm@roszdravnadzor.gov.ru</w:t>
              <w:br/>
              <w:t xml:space="preserve"> Сайт в информационно-телекоммуникационной сети «Интернет»:</w:t>
              <w:br/>
              <w:t xml:space="preserve"> https://www.roszdravnadzor.gov.ru</w:t>
            </w:r>
          </w:p>
        </w:tc>
        <w:tc>
          <w:tcPr>
            <w:tcW w:w="7280" w:type="dxa"/>
          </w:tcPr>
          <w:p w14:paraId="3F0395F7" w14:textId="37B2EDC0"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07116C">
              <w:rPr>
                <w:b/>
                <w:sz w:val="24"/>
              </w:rPr>
              <w:t xml:space="preserve">4.8 </w:t>
            </w:r>
            <w:r w:rsidRPr="00B32A72">
              <w:rPr>
                <w:b/>
                <w:sz w:val="24"/>
              </w:rPr>
              <w:t>Нежелательные реакции</w:t>
            </w:r>
          </w:p>
          <w:p>
            <w:r>
              <w:t xml:space="preserve">Резюме </w:t>
            </w:r>
            <w:r>
              <w:rPr>
                <w:color w:val="FF0000"/>
              </w:rPr>
              <w:t>нежелательных реакций</w:t>
              <w:br/>
              <w:t xml:space="preserve"> Класси</w:t>
            </w:r>
            <w:r>
              <w:t>фи</w:t>
            </w:r>
            <w:r>
              <w:rPr>
                <w:color w:val="FF0000"/>
              </w:rPr>
              <w:t>кация по</w:t>
            </w:r>
            <w:r>
              <w:t>б</w:t>
            </w:r>
            <w:r>
              <w:rPr>
                <w:color w:val="FF0000"/>
              </w:rPr>
              <w:t>оч</w:t>
            </w:r>
            <w:r>
              <w:t>ных реакций по частоте развития: очень часто (≥</w:t>
            </w:r>
            <w:r>
              <w:t>1/10), часто (≥</w:t>
            </w:r>
            <w:r>
              <w:t>1</w:t>
            </w:r>
            <w:r>
              <w:rPr>
                <w:color w:val="FF0000"/>
              </w:rPr>
              <w:t xml:space="preserve"> </w:t>
            </w:r>
            <w:r>
              <w:t>/100</w:t>
            </w:r>
            <w:r>
              <w:rPr>
                <w:color w:val="FF0000"/>
              </w:rPr>
              <w:t>,</w:t>
            </w:r>
            <w:r>
              <w:t xml:space="preserve"> но &lt;</w:t>
            </w:r>
            <w:r>
              <w:t>1/10), нечасто (≥</w:t>
            </w:r>
            <w:r>
              <w:t>1/</w:t>
            </w:r>
            <w:r>
              <w:rPr>
                <w:color w:val="FF0000"/>
              </w:rPr>
              <w:t xml:space="preserve"> </w:t>
            </w:r>
            <w:r>
              <w:t>1</w:t>
            </w:r>
            <w:r>
              <w:t>000</w:t>
            </w:r>
            <w:r>
              <w:rPr>
                <w:color w:val="FF0000"/>
              </w:rPr>
              <w:t>,</w:t>
            </w:r>
            <w:r>
              <w:t xml:space="preserve"> но &lt;</w:t>
            </w:r>
            <w:r>
              <w:t>1/100), редко (≥</w:t>
            </w:r>
            <w:r>
              <w:rPr>
                <w:color w:val="FF0000"/>
              </w:rPr>
              <w:t>1 /10 000, но &lt;l/1000), очень редко (&lt;</w:t>
            </w:r>
            <w:r>
              <w:t>1/10 000</w:t>
            </w:r>
            <w:r>
              <w:rPr>
                <w:color w:val="FF0000"/>
              </w:rPr>
              <w:t>), неизвестно (нельзя определить по имеющимся данным).</w:t>
              <w:br/>
              <w:t xml:space="preserve"> В клиническом исследовании с участием</w:t>
            </w:r>
            <w:r>
              <w:t xml:space="preserve"> 1</w:t>
            </w:r>
            <w:r>
              <w:rPr>
                <w:color w:val="FF0000"/>
              </w:rPr>
              <w:t>027 пациентов, которые получали суточную дозу римантадина 2</w:t>
            </w:r>
            <w:r>
              <w:t>00</w:t>
            </w:r>
            <w:r>
              <w:rPr>
                <w:color w:val="FF0000"/>
              </w:rPr>
              <w:t xml:space="preserve"> мг, наиболее частыми были жалобы на нарушения со стороны желудочно-кишечного тракта и нервной системы.</w:t>
              <w:br/>
              <w:t xml:space="preserve"> Пс</w:t>
            </w:r>
            <w:r>
              <w:t>их</w:t>
            </w:r>
            <w:r>
              <w:rPr>
                <w:color w:val="FF0000"/>
              </w:rPr>
              <w:t>ические расстройства:</w:t>
              <w:br/>
              <w:br/>
              <w:t>нечасто депрессия,</w:t>
            </w:r>
            <w:r>
              <w:t xml:space="preserve"> эйфория</w:t>
            </w:r>
            <w:r>
              <w:rPr>
                <w:color w:val="FF0000"/>
              </w:rPr>
              <w:t>,</w:t>
            </w:r>
            <w:r>
              <w:t xml:space="preserve"> галлюцинации</w:t>
            </w:r>
            <w:r>
              <w:rPr>
                <w:color w:val="FF0000"/>
              </w:rPr>
              <w:t>.</w:t>
              <w:br/>
            </w:r>
            <w:r>
              <w:t xml:space="preserve"> Нарушения со стороны нервной системы</w:t>
            </w:r>
            <w:r>
              <w:rPr>
                <w:color w:val="FF0000"/>
              </w:rPr>
              <w:t>:</w:t>
              <w:br/>
              <w:br/>
              <w:t>часто бессонница;</w:t>
              <w:br/>
              <w:br/>
              <w:t>нечасто-головокружение, головные боли, повышенная возбудимость, нарушение внимания, атаксия, сонливость, гиперкинез, тремор, состояние спутанности сознания, судороги, изменение или потеря обоняния.</w:t>
              <w:br/>
            </w:r>
            <w:r>
              <w:t xml:space="preserve"> Нарушения со стороны </w:t>
            </w:r>
            <w:r>
              <w:rPr>
                <w:color w:val="FF0000"/>
              </w:rPr>
              <w:t>органа слуха и лабиринта:</w:t>
              <w:br/>
              <w:br/>
              <w:t>нечасто шум в ушах.</w:t>
              <w:br/>
              <w:t xml:space="preserve"> Нарушения со стороны сердца:</w:t>
              <w:br/>
              <w:br/>
              <w:t>нечасто сердцебиение, сердечная недостаточность, блокада сердца, тахикардия. Нарушения со стороны сосудов:</w:t>
              <w:br/>
              <w:br/>
              <w:t>нечасто гипертензия, цереброваскулярные нарушения, обморок.</w:t>
              <w:br/>
              <w:t xml:space="preserve"> Нарушения со стороны дыхатель</w:t>
            </w:r>
            <w:r>
              <w:t>ной системы</w:t>
            </w:r>
            <w:r>
              <w:rPr>
                <w:color w:val="FF0000"/>
              </w:rPr>
              <w:t>, органов грудной клетки и средостения:</w:t>
              <w:br/>
              <w:br/>
              <w:t>нечасто одышка, бронхоспазмы, кашель.</w:t>
              <w:br/>
            </w:r>
            <w:r>
              <w:t xml:space="preserve"> Нарушения со стороны </w:t>
            </w:r>
            <w:r>
              <w:rPr>
                <w:color w:val="FF0000"/>
              </w:rPr>
              <w:t>желудочно-кишечного тракта:</w:t>
              <w:br/>
              <w:br/>
              <w:t>часто тошнота, рвота;</w:t>
              <w:br/>
              <w:br/>
              <w:t>нечасто анорексия, сухость во рту, боль в животе, диарея, диспепсия.</w:t>
              <w:br/>
              <w:t xml:space="preserve"> Нарушения со стороны кожи и подкож</w:t>
            </w:r>
            <w:r>
              <w:t xml:space="preserve">ной </w:t>
            </w:r>
            <w:r>
              <w:rPr>
                <w:color w:val="FF0000"/>
              </w:rPr>
              <w:t>клетчатки:</w:t>
              <w:br/>
              <w:br/>
              <w:t>нечасто сыпь;</w:t>
              <w:br/>
              <w:br/>
              <w:t>частота проявления неизвестна</w:t>
            </w:r>
            <w:r>
              <w:t>-</w:t>
            </w:r>
            <w:r>
              <w:rPr>
                <w:color w:val="FF0000"/>
              </w:rPr>
              <w:t>зуд, папулезная сыпь, генерализированная сыпь, крапивница.</w:t>
              <w:br/>
            </w:r>
            <w:r>
              <w:t xml:space="preserve"> Общие нарушения и реакции в месте введения</w:t>
            </w:r>
            <w:r>
              <w:rPr>
                <w:color w:val="FF0000"/>
              </w:rPr>
              <w:t>:</w:t>
              <w:br/>
              <w:br/>
              <w:t>нечасто астения, усталость.</w:t>
              <w:br/>
              <w:t xml:space="preserve"> Частота нежелательных реакций, осо</w:t>
            </w:r>
            <w:r>
              <w:t>б</w:t>
            </w:r>
            <w:r>
              <w:rPr>
                <w:color w:val="FF0000"/>
              </w:rPr>
              <w:t>енно со стороны желудочно-ки</w:t>
            </w:r>
            <w:r>
              <w:t>ше</w:t>
            </w:r>
            <w:r>
              <w:rPr>
                <w:color w:val="FF0000"/>
              </w:rPr>
              <w:t>чного тракта и нервной системы, увеличивается после превы</w:t>
            </w:r>
            <w:r>
              <w:t xml:space="preserve">шения </w:t>
            </w:r>
            <w:r>
              <w:rPr>
                <w:color w:val="FF0000"/>
              </w:rPr>
              <w:t>рекомендован</w:t>
            </w:r>
            <w:r>
              <w:t xml:space="preserve">ных </w:t>
            </w:r>
            <w:r>
              <w:rPr>
                <w:color w:val="FF0000"/>
              </w:rPr>
              <w:t>доз.</w:t>
              <w:br/>
              <w:t xml:space="preserve"> В отд</w:t>
            </w:r>
            <w:r>
              <w:t xml:space="preserve">ельных </w:t>
            </w:r>
            <w:r>
              <w:rPr>
                <w:color w:val="FF0000"/>
              </w:rPr>
              <w:t>случая</w:t>
            </w:r>
            <w:r>
              <w:t>х</w:t>
            </w:r>
            <w:r>
              <w:rPr>
                <w:color w:val="FF0000"/>
              </w:rPr>
              <w:t>,</w:t>
            </w:r>
            <w:r>
              <w:t xml:space="preserve"> после превышения рекомендованных доз наблюдается слезоточивость глаз, повышение мочеиспускания, озноб, запор, потоотделение, стоматит, гипестезия, боль в глазах.</w:t>
              <w:br/>
            </w:r>
            <w:r>
              <w:t xml:space="preserve"> В большинстве случаев нежелательные реакции исчезают после окончания приема препарата.</w:t>
            </w:r>
            <w:r>
              <w:br/>
              <w:t xml:space="preserve"> Имеется разная информация о нежелательных реакциях у пациентов старческого возраста. В клиническом исследовании во время эпидемии гриппа в 1997-1998 г. с участием 156 пациентов старческого возраста нежелательные реакции наблюдали только у 1,9 % пациентов, в основном</w:t>
            </w:r>
            <w:r>
              <w:rPr>
                <w:color w:val="FF0000"/>
              </w:rPr>
              <w:t xml:space="preserve"> </w:t>
            </w:r>
            <w:r>
              <w:t>нарушения сознания.</w:t>
              <w:br/>
              <w:t xml:space="preserve"> В другом контролированном исследовании с участием 83 пациентов старческого возраста, требующих ухода на дому, в группе получавших плацебо, нежелательные реакции со стороны центральной нервной системы были отмечены у 8,3 % пациентов, а в группе</w:t>
            </w:r>
            <w:r>
              <w:rPr>
                <w:color w:val="FF0000"/>
              </w:rPr>
              <w:t xml:space="preserve"> </w:t>
            </w:r>
            <w:r>
              <w:t>применявших римантадин</w:t>
            </w:r>
            <w:r>
              <w:rPr>
                <w:color w:val="FF0000"/>
              </w:rPr>
              <w:t xml:space="preserve"> </w:t>
            </w:r>
            <w:r>
              <w:t>у 10,6 %. Профиль этих явлений</w:t>
            </w:r>
            <w:r>
              <w:rPr>
                <w:color w:val="FF0000"/>
              </w:rPr>
              <w:t xml:space="preserve"> </w:t>
            </w:r>
            <w:r>
              <w:t>бессонница, повышенная возбудимость, нарушения концентрации внимания, головокружение.</w:t>
              <w:br/>
              <w:t xml:space="preserve"> Сообщение о подозреваемых нежелательных реакциях</w:t>
              <w:br/>
              <w:t xml:space="preserve"> Важно сообщать о подозреваемых нежелательных реакциях после регистрации </w:t>
            </w:r>
            <w:r>
              <w:rPr>
                <w:color w:val="FF0000"/>
              </w:rPr>
              <w:t xml:space="preserve">лекарственного </w:t>
            </w:r>
            <w:r>
              <w:t>препарата с целью обеспечения непрерывного мониторинга соотношения «польза-риск» лекарственного препарата. Медицинским работникам рекомендуется сообщать о любых подозреваемых нежелательных реакциях лекарственного препарата через национальные системы сообщения о нежелательных реакциях государств-членов Евразийского экономического союза</w:t>
            </w:r>
            <w:r>
              <w:rPr>
                <w:color w:val="FF0000"/>
              </w:rPr>
              <w:t>.</w:t>
            </w:r>
            <w:r>
              <w:br/>
              <w:t xml:space="preserve"> Российская Федерац</w:t>
            </w:r>
            <w:r>
              <w:t>ия</w:t>
              <w:br/>
              <w:t xml:space="preserve"> Адрес: 109012</w:t>
            </w:r>
            <w:r>
              <w:rPr>
                <w:color w:val="FF0000"/>
              </w:rPr>
              <w:t>,</w:t>
            </w:r>
            <w:r>
              <w:t xml:space="preserve"> г. Москва, Славянская площадь, д. 4, стр. 1</w:t>
            </w:r>
            <w:r>
              <w:rPr>
                <w:color w:val="FF0000"/>
              </w:rPr>
              <w:br/>
              <w:t xml:space="preserve"> Федеральная служба по надзору в сфере здравоохранения</w:t>
            </w:r>
            <w:r>
              <w:br/>
              <w:t xml:space="preserve"> Телефон: +7 </w:t>
            </w:r>
            <w:r>
              <w:t>800</w:t>
            </w:r>
            <w:r>
              <w:t xml:space="preserve"> 550 99 03</w:t>
              <w:br/>
              <w:t xml:space="preserve"> Электронная почта: pharm@roszdravnadzor.gov.ru</w:t>
              <w:br/>
              <w:t xml:space="preserve"> Сайт в информационно-телекоммуникационной сети «Интернет»:</w:t>
              <w:br/>
              <w:t xml:space="preserve"> https://www.roszdravnadzor.gov.ru</w:t>
            </w:r>
          </w:p>
        </w:tc>
      </w:tr>
      <w:tr w:rsidR="0007116C" w14:paraId="5EAF5FFB" w14:textId="77777777" w:rsidTr="00E94612">
        <w:tc>
          <w:tcPr>
            <w:tcW w:w="7280" w:type="dxa"/>
          </w:tcPr>
          <w:p w14:paraId="540EE4DB" w14:textId="16079B49"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 xml:space="preserve">4.9 </w:t>
            </w:r>
            <w:r w:rsidRPr="00B32A72">
              <w:rPr>
                <w:b/>
                <w:sz w:val="24"/>
              </w:rPr>
              <w:t>Передозировка</w:t>
            </w:r>
          </w:p>
          <w:p>
            <w:r>
              <w:t>Симптомы</w:t>
              <w:br/>
              <w:t xml:space="preserve"> Возбуждение, галлюцинации, аритмия.</w:t>
              <w:br/>
              <w:t xml:space="preserve"> Лечение</w:t>
              <w:br/>
              <w:t xml:space="preserve"> Промывание желудка, симптоматическая терапия: мероприятия для поддержания жизненно важных функций.</w:t>
            </w:r>
            <w:r>
              <w:rPr>
                <w:color w:val="008000"/>
              </w:rPr>
              <w:br/>
            </w:r>
            <w:r>
              <w:t xml:space="preserve"> Римантадин частично выводится при гемодиализе.</w:t>
            </w:r>
          </w:p>
        </w:tc>
        <w:tc>
          <w:tcPr>
            <w:tcW w:w="7280" w:type="dxa"/>
          </w:tcPr>
          <w:p w14:paraId="5A6E90A1" w14:textId="6657B045"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07116C">
              <w:rPr>
                <w:b/>
                <w:sz w:val="24"/>
              </w:rPr>
              <w:t xml:space="preserve">4.9 </w:t>
            </w:r>
            <w:r w:rsidRPr="00B32A72">
              <w:rPr>
                <w:b/>
                <w:sz w:val="24"/>
              </w:rPr>
              <w:t>Передозировка</w:t>
            </w:r>
          </w:p>
          <w:p>
            <w:r>
              <w:t>Симптомы</w:t>
              <w:br/>
              <w:t xml:space="preserve"> Возбуждение, галлюцинации, аритмия.</w:t>
              <w:br/>
              <w:t xml:space="preserve"> Лечение</w:t>
              <w:br/>
              <w:t xml:space="preserve"> Промывание желудка, симптоматическая терапия: мероприятия для поддержания жизненно важных функций.</w:t>
            </w:r>
            <w:r>
              <w:t xml:space="preserve"> Римантадин частично выводится при гемодиализе.</w:t>
            </w:r>
          </w:p>
        </w:tc>
      </w:tr>
      <w:tr w:rsidR="0007116C" w14:paraId="54C2FCBB" w14:textId="77777777" w:rsidTr="00E94612">
        <w:tc>
          <w:tcPr>
            <w:tcW w:w="7280" w:type="dxa"/>
          </w:tcPr>
          <w:p w14:paraId="0E0DD9D8" w14:textId="7F1B1E38" w:rsidR="0007116C" w:rsidRPr="00B32A72" w:rsidRDefault="0007116C" w:rsidP="0007116C">
            <w:pPr>
              <w:autoSpaceDE w:val="0"/>
              <w:autoSpaceDN w:val="0"/>
              <w:adjustRightInd w:val="0"/>
              <w:ind w:left="113"/>
              <w:rPr>
                <w:b/>
                <w:sz w:val="24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5. </w:t>
            </w:r>
            <w:r w:rsidRPr="00B32A72">
              <w:rPr>
                <w:b/>
                <w:bCs/>
                <w:sz w:val="23"/>
                <w:szCs w:val="23"/>
              </w:rPr>
              <w:t>ФАРМАКОЛОГИЧЕСКИЕ СВОЙСТВА</w:t>
            </w:r>
          </w:p>
          <w:p/>
        </w:tc>
        <w:tc>
          <w:tcPr>
            <w:tcW w:w="7280" w:type="dxa"/>
          </w:tcPr>
          <w:p w14:paraId="446AEAEA" w14:textId="4D1238E2" w:rsidR="0007116C" w:rsidRDefault="0007116C" w:rsidP="0007116C">
            <w:pPr>
              <w:autoSpaceDE w:val="0"/>
              <w:autoSpaceDN w:val="0"/>
              <w:adjustRightInd w:val="0"/>
              <w:ind w:left="113"/>
              <w:rPr>
                <w:color w:val="FF0000"/>
                <w:sz w:val="28"/>
                <w:szCs w:val="28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5. </w:t>
            </w:r>
            <w:r w:rsidRPr="00B32A72">
              <w:rPr>
                <w:b/>
                <w:bCs/>
                <w:sz w:val="23"/>
                <w:szCs w:val="23"/>
              </w:rPr>
              <w:t>ФАРМАКОЛОГИЧЕСКИЕ СВОЙСТВА</w:t>
            </w:r>
          </w:p>
          <w:p/>
        </w:tc>
      </w:tr>
      <w:tr w:rsidR="0007116C" w14:paraId="04EDFE12" w14:textId="77777777" w:rsidTr="00E94612">
        <w:tc>
          <w:tcPr>
            <w:tcW w:w="7280" w:type="dxa"/>
          </w:tcPr>
          <w:p w14:paraId="6512CED3" w14:textId="25CBFDEE" w:rsidR="0007116C" w:rsidRPr="00577D01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 xml:space="preserve">5.1 </w:t>
            </w:r>
            <w:r w:rsidRPr="00577D01">
              <w:rPr>
                <w:b/>
                <w:sz w:val="24"/>
                <w:lang w:val="en-US"/>
              </w:rPr>
              <w:t>Фармакодинамические свойства</w:t>
            </w:r>
          </w:p>
          <w:p>
            <w:r>
              <w:t>Фармакотерапевтическая группа: противовирусные средства системного действия; противовирусные средства прямого действия; циклические амины.</w:t>
              <w:br/>
              <w:t xml:space="preserve"> Код АТХ: J05AC02</w:t>
            </w:r>
            <w:r>
              <w:br/>
              <w:t xml:space="preserve"> Механизм действия</w:t>
              <w:br/>
              <w:t xml:space="preserve"> Римантадин является производным амантадина с выраженной противовирусной активностью. Он эффективен против вирусов гриппа типа А. Римантадин не обладает или обладает только незначительным действием против вирусов гриппа В. Римантадин угнетает</w:t>
            </w:r>
            <w:r>
              <w:rPr>
                <w:color w:val="008000"/>
              </w:rPr>
              <w:br/>
              <w:br/>
            </w:r>
            <w:r>
              <w:t xml:space="preserve">репликацию вируса на ранней стадии цикла, возможно, тормозит формирование вирусной оболочки. Генетические исследования показали, что в противовирусном действии римантадина против вируса гриппа А важное значение имеет специфический протеин гена М2 вириона. Римантадин in vitro угнетает репликацию всех трех изолированных от человека антигенных подтипов вируса гриппа </w:t>
            </w:r>
            <w:r>
              <w:rPr>
                <w:color w:val="008000"/>
              </w:rPr>
              <w:t>A</w:t>
            </w:r>
            <w:r>
              <w:t xml:space="preserve"> (H</w:t>
            </w:r>
            <w:r>
              <w:t xml:space="preserve">1N1, H2N2 и H3N2). Римантадин угнетает активность ионных каналов протеина мембраны М2. В результате происходит угнетение ацидификации внутренней среды вируса, которая необходима для фузии вирусной оболочки с эндосомой и для диссоциации протеина матрицы </w:t>
            </w:r>
            <w:r>
              <w:rPr>
                <w:color w:val="008000"/>
              </w:rPr>
              <w:t>M</w:t>
            </w:r>
            <w:r>
              <w:t>1 от комплекса рибонуклеопротеина. Таким образом блокируется репликация вируса на ранней стадии инфекции.</w:t>
              <w:br/>
              <w:t xml:space="preserve"> Фармакодинамические эффекты</w:t>
              <w:br/>
              <w:t xml:space="preserve"> Корреляция между чувствительностью вируса гриппа А к римантадину in vitro и клинической эффективностью лекарственного средства не установлена. Результаты тестов чувствительности (выраженные концентрацией лекарственного вещества, способной ингибировать репликацию вируса в культуре клеток на 50 % и более) варьируют от 4 нг/мл до 20 мкг/мл, в зависимости от культуры клеток, использованной в эксперименте, питательной среды, введенного штамма вируса гриппа А и объема.</w:t>
              <w:br/>
              <w:t xml:space="preserve"> Среди изолированных эпидемических штаммов вируса гриппа А существуют устойчивые к римантадину штаммы. Резистентные штаммы формируются и тогда, когда римантадин применяется в замкнутой среде. Резистентные вирусы трансмиссивны и вызывают типичное гриппозное заболевание. Резистентность к отдельным серотипам гриппа А в разные годы в разных регионах мира может отличаться, поэтому до начала терапии и профилактики следует идентифицировать чувствительность вируса в данном регионе.</w:t>
              <w:br/>
              <w:t xml:space="preserve"> Римантадин не влияет на иммуногенные свойства инактивированной вакцины гриппа А. После вакцинации, в случае эпидемии гриппа, римантадин может защитить от заболевания в течение тех 2-4 недель, которые необходимы для формирования антител.</w:t>
            </w:r>
          </w:p>
        </w:tc>
        <w:tc>
          <w:tcPr>
            <w:tcW w:w="7280" w:type="dxa"/>
          </w:tcPr>
          <w:p w14:paraId="1D955516" w14:textId="4F1D0C91"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07116C">
              <w:rPr>
                <w:b/>
                <w:sz w:val="24"/>
              </w:rPr>
              <w:t>5.1 Фармакодинамические свойства</w:t>
            </w:r>
          </w:p>
          <w:p>
            <w:r>
              <w:t>Фармакотерапевтическая группа: противовирусные средства системного действия; противовирусные средства прямого действия; циклические амины.</w:t>
              <w:br/>
              <w:t xml:space="preserve"> Код АТХ: J05AC02</w:t>
            </w:r>
            <w:r>
              <w:rPr>
                <w:color w:val="FF0000"/>
              </w:rPr>
              <w:t>.</w:t>
            </w:r>
            <w:r>
              <w:br/>
              <w:t xml:space="preserve"> Механизм действия</w:t>
              <w:br/>
              <w:t xml:space="preserve"> Римантадин является производным амантадина с выраженной противовирусной активностью. Он эффективен против вирусов гриппа типа А. Римантадин не обладает или обладает только незначительным действием против вирусов гриппа В. Римантадин угнетает</w:t>
            </w:r>
            <w:r>
              <w:rPr>
                <w:color w:val="FF0000"/>
              </w:rPr>
              <w:t xml:space="preserve"> </w:t>
            </w:r>
            <w:r>
              <w:t xml:space="preserve">репликацию вируса на ранней стадии цикла, возможно, тормозит формирование вирусной оболочки. Генетические исследования показали, что в противовирусном действии римантадина против вируса гриппа А важное значение имеет специфический протеин гена М2 вириона. Римантадин in vitro угнетает репликацию всех трех изолированных от человека антигенных подтипов вируса гриппа </w:t>
            </w:r>
            <w:r>
              <w:rPr>
                <w:color w:val="FF0000"/>
              </w:rPr>
              <w:t>А</w:t>
            </w:r>
            <w:r>
              <w:t xml:space="preserve"> (H</w:t>
            </w:r>
            <w:r>
              <w:rPr>
                <w:color w:val="FF0000"/>
              </w:rPr>
              <w:t xml:space="preserve"> </w:t>
            </w:r>
            <w:r>
              <w:t xml:space="preserve">1N1, H2N2 и H3N2). Римантадин угнетает активность ионных каналов протеина мембраны М2. В результате происходит угнетение ацидификации внутренней среды вируса, которая необходима для фузии вирусной оболочки с эндосомой и для диссоциации протеина матрицы </w:t>
            </w:r>
            <w:r>
              <w:rPr>
                <w:color w:val="FF0000"/>
              </w:rPr>
              <w:t>М</w:t>
            </w:r>
            <w:r>
              <w:t>1 от комплекса рибонуклеопротеина. Таким образом блокируется репликация вируса на ранней стадии инфекции.</w:t>
              <w:br/>
              <w:t xml:space="preserve"> Фармакодинамические эффекты</w:t>
              <w:br/>
              <w:t xml:space="preserve"> Корреляция между чувствительностью вируса гриппа А к римантадину in vitro и клинической эффективностью лекарственного средства не установлена. Результаты тестов чувствительности (выраженные концентрацией лекарственного вещества, способной ингибировать репликацию вируса в культуре клеток на 50 % и более) варьируют от 4 нг/мл до 20 мкг/мл, в зависимости от культуры клеток, использованной в эксперименте, питательной среды, введенного штамма вируса гриппа А и объема.</w:t>
              <w:br/>
              <w:t xml:space="preserve"> Среди изолированных эпидемических штаммов вируса гриппа А существуют устойчивые к римантадину штаммы. Резистентные штаммы формируются и тогда, когда римантадин применяется в замкнутой среде. Резистентные вирусы трансмиссивны и вызывают типичное гриппозное заболевание. Резистентность к отдельным серотипам гриппа А в разные годы в разных регионах мира может отличаться, поэтому до начала терапии и профилактики следует идентифицировать чувствительность вируса в данном регионе.</w:t>
              <w:br/>
              <w:t xml:space="preserve"> Римантадин не влияет на иммуногенные свойства инактивированной вакцины гриппа А. После вакцинации, в случае эпидемии гриппа, римантадин может защитить от заболевания в течение тех 2-4 недель, которые необходимы для формирования антител.</w:t>
            </w:r>
          </w:p>
        </w:tc>
      </w:tr>
      <w:tr w:rsidR="0007116C" w14:paraId="5DC6204A" w14:textId="77777777" w:rsidTr="00E94612">
        <w:tc>
          <w:tcPr>
            <w:tcW w:w="7280" w:type="dxa"/>
          </w:tcPr>
          <w:p w14:paraId="7FD81E08" w14:textId="4BDAB373" w:rsidR="0007116C" w:rsidRPr="00577D01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 xml:space="preserve">5.2 </w:t>
            </w:r>
            <w:r w:rsidRPr="00577D01">
              <w:rPr>
                <w:b/>
                <w:sz w:val="24"/>
                <w:lang w:val="en-US"/>
              </w:rPr>
              <w:t>Фармакокинетические свойства</w:t>
            </w:r>
          </w:p>
          <w:p>
            <w:r>
              <w:t>Фармакокинетика римантадина достаточно хорошо изучена. После однократного или многократного приема препарата пациентами различных возрастных групп корреляция между концентрацией римантадина в плазме крови и его антивирусной активностью не установлена.</w:t>
              <w:br/>
              <w:t xml:space="preserve"> Абсорбция</w:t>
              <w:br/>
              <w:t xml:space="preserve"> После перорального применения лекарственное средство </w:t>
            </w:r>
            <w:r>
              <w:t>оказывает хорошую всасываемость, имеет высокую биодоступность.</w:t>
              <w:br/>
              <w:t xml:space="preserve"> Распределение</w:t>
              <w:br/>
              <w:t xml:space="preserve"> После одной пероральной дозы римантадина 100 мг максимальная концентрация в плазме 74 нг/мл (в пределах от 45-138 нг/мл) у здоровых взрослых (20-44 лет) достигается в течение 5-7 часов. Около 40 % римантадина связывается с белками плазмы, главным образом альбуминами. Полупериод элиминации одной дозы в этой исследуемой группе в среднем составляет 25 часов, однако в возрастной группе 71-79 лет</w:t>
            </w:r>
            <w:r>
              <w:rPr>
                <w:color w:val="008000"/>
              </w:rPr>
              <w:t>-</w:t>
            </w:r>
            <w:r>
              <w:t>в среднем 32 часа.</w:t>
            </w:r>
            <w:r>
              <w:t xml:space="preserve"> После применения 100 мг римантадина два раза в день на протяжении 10 дней у здоровых взрослых (18-70 лет) площадь под кривой концентрация-время (AUC) была примерно на 30 % больше, чем после одной отдельной дозы. В период стабилизации концентрация активного вещества в плазме была в пределах 118-468 нг/мл. В этой группе не выявлены различия параметров фармакокинетики, обусловленны</w:t>
            </w:r>
            <w:r>
              <w:rPr>
                <w:color w:val="008000"/>
              </w:rPr>
              <w:t>е</w:t>
            </w:r>
            <w:r>
              <w:t xml:space="preserve"> возрастом. Сравнивая три группы пациентов пожилого возраста (50-60 лет, 61-70 лет, 71-79 лет), выяснилось, что в возрастной группе 71-79 лет AUC, максимальная концентрация в плазме и полупериод элиминации в период стабилизации были на 20-30 % больше, чем у остальных двух исследуемых групп. У пациентов на дому пожилого и старческого возраста (68-102 </w:t>
            </w:r>
            <w:r>
              <w:rPr>
                <w:color w:val="008000"/>
              </w:rPr>
              <w:t>года</w:t>
            </w:r>
            <w:r>
              <w:t>) в период стабилизации концентрация римантадина в плазме была в 2</w:t>
            </w:r>
            <w:r>
              <w:rPr>
                <w:color w:val="008000"/>
              </w:rPr>
              <w:t>-</w:t>
            </w:r>
            <w:r>
              <w:t>4 раза выше, чем у здоровых молодых и взрослых среднего возраста.</w:t>
              <w:br/>
              <w:t xml:space="preserve"> </w:t>
            </w:r>
            <w:r>
              <w:rPr>
                <w:color w:val="008000"/>
              </w:rPr>
              <w:t>Биотранс</w:t>
            </w:r>
            <w:r>
              <w:t>ф</w:t>
            </w:r>
            <w:r>
              <w:rPr>
                <w:color w:val="008000"/>
              </w:rPr>
              <w:t>ормация</w:t>
              <w:br/>
              <w:t xml:space="preserve"> Римантадин интенсивно метаболизируется в печени путем гидроксилирования, конъюгации и глюкуронизации</w:t>
            </w:r>
            <w:r>
              <w:t>.</w:t>
              <w:br/>
            </w:r>
            <w:r>
              <w:rPr>
                <w:color w:val="008000"/>
              </w:rPr>
              <w:t xml:space="preserve"> Элиминация</w:t>
              <w:br/>
              <w:t xml:space="preserve"> В плазме выявлены три метаболита гидроксилирования. Эти и еще дополнительно конъюгированные метаболиты составляют 74±10 % от одной отдельной дозы 200 мг и из организма выводятся с мочой в течение 72 часов. Меньше 25 % принятой дозы выводится с мочой в неизмененном виде.</w:t>
              <w:br/>
              <w:t xml:space="preserve"> Печеночная недостаточность</w:t>
              <w:br/>
              <w:t xml:space="preserve"> У пациентов с тяжелыми нарушениями функции печени AUC увеличивается в 3 раза, период полувыведения-в 2 раза, а теоретический клиренс снижается на 50 % по сравнению с данными показателями до ухудшения печеночных функций.</w:t>
              <w:br/>
              <w:t xml:space="preserve"> Почечная недостаточность</w:t>
              <w:br/>
              <w:t xml:space="preserve"> При почечной недостаточности увеличивается концентрация метаболитов римантадина в</w:t>
              <w:br/>
              <w:br/>
              <w:t>плазме крови.</w:t>
              <w:br/>
              <w:t xml:space="preserve"> Дети</w:t>
              <w:br/>
              <w:t xml:space="preserve"> Фармакокинетика лекарственного средства у детей схожа с фармакокинетикой у взрослых.</w:t>
            </w:r>
            <w:r>
              <w:t xml:space="preserve"> У десяти детей (4-8 лет), которые получали одну дозу римантадина (6,6 мг/кг), через 5-6 часов концентрация в плазме крови колебалась от 446 до 988 нг/мл, через 24 часа-от 170 до 424 нг/мл. Полупериод элиминации в этой группе в среднем составлял 24,8 часов. В отдельных случаях у детей активное вещество лекарственного средства в плазме обнаруживали через 72 часа после применения последней дозы.</w:t>
            </w:r>
          </w:p>
        </w:tc>
        <w:tc>
          <w:tcPr>
            <w:tcW w:w="7280" w:type="dxa"/>
          </w:tcPr>
          <w:p w14:paraId="2105276C" w14:textId="2878080B"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07116C">
              <w:rPr>
                <w:b/>
                <w:sz w:val="24"/>
              </w:rPr>
              <w:t>5.2 Фармакокинетические свойства</w:t>
            </w:r>
          </w:p>
          <w:p>
            <w:r>
              <w:t>Фармакокинетика римантадина достаточно хорошо изучена. После однократного или многократного приема препарата пациентами различных возрастных групп корреляция между концентрацией римантадина в плазме крови и его антивирусной активностью не установлена.</w:t>
              <w:br/>
              <w:t xml:space="preserve"> Абсорбция</w:t>
              <w:br/>
              <w:t xml:space="preserve"> После перорального применения лекарственное средство </w:t>
            </w:r>
            <w:r>
              <w:rPr>
                <w:color w:val="FF0000"/>
              </w:rPr>
              <w:t>п</w:t>
            </w:r>
            <w:r>
              <w:t>оказывает хорошую всасываемость, имеет высокую биодоступность.</w:t>
              <w:br/>
              <w:t xml:space="preserve"> Распределение</w:t>
              <w:br/>
              <w:t xml:space="preserve"> После одной пероральной дозы римантадина 100 мг максимальная концентрация в плазме 74 нг/мл (в пределах от 45-138 нг/мл) у здоровых взрослых (20-44 лет) достигается в течение 5-7 часов. Около 40 % римантадина связывается с белками плазмы, главным образом альбуминами. Полупериод элиминации одной дозы в этой исследуемой группе в среднем составляет 25 часов, однако в возрастной группе 71-79 лет</w:t>
            </w:r>
            <w:r>
              <w:rPr>
                <w:color w:val="FF0000"/>
              </w:rPr>
              <w:t xml:space="preserve"> </w:t>
            </w:r>
            <w:r>
              <w:t>в среднем 32 часа.</w:t>
            </w:r>
            <w:r>
              <w:rPr>
                <w:color w:val="FF0000"/>
              </w:rPr>
              <w:br/>
            </w:r>
            <w:r>
              <w:t xml:space="preserve"> После применения 100 мг римантадина два раза в день на протяжении 10 дней у здоровых взрослых (18-70 лет) площадь под кривой концентрация-время (AUC) была примерно на 30 % больше, чем после одной отдельной дозы. В период стабилизации концентрация активного вещества в плазме была в пределах 118-468 нг/мл. В этой группе не выявлены различия параметров фармакокинетики, обусловленны</w:t>
            </w:r>
            <w:r>
              <w:rPr>
                <w:color w:val="FF0000"/>
              </w:rPr>
              <w:t>х</w:t>
            </w:r>
            <w:r>
              <w:t xml:space="preserve"> возрастом. Сравнивая три группы пациентов пожилого возраста (50-60 лет, 61-70 лет, 71-79 лет), выяснилось, что в возрастной группе 71-79 лет AUC, максимальная концентрация в плазме и полупериод элиминации в период стабилизации были на 20-30 % больше, чем у остальных двух исследуемых групп. У пациентов на дому пожилого и старческого возраста (68-102 </w:t>
            </w:r>
            <w:r>
              <w:rPr>
                <w:color w:val="FF0000"/>
              </w:rPr>
              <w:t>лет</w:t>
            </w:r>
            <w:r>
              <w:t>) в период стабилизации концентрация римантадина в плазме была в 2</w:t>
            </w:r>
            <w:r>
              <w:t>4 раза выше, чем у здоровых молодых и взрослых среднего возраста.</w:t>
              <w:br/>
              <w:t xml:space="preserve"> </w:t>
            </w:r>
            <w:r>
              <w:rPr>
                <w:color w:val="FF0000"/>
              </w:rPr>
              <w:t xml:space="preserve">Фармакокинетика лекарственного средства у детей схожа с </w:t>
            </w:r>
            <w:r>
              <w:t>ф</w:t>
            </w:r>
            <w:r>
              <w:rPr>
                <w:color w:val="FF0000"/>
              </w:rPr>
              <w:t>армакокинетикой у взрослых</w:t>
            </w:r>
            <w:r>
              <w:t>.</w:t>
              <w:br/>
            </w:r>
            <w:r>
              <w:t xml:space="preserve"> У десяти детей (4-8 лет), которые получали одну дозу римантадина (6,6 мг/кг), через 5-6 часов концентрация в плазме крови колебалась от 446 до 988 нг/мл, через 24 часа-от 170 до 424 нг/мл. Полупериод элиминации в этой группе в среднем составлял 24,8 часов. В отдельных случаях у детей активное вещество лекарственного средства в плазме обнаруживали через 72 часа после применения последней дозы.</w:t>
            </w:r>
            <w:r>
              <w:rPr>
                <w:color w:val="FF0000"/>
              </w:rPr>
              <w:br/>
              <w:t xml:space="preserve"> Биотрансформация</w:t>
              <w:br/>
              <w:t xml:space="preserve"> Римантадин интенсивно метаболизируется в печени путем гидроксилирования, конъюгации и глюкуронизации.</w:t>
              <w:br/>
              <w:t xml:space="preserve"> Элиминация</w:t>
              <w:br/>
              <w:t xml:space="preserve"> В плазме выявлены три метаболита гидроксилирования. Эти и еще дополнительно конъюгированные метаболиты составляют 74± 10 % от одной отдельной дозы 200 мг и из организма выводятся с мочой в течение 72 часов. Меньше 25 % принятой дозы выводится с мочой в неизмененном виде.</w:t>
              <w:br/>
              <w:t xml:space="preserve"> Почечная недостаточность</w:t>
              <w:br/>
              <w:t xml:space="preserve"> При почечной недостаточности увеличивается концентрация метаболитов римантадина в плазме крови.</w:t>
              <w:br/>
              <w:t xml:space="preserve"> Печеночная недостаточность</w:t>
              <w:br/>
              <w:t xml:space="preserve"> У пациентов с тяжелыми нарушениями функции печени AUC увеличивается в 3 раза, период полувыведения в 2 раза, а теоретический клиренс снижается на 50 %, по сравнению с данными показателями до ухудшения печеночных функций.</w:t>
            </w:r>
          </w:p>
        </w:tc>
      </w:tr>
      <w:tr w:rsidR="003319CA" w14:paraId="00541183" w14:textId="77777777" w:rsidTr="00E94612">
        <w:tc>
          <w:tcPr>
            <w:tcW w:w="7280" w:type="dxa"/>
          </w:tcPr>
          <w:p w14:paraId="537F4628" w14:textId="0BD59329" w:rsidR="003319CA" w:rsidRPr="003319CA" w:rsidRDefault="003319CA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>5.</w:t>
            </w:r>
            <w:r>
              <w:rPr>
                <w:b/>
                <w:sz w:val="24"/>
              </w:rPr>
              <w:t>3</w:t>
            </w:r>
            <w:r>
              <w:rPr>
                <w:b/>
                <w:sz w:val="24"/>
                <w:lang w:val="en-US"/>
              </w:rPr>
              <w:t xml:space="preserve"> </w:t>
            </w:r>
            <w:r>
              <w:rPr>
                <w:b/>
                <w:sz w:val="24"/>
              </w:rPr>
              <w:t>Данные доклинической безопасности</w:t>
            </w:r>
          </w:p>
          <w:p/>
        </w:tc>
        <w:tc>
          <w:tcPr>
            <w:tcW w:w="7280" w:type="dxa"/>
          </w:tcPr>
          <w:p w14:paraId="54B35F18" w14:textId="2BCFB99F" w:rsidR="003319CA" w:rsidRPr="0007116C" w:rsidRDefault="003319CA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>5.</w:t>
            </w:r>
            <w:r>
              <w:rPr>
                <w:b/>
                <w:sz w:val="24"/>
              </w:rPr>
              <w:t>3</w:t>
            </w:r>
            <w:r>
              <w:rPr>
                <w:b/>
                <w:sz w:val="24"/>
                <w:lang w:val="en-US"/>
              </w:rPr>
              <w:t xml:space="preserve"> </w:t>
            </w:r>
            <w:r>
              <w:rPr>
                <w:b/>
                <w:sz w:val="24"/>
              </w:rPr>
              <w:t>Данные доклинической безопасности</w:t>
            </w:r>
          </w:p>
          <w:p/>
        </w:tc>
      </w:tr>
      <w:tr w:rsidR="0007116C" w14:paraId="4A8D1F5E" w14:textId="77777777" w:rsidTr="00E94612">
        <w:tc>
          <w:tcPr>
            <w:tcW w:w="7280" w:type="dxa"/>
          </w:tcPr>
          <w:p w14:paraId="6CB16270" w14:textId="42CD9620" w:rsidR="0007116C" w:rsidRPr="00B32A72" w:rsidRDefault="0007116C" w:rsidP="0007116C">
            <w:pPr>
              <w:autoSpaceDE w:val="0"/>
              <w:autoSpaceDN w:val="0"/>
              <w:adjustRightInd w:val="0"/>
              <w:ind w:left="113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6. </w:t>
            </w:r>
            <w:r w:rsidRPr="00B32A72">
              <w:rPr>
                <w:b/>
                <w:bCs/>
                <w:sz w:val="23"/>
                <w:szCs w:val="23"/>
              </w:rPr>
              <w:t>ФАРМАЦЕВТИЧЕСКИЕ СВОЙСТВА</w:t>
            </w:r>
          </w:p>
          <w:p/>
        </w:tc>
        <w:tc>
          <w:tcPr>
            <w:tcW w:w="7280" w:type="dxa"/>
          </w:tcPr>
          <w:p w14:paraId="6C1A5DCB" w14:textId="1FD96105" w:rsidR="0007116C" w:rsidRDefault="0007116C" w:rsidP="0007116C">
            <w:pPr>
              <w:autoSpaceDE w:val="0"/>
              <w:autoSpaceDN w:val="0"/>
              <w:adjustRightInd w:val="0"/>
              <w:ind w:left="113"/>
              <w:rPr>
                <w:color w:val="FF0000"/>
                <w:sz w:val="28"/>
                <w:szCs w:val="28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6. </w:t>
            </w:r>
            <w:r w:rsidRPr="00B32A72">
              <w:rPr>
                <w:b/>
                <w:bCs/>
                <w:sz w:val="23"/>
                <w:szCs w:val="23"/>
              </w:rPr>
              <w:t>ФАРМАЦЕВТИЧЕСКИЕ СВОЙСТВА</w:t>
            </w:r>
          </w:p>
          <w:p/>
        </w:tc>
      </w:tr>
      <w:tr w:rsidR="0007116C" w14:paraId="58B80048" w14:textId="77777777" w:rsidTr="00E94612">
        <w:tc>
          <w:tcPr>
            <w:tcW w:w="7280" w:type="dxa"/>
          </w:tcPr>
          <w:p w14:paraId="5D024BD7" w14:textId="5A94311E"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3D6C68">
              <w:rPr>
                <w:b/>
                <w:sz w:val="24"/>
              </w:rPr>
              <w:t xml:space="preserve">6.1 </w:t>
            </w:r>
            <w:r w:rsidRPr="00B32A72">
              <w:rPr>
                <w:b/>
                <w:sz w:val="24"/>
              </w:rPr>
              <w:t>Перечень вспомогательных веществ</w:t>
            </w:r>
          </w:p>
          <w:p>
            <w:r>
              <w:t>Крахмал картофельный</w:t>
              <w:br/>
              <w:t xml:space="preserve"> </w:t>
            </w:r>
            <w:r>
              <w:rPr>
                <w:color w:val="008000"/>
              </w:rPr>
              <w:t>Л</w:t>
            </w:r>
            <w:r>
              <w:t>а</w:t>
            </w:r>
            <w:r>
              <w:rPr>
                <w:color w:val="008000"/>
              </w:rPr>
              <w:t>ктозы мо</w:t>
            </w:r>
            <w:r>
              <w:t>н</w:t>
            </w:r>
            <w:r>
              <w:rPr>
                <w:color w:val="008000"/>
              </w:rPr>
              <w:t>огидрат</w:t>
              <w:br/>
              <w:t xml:space="preserve"> Повидон (К17)</w:t>
              <w:br/>
              <w:t xml:space="preserve"> Кальц</w:t>
            </w:r>
            <w:r>
              <w:t>ия стеарат</w:t>
            </w:r>
          </w:p>
        </w:tc>
        <w:tc>
          <w:tcPr>
            <w:tcW w:w="7280" w:type="dxa"/>
          </w:tcPr>
          <w:p w14:paraId="3C245404" w14:textId="716BBA2E"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3D6C68">
              <w:rPr>
                <w:b/>
                <w:sz w:val="24"/>
              </w:rPr>
              <w:t xml:space="preserve">6.1 </w:t>
            </w:r>
            <w:r w:rsidRPr="00B32A72">
              <w:rPr>
                <w:b/>
                <w:sz w:val="24"/>
              </w:rPr>
              <w:t>Перечень вспомогательных веществ</w:t>
            </w:r>
          </w:p>
          <w:p>
            <w:r>
              <w:rPr>
                <w:color w:val="FF0000"/>
              </w:rPr>
              <w:t>Лактозы моногидрат</w:t>
              <w:br/>
              <w:t xml:space="preserve"> </w:t>
            </w:r>
            <w:r>
              <w:t>Крахмал картофельный</w:t>
              <w:br/>
              <w:t xml:space="preserve"> </w:t>
            </w:r>
            <w:r>
              <w:rPr>
                <w:color w:val="FF0000"/>
              </w:rPr>
              <w:t>М</w:t>
            </w:r>
            <w:r>
              <w:t>а</w:t>
            </w:r>
            <w:r>
              <w:rPr>
                <w:color w:val="FF0000"/>
              </w:rPr>
              <w:t>г</w:t>
            </w:r>
            <w:r>
              <w:t>н</w:t>
            </w:r>
            <w:r>
              <w:t>ия стеарат</w:t>
            </w:r>
          </w:p>
        </w:tc>
      </w:tr>
      <w:tr w:rsidR="0007116C" w14:paraId="29305636" w14:textId="77777777" w:rsidTr="00E94612">
        <w:tc>
          <w:tcPr>
            <w:tcW w:w="7280" w:type="dxa"/>
          </w:tcPr>
          <w:p w14:paraId="2D8E4066" w14:textId="6ECEE320"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3D6C68">
              <w:rPr>
                <w:b/>
                <w:sz w:val="24"/>
              </w:rPr>
              <w:t xml:space="preserve">6.2 </w:t>
            </w:r>
            <w:r w:rsidRPr="00B32A72">
              <w:rPr>
                <w:b/>
                <w:sz w:val="24"/>
              </w:rPr>
              <w:t>Несовместимость</w:t>
            </w:r>
          </w:p>
          <w:p>
            <w:r>
              <w:t>Не применимо.</w:t>
            </w:r>
          </w:p>
        </w:tc>
        <w:tc>
          <w:tcPr>
            <w:tcW w:w="7280" w:type="dxa"/>
          </w:tcPr>
          <w:p w14:paraId="45495435" w14:textId="4CD26DD9"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3D6C68">
              <w:rPr>
                <w:b/>
                <w:sz w:val="24"/>
              </w:rPr>
              <w:t xml:space="preserve">6.2 </w:t>
            </w:r>
            <w:r w:rsidRPr="00B32A72">
              <w:rPr>
                <w:b/>
                <w:sz w:val="24"/>
              </w:rPr>
              <w:t>Несовместимость</w:t>
            </w:r>
          </w:p>
          <w:p>
            <w:r>
              <w:t>Не применимо.</w:t>
            </w:r>
            <w:r>
              <w:rPr>
                <w:color w:val="FF0000"/>
              </w:rPr>
              <w:br/>
              <w:br/>
              <w:t>• 6.3. Срок годности (срок хранения)</w:t>
              <w:br/>
              <w:t xml:space="preserve"> 5 лет.</w:t>
              <w:br/>
              <w:br/>
              <w:t>• 6.4. Особые меры предосторожности при хранении</w:t>
              <w:br/>
              <w:t xml:space="preserve"> Хранить при температуре не выше 25 °С, в оригинальной упаковке (в пачке картонной).</w:t>
            </w:r>
          </w:p>
        </w:tc>
      </w:tr>
      <w:tr w:rsidR="0007116C" w14:paraId="316DA27C" w14:textId="77777777" w:rsidTr="00E94612">
        <w:tc>
          <w:tcPr>
            <w:tcW w:w="7280" w:type="dxa"/>
          </w:tcPr>
          <w:p w14:paraId="6C034A54" w14:textId="3592806F"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3D6C68">
              <w:rPr>
                <w:b/>
                <w:sz w:val="24"/>
              </w:rPr>
              <w:t xml:space="preserve">6.3 </w:t>
            </w:r>
            <w:r w:rsidRPr="00B32A72">
              <w:rPr>
                <w:b/>
                <w:sz w:val="24"/>
              </w:rPr>
              <w:t>Срок годности (срок хранения)</w:t>
            </w:r>
          </w:p>
          <w:p>
            <w:r>
              <w:rPr>
                <w:color w:val="008000"/>
              </w:rPr>
              <w:t>5 лет.</w:t>
            </w:r>
          </w:p>
        </w:tc>
        <w:tc>
          <w:tcPr>
            <w:tcW w:w="7280" w:type="dxa"/>
          </w:tcPr>
          <w:p w14:paraId="55477558" w14:textId="3FCCF07A"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3D6C68">
              <w:rPr>
                <w:b/>
                <w:sz w:val="24"/>
              </w:rPr>
              <w:t xml:space="preserve">6.3 </w:t>
            </w:r>
            <w:r w:rsidRPr="00B32A72">
              <w:rPr>
                <w:b/>
                <w:sz w:val="24"/>
              </w:rPr>
              <w:t>Срок годности (срок хранения)</w:t>
            </w:r>
          </w:p>
          <w:p/>
        </w:tc>
      </w:tr>
      <w:tr w:rsidR="0007116C" w14:paraId="57A21113" w14:textId="77777777" w:rsidTr="00E94612">
        <w:tc>
          <w:tcPr>
            <w:tcW w:w="7280" w:type="dxa"/>
          </w:tcPr>
          <w:p w14:paraId="1092A9B8" w14:textId="45F65F42"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577D01">
              <w:rPr>
                <w:b/>
                <w:sz w:val="24"/>
              </w:rPr>
              <w:t xml:space="preserve">6.4 </w:t>
            </w:r>
            <w:r w:rsidRPr="00B32A72">
              <w:rPr>
                <w:b/>
                <w:sz w:val="24"/>
              </w:rPr>
              <w:t>Особые меры предосторожности при хранении</w:t>
            </w:r>
          </w:p>
          <w:p>
            <w:r>
              <w:rPr>
                <w:color w:val="008000"/>
              </w:rPr>
              <w:t>При температуре не выше 25 °С в оригинальной упаковке (пачке).</w:t>
            </w:r>
          </w:p>
        </w:tc>
        <w:tc>
          <w:tcPr>
            <w:tcW w:w="7280" w:type="dxa"/>
          </w:tcPr>
          <w:p w14:paraId="6585C34B" w14:textId="34325F93"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577D01">
              <w:rPr>
                <w:b/>
                <w:sz w:val="24"/>
              </w:rPr>
              <w:t xml:space="preserve">6.4 </w:t>
            </w:r>
            <w:r w:rsidRPr="00B32A72">
              <w:rPr>
                <w:b/>
                <w:sz w:val="24"/>
              </w:rPr>
              <w:t>Особые меры предосторожности при хранении</w:t>
            </w:r>
          </w:p>
          <w:p/>
        </w:tc>
      </w:tr>
      <w:tr w:rsidR="0007116C" w14:paraId="64A0748C" w14:textId="77777777" w:rsidTr="00E94612">
        <w:tc>
          <w:tcPr>
            <w:tcW w:w="7280" w:type="dxa"/>
          </w:tcPr>
          <w:p w14:paraId="56B060B8" w14:textId="4360B376"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577D01">
              <w:rPr>
                <w:b/>
                <w:sz w:val="24"/>
              </w:rPr>
              <w:t xml:space="preserve">6.5 </w:t>
            </w:r>
            <w:r w:rsidRPr="00B32A72">
              <w:rPr>
                <w:b/>
                <w:sz w:val="24"/>
              </w:rPr>
              <w:t>Характер и содержание первичной упаковки</w:t>
            </w:r>
          </w:p>
          <w:p>
            <w:r>
              <w:t>По 10 таблеток в контурную ячейковую упаковку из пленки поливинилхлоридной и фольги алюминиев</w:t>
            </w:r>
            <w:r>
              <w:rPr>
                <w:color w:val="008000"/>
              </w:rPr>
              <w:t>ой печатной лакированн</w:t>
            </w:r>
            <w:r>
              <w:t>ой.</w:t>
              <w:br/>
              <w:br/>
              <w:t xml:space="preserve">• 1, 2, 3 контурные ячейковые упаковки </w:t>
            </w:r>
            <w:r>
              <w:rPr>
                <w:color w:val="008000"/>
              </w:rPr>
              <w:t xml:space="preserve">по 10 таблеток </w:t>
            </w:r>
            <w:r>
              <w:t>вместе с инструкцией по медицинскому применению помещают в пачку из картона.</w:t>
              <w:br/>
              <w:t xml:space="preserve">• 6.6. Особые меры предосторожности при уничтожении использованного лекарственного препарата или отходов, полученных после применения </w:t>
            </w:r>
            <w:r>
              <w:t>препарата, и другие манипуляции с препаратом</w:t>
              <w:br/>
              <w:t xml:space="preserve"> </w:t>
            </w:r>
            <w:r>
              <w:rPr>
                <w:color w:val="008000"/>
              </w:rPr>
              <w:t>О</w:t>
            </w:r>
            <w:r>
              <w:t>собы</w:t>
            </w:r>
            <w:r>
              <w:rPr>
                <w:color w:val="008000"/>
              </w:rPr>
              <w:t>е</w:t>
            </w:r>
            <w:r>
              <w:t xml:space="preserve"> требовани</w:t>
            </w:r>
            <w:r>
              <w:rPr>
                <w:color w:val="008000"/>
              </w:rPr>
              <w:t>я отсутствуют</w:t>
            </w:r>
            <w:r>
              <w:t>.</w:t>
            </w:r>
          </w:p>
        </w:tc>
        <w:tc>
          <w:tcPr>
            <w:tcW w:w="7280" w:type="dxa"/>
          </w:tcPr>
          <w:p w14:paraId="477B6A0E" w14:textId="0B89496C"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577D01">
              <w:rPr>
                <w:b/>
                <w:sz w:val="24"/>
              </w:rPr>
              <w:t xml:space="preserve">6.5 </w:t>
            </w:r>
            <w:r w:rsidRPr="00B32A72">
              <w:rPr>
                <w:b/>
                <w:sz w:val="24"/>
              </w:rPr>
              <w:t>Характер и содержание первичной упаковки</w:t>
            </w:r>
          </w:p>
          <w:p>
            <w:r>
              <w:t>По 10 таблеток в контурную ячейковую упаковку из пленки поливинилхлоридной и фольги алюминиев</w:t>
            </w:r>
            <w:r>
              <w:t>ой.</w:t>
              <w:br/>
              <w:br/>
              <w:t xml:space="preserve">• 1, 2, 3 контурные ячейковые упаковки </w:t>
            </w:r>
            <w:r>
              <w:t>вместе с инструкцией по медицинскому применению помещают в пачку из картона.</w:t>
              <w:br/>
              <w:t xml:space="preserve">• 6.6. Особые меры предосторожности при уничтожении использованного лекарственного препарата или отходов, полученных после применения </w:t>
            </w:r>
            <w:r>
              <w:rPr>
                <w:color w:val="FF0000"/>
              </w:rPr>
              <w:t xml:space="preserve">лекарственного </w:t>
            </w:r>
            <w:r>
              <w:t>препарата, и другие манипуляции с препаратом</w:t>
              <w:br/>
              <w:t xml:space="preserve"> </w:t>
            </w:r>
            <w:r>
              <w:rPr>
                <w:color w:val="FF0000"/>
              </w:rPr>
              <w:t>Нет о</w:t>
            </w:r>
            <w:r>
              <w:t>собы</w:t>
            </w:r>
            <w:r>
              <w:rPr>
                <w:color w:val="FF0000"/>
              </w:rPr>
              <w:t>х</w:t>
            </w:r>
            <w:r>
              <w:t xml:space="preserve"> требовани</w:t>
            </w:r>
            <w:r>
              <w:rPr>
                <w:color w:val="FF0000"/>
              </w:rPr>
              <w:t>й</w:t>
            </w:r>
            <w:r>
              <w:t>.</w:t>
            </w:r>
          </w:p>
        </w:tc>
      </w:tr>
      <w:tr w:rsidR="0007116C" w14:paraId="17DCF1E3" w14:textId="77777777" w:rsidTr="00E94612">
        <w:tc>
          <w:tcPr>
            <w:tcW w:w="7280" w:type="dxa"/>
          </w:tcPr>
          <w:p w14:paraId="13821B38" w14:textId="0B6167E4"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577D01">
              <w:rPr>
                <w:b/>
                <w:sz w:val="24"/>
              </w:rPr>
              <w:lastRenderedPageBreak/>
              <w:t xml:space="preserve">6.6 </w:t>
            </w:r>
            <w:r w:rsidRPr="00B32A72">
              <w:rPr>
                <w:b/>
                <w:sz w:val="24"/>
              </w:rPr>
              <w:t>Особые меры предосторожности при уничтожении использованного лекарственного препарата или отходов, полученных после применения лекарственного препарата, и другие манипуляции с препаратом</w:t>
            </w:r>
          </w:p>
          <w:p/>
        </w:tc>
        <w:tc>
          <w:tcPr>
            <w:tcW w:w="7280" w:type="dxa"/>
          </w:tcPr>
          <w:p w14:paraId="015AEA58" w14:textId="2CD25E7F" w:rsidR="0007116C" w:rsidRP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577D01">
              <w:rPr>
                <w:b/>
                <w:sz w:val="24"/>
              </w:rPr>
              <w:t xml:space="preserve">6.6 </w:t>
            </w:r>
            <w:r w:rsidRPr="00B32A72">
              <w:rPr>
                <w:b/>
                <w:sz w:val="24"/>
              </w:rPr>
              <w:t>Особые меры предосторожности при уничтожении использованного лекарственного препарата или отходов, полученных после применения лекарственного препарата, и другие манипуляции с препаратом</w:t>
            </w:r>
          </w:p>
          <w:p/>
        </w:tc>
      </w:tr>
      <w:tr w:rsidR="0007116C" w14:paraId="3F699140" w14:textId="77777777" w:rsidTr="00E94612">
        <w:tc>
          <w:tcPr>
            <w:tcW w:w="7280" w:type="dxa"/>
          </w:tcPr>
          <w:p w14:paraId="7AEA04A2" w14:textId="4348AA77" w:rsidR="0007116C" w:rsidRPr="00B32A72" w:rsidRDefault="0007116C" w:rsidP="0007116C">
            <w:pPr>
              <w:autoSpaceDE w:val="0"/>
              <w:autoSpaceDN w:val="0"/>
              <w:adjustRightInd w:val="0"/>
              <w:ind w:left="113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7. </w:t>
            </w:r>
            <w:r w:rsidRPr="00B32A72">
              <w:rPr>
                <w:b/>
                <w:bCs/>
                <w:sz w:val="23"/>
                <w:szCs w:val="23"/>
              </w:rPr>
              <w:t>ДЕРЖАТЕЛЬ РЕГИСТРАЦИОННОГО УДОСТОВЕРЕНИЯ</w:t>
            </w:r>
          </w:p>
          <w:p>
            <w:r>
              <w:t>Российская Федерация</w:t>
              <w:br/>
              <w:t xml:space="preserve"> </w:t>
            </w:r>
            <w:r>
              <w:rPr>
                <w:color w:val="008000"/>
              </w:rPr>
              <w:t>А</w:t>
            </w:r>
            <w:r>
              <w:t>О «</w:t>
            </w:r>
            <w:r>
              <w:rPr>
                <w:color w:val="008000"/>
              </w:rPr>
              <w:t>Биохи</w:t>
            </w:r>
            <w:r>
              <w:t>м</w:t>
            </w:r>
            <w:r>
              <w:rPr>
                <w:color w:val="008000"/>
              </w:rPr>
              <w:t>ик</w:t>
            </w:r>
            <w:r>
              <w:t>»</w:t>
            </w:r>
            <w:r>
              <w:br/>
              <w:t xml:space="preserve"> </w:t>
            </w:r>
            <w:r>
              <w:t>4</w:t>
            </w:r>
            <w:r>
              <w:rPr>
                <w:color w:val="008000"/>
              </w:rPr>
              <w:t>3</w:t>
            </w:r>
            <w:r>
              <w:t>0</w:t>
            </w:r>
            <w:r>
              <w:rPr>
                <w:color w:val="008000"/>
              </w:rPr>
              <w:t>030</w:t>
            </w:r>
            <w:r>
              <w:t xml:space="preserve">, </w:t>
            </w:r>
            <w:r>
              <w:rPr>
                <w:color w:val="008000"/>
              </w:rPr>
              <w:t>Ре</w:t>
            </w:r>
            <w:r>
              <w:t>с</w:t>
            </w:r>
            <w:r>
              <w:rPr>
                <w:color w:val="008000"/>
              </w:rPr>
              <w:t>пу</w:t>
            </w:r>
            <w:r>
              <w:t>бл</w:t>
            </w:r>
            <w:r>
              <w:rPr>
                <w:color w:val="008000"/>
              </w:rPr>
              <w:t>ика</w:t>
            </w:r>
            <w:r>
              <w:t xml:space="preserve"> М</w:t>
            </w:r>
            <w:r>
              <w:t>о</w:t>
            </w:r>
            <w:r>
              <w:t>р</w:t>
            </w:r>
            <w:r>
              <w:rPr>
                <w:color w:val="008000"/>
              </w:rPr>
              <w:t>д</w:t>
            </w:r>
            <w:r>
              <w:t>о</w:t>
            </w:r>
            <w:r>
              <w:t>в</w:t>
            </w:r>
            <w:r>
              <w:t>и</w:t>
            </w:r>
            <w:r>
              <w:rPr>
                <w:color w:val="008000"/>
              </w:rPr>
              <w:t>я</w:t>
            </w:r>
            <w:r>
              <w:t xml:space="preserve">, г. </w:t>
            </w:r>
            <w:r>
              <w:rPr>
                <w:color w:val="008000"/>
              </w:rPr>
              <w:t>С</w:t>
            </w:r>
            <w:r>
              <w:t>а</w:t>
            </w:r>
            <w:r>
              <w:t>р</w:t>
            </w:r>
            <w:r>
              <w:t>а</w:t>
            </w:r>
            <w:r>
              <w:rPr>
                <w:color w:val="008000"/>
              </w:rPr>
              <w:t>нск</w:t>
            </w:r>
            <w:r>
              <w:t>,</w:t>
            </w:r>
            <w:r>
              <w:rPr>
                <w:color w:val="008000"/>
              </w:rPr>
              <w:t xml:space="preserve"> </w:t>
            </w:r>
            <w:r>
              <w:t xml:space="preserve">ул. </w:t>
            </w:r>
            <w:r>
              <w:rPr>
                <w:color w:val="008000"/>
              </w:rPr>
              <w:t>В</w:t>
            </w:r>
            <w:r>
              <w:t>а</w:t>
            </w:r>
            <w:r>
              <w:rPr>
                <w:color w:val="008000"/>
              </w:rPr>
              <w:t>сенко</w:t>
            </w:r>
            <w:r>
              <w:t>, д. 1</w:t>
            </w:r>
            <w:r>
              <w:t>5</w:t>
            </w:r>
            <w:r>
              <w:rPr>
                <w:color w:val="008000"/>
              </w:rPr>
              <w:t>А</w:t>
            </w:r>
            <w:r>
              <w:br/>
              <w:t xml:space="preserve"> Тел</w:t>
            </w:r>
            <w:r>
              <w:rPr>
                <w:color w:val="008000"/>
              </w:rPr>
              <w:t>е</w:t>
            </w:r>
            <w:r>
              <w:t>ф</w:t>
            </w:r>
            <w:r>
              <w:rPr>
                <w:color w:val="008000"/>
              </w:rPr>
              <w:t>он</w:t>
            </w:r>
            <w:r>
              <w:t>:</w:t>
            </w:r>
            <w:r>
              <w:t xml:space="preserve"> </w:t>
            </w:r>
            <w:r>
              <w:rPr>
                <w:color w:val="008000"/>
              </w:rPr>
              <w:t>+</w:t>
            </w:r>
            <w:r>
              <w:t>7 (</w:t>
            </w:r>
            <w:r>
              <w:t>8</w:t>
            </w:r>
            <w:r>
              <w:t>3</w:t>
            </w:r>
            <w:r>
              <w:rPr>
                <w:color w:val="008000"/>
              </w:rPr>
              <w:t>42</w:t>
            </w:r>
            <w:r>
              <w:t xml:space="preserve">) </w:t>
            </w:r>
            <w:r>
              <w:rPr>
                <w:color w:val="008000"/>
              </w:rPr>
              <w:t>3</w:t>
            </w:r>
            <w:r>
              <w:t>8</w:t>
            </w:r>
            <w:r>
              <w:rPr>
                <w:color w:val="008000"/>
              </w:rPr>
              <w:t>-03-68</w:t>
              <w:br/>
              <w:t xml:space="preserve"> Электронный адрес: biohimic@biohimic.ru</w:t>
              <w:br/>
              <w:t xml:space="preserve"> Адрес в интернете: www.biohimik.ru</w:t>
            </w:r>
          </w:p>
        </w:tc>
        <w:tc>
          <w:tcPr>
            <w:tcW w:w="7280" w:type="dxa"/>
          </w:tcPr>
          <w:p w14:paraId="7EC0A43C" w14:textId="1D7FF2B3" w:rsidR="0007116C" w:rsidRDefault="0007116C" w:rsidP="0007116C">
            <w:pPr>
              <w:autoSpaceDE w:val="0"/>
              <w:autoSpaceDN w:val="0"/>
              <w:adjustRightInd w:val="0"/>
              <w:ind w:left="113"/>
              <w:rPr>
                <w:color w:val="FF0000"/>
                <w:sz w:val="28"/>
                <w:szCs w:val="28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7. </w:t>
            </w:r>
            <w:r w:rsidRPr="00B32A72">
              <w:rPr>
                <w:b/>
                <w:bCs/>
                <w:sz w:val="23"/>
                <w:szCs w:val="23"/>
              </w:rPr>
              <w:t>ДЕРЖАТЕЛЬ РЕГИСТРАЦИОННОГО УДОСТОВЕРЕНИЯ</w:t>
            </w:r>
          </w:p>
          <w:p>
            <w:r>
              <w:t>Российская Федерация</w:t>
              <w:br/>
              <w:t xml:space="preserve"> </w:t>
            </w:r>
            <w:r>
              <w:rPr>
                <w:color w:val="FF0000"/>
              </w:rPr>
              <w:t>ООО НП</w:t>
            </w:r>
            <w:r>
              <w:t>О «</w:t>
            </w:r>
            <w:r>
              <w:rPr>
                <w:color w:val="FF0000"/>
              </w:rPr>
              <w:t>Фар</w:t>
            </w:r>
            <w:r>
              <w:t>м</w:t>
            </w:r>
            <w:r>
              <w:rPr>
                <w:color w:val="FF0000"/>
              </w:rPr>
              <w:t>ВИЛАР</w:t>
            </w:r>
            <w:r>
              <w:t>»</w:t>
            </w:r>
            <w:r>
              <w:rPr>
                <w:color w:val="FF0000"/>
              </w:rPr>
              <w:t>,</w:t>
            </w:r>
            <w:r>
              <w:br/>
              <w:t xml:space="preserve"> </w:t>
            </w:r>
            <w:r>
              <w:rPr>
                <w:color w:val="FF0000"/>
              </w:rPr>
              <w:t>2</w:t>
            </w:r>
            <w:r>
              <w:t>4</w:t>
            </w:r>
            <w:r>
              <w:rPr>
                <w:color w:val="FF0000"/>
              </w:rPr>
              <w:t>9</w:t>
            </w:r>
            <w:r>
              <w:t>0</w:t>
            </w:r>
            <w:r>
              <w:rPr>
                <w:color w:val="FF0000"/>
              </w:rPr>
              <w:t>96</w:t>
            </w:r>
            <w:r>
              <w:t xml:space="preserve">, </w:t>
            </w:r>
            <w:r>
              <w:rPr>
                <w:color w:val="FF0000"/>
              </w:rPr>
              <w:t>Калуж</w:t>
            </w:r>
            <w:r>
              <w:t>с</w:t>
            </w:r>
            <w:r>
              <w:rPr>
                <w:color w:val="FF0000"/>
              </w:rPr>
              <w:t>кая о</w:t>
            </w:r>
            <w:r>
              <w:t>бл</w:t>
            </w:r>
            <w:r>
              <w:rPr>
                <w:color w:val="FF0000"/>
              </w:rPr>
              <w:t>.,</w:t>
            </w:r>
            <w:r>
              <w:t xml:space="preserve"> М</w:t>
            </w:r>
            <w:r>
              <w:rPr>
                <w:color w:val="FF0000"/>
              </w:rPr>
              <w:t>ал</w:t>
            </w:r>
            <w:r>
              <w:t>о</w:t>
            </w:r>
            <w:r>
              <w:rPr>
                <w:color w:val="FF0000"/>
              </w:rPr>
              <w:t>я</w:t>
            </w:r>
            <w:r>
              <w:t>р</w:t>
            </w:r>
            <w:r>
              <w:t>о</w:t>
            </w:r>
            <w:r>
              <w:rPr>
                <w:color w:val="FF0000"/>
              </w:rPr>
              <w:t>сла</w:t>
            </w:r>
            <w:r>
              <w:t>в</w:t>
            </w:r>
            <w:r>
              <w:rPr>
                <w:color w:val="FF0000"/>
              </w:rPr>
              <w:t>ецк</w:t>
            </w:r>
            <w:r>
              <w:t>и</w:t>
            </w:r>
            <w:r>
              <w:rPr>
                <w:color w:val="FF0000"/>
              </w:rPr>
              <w:t>й район</w:t>
            </w:r>
            <w:r>
              <w:t xml:space="preserve">, г. </w:t>
            </w:r>
            <w:r>
              <w:rPr>
                <w:color w:val="FF0000"/>
              </w:rPr>
              <w:t>М</w:t>
            </w:r>
            <w:r>
              <w:t>а</w:t>
            </w:r>
            <w:r>
              <w:rPr>
                <w:color w:val="FF0000"/>
              </w:rPr>
              <w:t>лоя</w:t>
            </w:r>
            <w:r>
              <w:t>р</w:t>
            </w:r>
            <w:r>
              <w:rPr>
                <w:color w:val="FF0000"/>
              </w:rPr>
              <w:t>осл</w:t>
            </w:r>
            <w:r>
              <w:t>а</w:t>
            </w:r>
            <w:r>
              <w:rPr>
                <w:color w:val="FF0000"/>
              </w:rPr>
              <w:t>вец</w:t>
            </w:r>
            <w:r>
              <w:t>,</w:t>
            </w:r>
            <w:r>
              <w:rPr>
                <w:color w:val="FF0000"/>
              </w:rPr>
              <w:br/>
              <w:br/>
            </w:r>
            <w:r>
              <w:t xml:space="preserve">ул. </w:t>
            </w:r>
            <w:r>
              <w:rPr>
                <w:color w:val="FF0000"/>
              </w:rPr>
              <w:t>Коммунистическ</w:t>
            </w:r>
            <w:r>
              <w:t>а</w:t>
            </w:r>
            <w:r>
              <w:rPr>
                <w:color w:val="FF0000"/>
              </w:rPr>
              <w:t>я</w:t>
            </w:r>
            <w:r>
              <w:t>, д. 1</w:t>
            </w:r>
            <w:r>
              <w:rPr>
                <w:color w:val="FF0000"/>
              </w:rPr>
              <w:t>1</w:t>
            </w:r>
            <w:r>
              <w:t>5</w:t>
            </w:r>
            <w:r>
              <w:br/>
              <w:t xml:space="preserve"> Тел</w:t>
            </w:r>
            <w:r>
              <w:rPr>
                <w:color w:val="FF0000"/>
              </w:rPr>
              <w:t>./</w:t>
            </w:r>
            <w:r>
              <w:t>ф</w:t>
            </w:r>
            <w:r>
              <w:rPr>
                <w:color w:val="FF0000"/>
              </w:rPr>
              <w:t>акс</w:t>
            </w:r>
            <w:r>
              <w:t>:</w:t>
            </w:r>
            <w:r>
              <w:rPr>
                <w:color w:val="FF0000"/>
              </w:rPr>
              <w:br/>
              <w:br/>
              <w:t>+</w:t>
            </w:r>
            <w:r>
              <w:t xml:space="preserve"> </w:t>
            </w:r>
            <w:r>
              <w:t>7 (</w:t>
            </w:r>
            <w:r>
              <w:rPr>
                <w:color w:val="FF0000"/>
              </w:rPr>
              <w:t>4</w:t>
            </w:r>
            <w:r>
              <w:t>8</w:t>
            </w:r>
            <w:r>
              <w:rPr>
                <w:color w:val="FF0000"/>
              </w:rPr>
              <w:t>4</w:t>
            </w:r>
            <w:r>
              <w:t>3</w:t>
            </w:r>
            <w:r>
              <w:rPr>
                <w:color w:val="FF0000"/>
              </w:rPr>
              <w:t>1</w:t>
            </w:r>
            <w:r>
              <w:t xml:space="preserve">) </w:t>
            </w:r>
            <w:r>
              <w:rPr>
                <w:color w:val="FF0000"/>
              </w:rPr>
              <w:t>2-27-1</w:t>
            </w:r>
            <w:r>
              <w:t>8</w:t>
            </w:r>
          </w:p>
        </w:tc>
      </w:tr>
      <w:tr w:rsidR="0007116C" w14:paraId="07F25950" w14:textId="77777777" w:rsidTr="00E94612">
        <w:tc>
          <w:tcPr>
            <w:tcW w:w="7280" w:type="dxa"/>
          </w:tcPr>
          <w:p w14:paraId="30985D77" w14:textId="5E4B37AA" w:rsidR="0007116C" w:rsidRPr="00B32A72" w:rsidRDefault="0007116C" w:rsidP="0007116C">
            <w:pPr>
              <w:autoSpaceDE w:val="0"/>
              <w:autoSpaceDN w:val="0"/>
              <w:adjustRightInd w:val="0"/>
              <w:ind w:left="340"/>
              <w:rPr>
                <w:b/>
                <w:sz w:val="24"/>
              </w:rPr>
            </w:pPr>
            <w:r w:rsidRPr="003D6C68">
              <w:rPr>
                <w:b/>
                <w:sz w:val="24"/>
              </w:rPr>
              <w:t xml:space="preserve">7.1 </w:t>
            </w:r>
            <w:r w:rsidRPr="00B32A72">
              <w:rPr>
                <w:b/>
                <w:sz w:val="24"/>
              </w:rPr>
              <w:t>Представитель держателя регистрационного удостоверения</w:t>
            </w:r>
          </w:p>
          <w:p>
            <w:r>
              <w:t>Претензии потребителей направлять по адресу:</w:t>
              <w:br/>
              <w:t xml:space="preserve"> Российская Федерация</w:t>
              <w:br/>
              <w:t xml:space="preserve"> </w:t>
            </w:r>
            <w:r>
              <w:t>А</w:t>
            </w:r>
            <w:r>
              <w:rPr>
                <w:color w:val="008000"/>
              </w:rPr>
              <w:t>О «Биохи</w:t>
            </w:r>
            <w:r>
              <w:t>м</w:t>
            </w:r>
            <w:r>
              <w:rPr>
                <w:color w:val="008000"/>
              </w:rPr>
              <w:t>ик»</w:t>
              <w:br/>
              <w:t xml:space="preserve"> Юри</w:t>
            </w:r>
            <w:r>
              <w:t>д</w:t>
            </w:r>
            <w:r>
              <w:rPr>
                <w:color w:val="008000"/>
              </w:rPr>
              <w:t>ический адре</w:t>
            </w:r>
            <w:r>
              <w:t>с:</w:t>
            </w:r>
            <w:r>
              <w:rPr>
                <w:color w:val="008000"/>
              </w:rPr>
              <w:t xml:space="preserve"> </w:t>
            </w:r>
            <w:r>
              <w:t>43</w:t>
            </w:r>
            <w:r>
              <w:rPr>
                <w:color w:val="008000"/>
              </w:rPr>
              <w:t>0030, Республика Мордовия, г. Саранск, ул. Васенко, д. 15А</w:t>
              <w:br/>
              <w:t xml:space="preserve"> Адрес места производства: 430030, Республика Мордовия, г. Саранск, ул. Васенко, д. 15А</w:t>
              <w:br/>
              <w:t xml:space="preserve"> Телефон: +7 (834</w:t>
            </w:r>
            <w:r>
              <w:t>2</w:t>
            </w:r>
            <w:r>
              <w:rPr>
                <w:color w:val="008000"/>
              </w:rPr>
              <w:t>) 38</w:t>
            </w:r>
            <w:r>
              <w:t>-</w:t>
            </w:r>
            <w:r>
              <w:rPr>
                <w:color w:val="008000"/>
              </w:rPr>
              <w:t>03-68</w:t>
              <w:br/>
              <w:t xml:space="preserve"> Круглосуточный телефон горячей линии фармаконадзора:</w:t>
              <w:br/>
              <w:t xml:space="preserve"> 8-800-77</w:t>
            </w:r>
            <w:r>
              <w:t>7-</w:t>
            </w:r>
            <w:r>
              <w:t>8</w:t>
            </w:r>
            <w:r>
              <w:rPr>
                <w:color w:val="008000"/>
              </w:rPr>
              <w:t>6-04 (бесплатно)</w:t>
              <w:br/>
              <w:t xml:space="preserve"> Электронный адрес: biohimic@biohimic.ru</w:t>
              <w:br/>
              <w:t xml:space="preserve"> Адрес в интернете: www.biohimik.ru</w:t>
            </w:r>
          </w:p>
        </w:tc>
        <w:tc>
          <w:tcPr>
            <w:tcW w:w="7280" w:type="dxa"/>
          </w:tcPr>
          <w:p w14:paraId="60466735" w14:textId="508E7838" w:rsidR="0007116C" w:rsidRDefault="0007116C" w:rsidP="0007116C">
            <w:pPr>
              <w:autoSpaceDE w:val="0"/>
              <w:autoSpaceDN w:val="0"/>
              <w:adjustRightInd w:val="0"/>
              <w:ind w:left="340"/>
              <w:rPr>
                <w:color w:val="FF0000"/>
                <w:sz w:val="28"/>
                <w:szCs w:val="28"/>
              </w:rPr>
            </w:pPr>
            <w:r w:rsidRPr="003D6C68">
              <w:rPr>
                <w:b/>
                <w:sz w:val="24"/>
              </w:rPr>
              <w:t xml:space="preserve">7.1 </w:t>
            </w:r>
            <w:r w:rsidRPr="00B32A72">
              <w:rPr>
                <w:b/>
                <w:sz w:val="24"/>
              </w:rPr>
              <w:t>Представитель держателя регистрационного удостоверения</w:t>
            </w:r>
          </w:p>
          <w:p>
            <w:r>
              <w:t>Претензии потребителей направлять по адресу:</w:t>
              <w:br/>
              <w:t xml:space="preserve"> Российская Федерация</w:t>
              <w:br/>
              <w:t xml:space="preserve"> </w:t>
            </w:r>
            <w:r>
              <w:rPr>
                <w:color w:val="FF0000"/>
              </w:rPr>
              <w:t>ООО НПО «ФармВИЛ</w:t>
            </w:r>
            <w:r>
              <w:t>А</w:t>
            </w:r>
            <w:r>
              <w:rPr>
                <w:color w:val="FF0000"/>
              </w:rPr>
              <w:t>Р»,</w:t>
              <w:br/>
              <w:t xml:space="preserve"> 249096, Калужская обл., Малоярославецкий район, г. Малоярославец, ул. Ко</w:t>
            </w:r>
            <w:r>
              <w:t>м</w:t>
            </w:r>
            <w:r>
              <w:rPr>
                <w:color w:val="FF0000"/>
              </w:rPr>
              <w:t xml:space="preserve">мунистическая, </w:t>
            </w:r>
            <w:r>
              <w:t>д</w:t>
            </w:r>
            <w:r>
              <w:rPr>
                <w:color w:val="FF0000"/>
              </w:rPr>
              <w:t>. 115</w:t>
              <w:br/>
              <w:t xml:space="preserve"> Тел./фак</w:t>
            </w:r>
            <w:r>
              <w:t>с:</w:t>
            </w:r>
            <w:r>
              <w:rPr>
                <w:color w:val="FF0000"/>
              </w:rPr>
              <w:br/>
              <w:br/>
              <w:t>+ 7 (48</w:t>
            </w:r>
            <w:r>
              <w:t>43</w:t>
            </w:r>
            <w:r>
              <w:rPr>
                <w:color w:val="FF0000"/>
              </w:rPr>
              <w:t xml:space="preserve">1) </w:t>
            </w:r>
            <w:r>
              <w:t>2</w:t>
            </w:r>
            <w:r>
              <w:t>-</w:t>
            </w:r>
            <w:r>
              <w:rPr>
                <w:color w:val="FF0000"/>
              </w:rPr>
              <w:t>2</w:t>
            </w:r>
            <w:r>
              <w:t>7-</w:t>
            </w:r>
            <w:r>
              <w:rPr>
                <w:color w:val="FF0000"/>
              </w:rPr>
              <w:t>1</w:t>
            </w:r>
            <w:r>
              <w:t>8</w:t>
            </w:r>
          </w:p>
        </w:tc>
      </w:tr>
      <w:tr w:rsidR="0007116C" w14:paraId="4EA6E94A" w14:textId="77777777" w:rsidTr="00E94612">
        <w:tc>
          <w:tcPr>
            <w:tcW w:w="7280" w:type="dxa"/>
          </w:tcPr>
          <w:p w14:paraId="7C0E4971" w14:textId="2A6C6B72" w:rsidR="0007116C" w:rsidRPr="00B32A72" w:rsidRDefault="0007116C" w:rsidP="0007116C">
            <w:pPr>
              <w:autoSpaceDE w:val="0"/>
              <w:autoSpaceDN w:val="0"/>
              <w:adjustRightInd w:val="0"/>
              <w:ind w:left="113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8. </w:t>
            </w:r>
            <w:r w:rsidRPr="00B32A72">
              <w:rPr>
                <w:b/>
                <w:bCs/>
                <w:sz w:val="23"/>
                <w:szCs w:val="23"/>
              </w:rPr>
              <w:t>НОМЕР РЕГИСТРАЦИОННОГО УДОСТОВЕРЕНИЯ</w:t>
            </w:r>
          </w:p>
          <w:p/>
        </w:tc>
        <w:tc>
          <w:tcPr>
            <w:tcW w:w="7280" w:type="dxa"/>
          </w:tcPr>
          <w:p w14:paraId="4B246797" w14:textId="04A6E938" w:rsidR="0007116C" w:rsidRDefault="0007116C" w:rsidP="0007116C">
            <w:pPr>
              <w:autoSpaceDE w:val="0"/>
              <w:autoSpaceDN w:val="0"/>
              <w:adjustRightInd w:val="0"/>
              <w:ind w:left="113"/>
              <w:rPr>
                <w:color w:val="FF0000"/>
                <w:sz w:val="28"/>
                <w:szCs w:val="28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8. </w:t>
            </w:r>
            <w:r w:rsidRPr="00B32A72">
              <w:rPr>
                <w:b/>
                <w:bCs/>
                <w:sz w:val="23"/>
                <w:szCs w:val="23"/>
              </w:rPr>
              <w:t>НОМЕР РЕГИСТРАЦИОННОГО УДОСТОВЕРЕНИЯ</w:t>
            </w:r>
          </w:p>
          <w:p>
            <w:r>
              <w:rPr>
                <w:color w:val="FF0000"/>
              </w:rPr>
              <w:t>9. КАТЕГОРИЯ ОТПУСКА ЛЕКАРСТВЕННОГО ПРЕПАРАТА</w:t>
              <w:br/>
              <w:t xml:space="preserve"> Лекарственный препарат относится к категории отпуска без рецепта.</w:t>
              <w:br/>
              <w:t xml:space="preserve"> Общая характеристика лекарственного препарата Римантадин доступна в едином реестре зарегистрированных лекарственных средств Евразийского экономического союза и на официальном сайте экспертной организации www.regmed.ru</w:t>
            </w:r>
          </w:p>
        </w:tc>
      </w:tr>
      <w:tr w:rsidR="0007116C" w14:paraId="10FC4832" w14:textId="77777777" w:rsidTr="00E94612">
        <w:tc>
          <w:tcPr>
            <w:tcW w:w="7280" w:type="dxa"/>
          </w:tcPr>
          <w:p w14:paraId="0AE7D1E3" w14:textId="255A2C6F" w:rsidR="0007116C" w:rsidRPr="00B32A72" w:rsidRDefault="0007116C" w:rsidP="0007116C">
            <w:pPr>
              <w:autoSpaceDE w:val="0"/>
              <w:autoSpaceDN w:val="0"/>
              <w:adjustRightInd w:val="0"/>
              <w:ind w:left="113"/>
              <w:rPr>
                <w:b/>
                <w:bCs/>
                <w:sz w:val="23"/>
                <w:szCs w:val="23"/>
              </w:rPr>
            </w:pPr>
            <w:r w:rsidRPr="00B32A72">
              <w:rPr>
                <w:b/>
                <w:bCs/>
                <w:sz w:val="23"/>
                <w:szCs w:val="23"/>
              </w:rPr>
              <w:t>9. ДАТА ПЕРВИЧНОЙ РЕГИСТРАЦИИ (ПОДТВЕРЖДЕНИЯ РЕГИСТРАЦИИ, ПЕРЕРЕГИСТРАЦИИ)</w:t>
            </w:r>
          </w:p>
          <w:p>
            <w:r>
              <w:rPr>
                <w:color w:val="008000"/>
              </w:rPr>
              <w:t>Дата первой регистрации:</w:t>
            </w:r>
          </w:p>
        </w:tc>
        <w:tc>
          <w:tcPr>
            <w:tcW w:w="7280" w:type="dxa"/>
          </w:tcPr>
          <w:p w14:paraId="7A6BB499" w14:textId="124DB9E7" w:rsidR="0007116C" w:rsidRDefault="0007116C" w:rsidP="0007116C">
            <w:pPr>
              <w:autoSpaceDE w:val="0"/>
              <w:autoSpaceDN w:val="0"/>
              <w:adjustRightInd w:val="0"/>
              <w:ind w:left="113"/>
              <w:rPr>
                <w:color w:val="FF0000"/>
                <w:sz w:val="28"/>
                <w:szCs w:val="28"/>
              </w:rPr>
            </w:pPr>
            <w:r w:rsidRPr="00B32A72">
              <w:rPr>
                <w:b/>
                <w:bCs/>
                <w:sz w:val="23"/>
                <w:szCs w:val="23"/>
              </w:rPr>
              <w:t>9. ДАТА ПЕРВИЧНОЙ РЕГИСТРАЦИИ (ПОДТВЕРЖДЕНИЯ РЕГИСТРАЦИИ, ПЕРЕРЕГИСТРАЦИИ)</w:t>
            </w:r>
          </w:p>
          <w:p/>
        </w:tc>
      </w:tr>
      <w:tr w:rsidR="0007116C" w14:paraId="5620AB6E" w14:textId="77777777" w:rsidTr="00E94612">
        <w:tc>
          <w:tcPr>
            <w:tcW w:w="7280" w:type="dxa"/>
          </w:tcPr>
          <w:p w14:paraId="67C92C76" w14:textId="5B71840B" w:rsidR="0007116C" w:rsidRPr="00B32A72" w:rsidRDefault="0007116C" w:rsidP="0007116C">
            <w:pPr>
              <w:autoSpaceDE w:val="0"/>
              <w:autoSpaceDN w:val="0"/>
              <w:adjustRightInd w:val="0"/>
              <w:ind w:left="113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10. </w:t>
            </w:r>
            <w:r w:rsidRPr="00B32A72">
              <w:rPr>
                <w:b/>
                <w:bCs/>
                <w:sz w:val="23"/>
                <w:szCs w:val="23"/>
              </w:rPr>
              <w:t>ДАТА ПЕРЕСМОТРА ТЕКСТА</w:t>
            </w:r>
          </w:p>
          <w:p>
            <w:r>
              <w:rPr>
                <w:color w:val="008000"/>
              </w:rPr>
              <w:t>Общая характеристика лекарственного препарата Ремантадин доступна на информационном портале Евразийского экономического союза в информационнокоммуникационной сети «Интернет» http://eec.eaeunion.org/.</w:t>
            </w:r>
          </w:p>
        </w:tc>
        <w:tc>
          <w:tcPr>
            <w:tcW w:w="7280" w:type="dxa"/>
          </w:tcPr>
          <w:p w14:paraId="2BBB93C5" w14:textId="4AE17B01" w:rsidR="0007116C" w:rsidRDefault="0007116C" w:rsidP="0007116C">
            <w:pPr>
              <w:autoSpaceDE w:val="0"/>
              <w:autoSpaceDN w:val="0"/>
              <w:adjustRightInd w:val="0"/>
              <w:ind w:left="113"/>
              <w:rPr>
                <w:color w:val="FF0000"/>
                <w:sz w:val="28"/>
                <w:szCs w:val="28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 xml:space="preserve">10. </w:t>
            </w:r>
            <w:r w:rsidRPr="00B32A72">
              <w:rPr>
                <w:b/>
                <w:bCs/>
                <w:sz w:val="23"/>
                <w:szCs w:val="23"/>
              </w:rPr>
              <w:t>ДАТА ПЕРЕСМОТРА ТЕКСТА</w:t>
            </w:r>
          </w:p>
          <w:p/>
        </w:tc>
      </w:tr>
    </w:tbl>
    <w:p w14:paraId="33A5440C" w14:textId="77777777" w:rsidR="00FB11A4" w:rsidRDefault="00FB11A4" w:rsidP="000774F1">
      <w:pPr>
        <w:autoSpaceDE w:val="0"/>
        <w:autoSpaceDN w:val="0"/>
        <w:adjustRightInd w:val="0"/>
        <w:ind w:firstLine="567"/>
        <w:jc w:val="both"/>
        <w:rPr>
          <w:iCs/>
          <w:sz w:val="28"/>
          <w:szCs w:val="28"/>
        </w:rPr>
      </w:pPr>
    </w:p>
    <w:p w14:paraId="7CF395D3" w14:textId="77777777" w:rsidR="000774F1" w:rsidRPr="000774F1" w:rsidRDefault="000774F1" w:rsidP="000774F1">
      <w:pPr>
        <w:tabs>
          <w:tab w:val="left" w:pos="1047"/>
        </w:tabs>
        <w:jc w:val="center"/>
        <w:rPr>
          <w:b/>
          <w:bCs/>
          <w:sz w:val="20"/>
        </w:rPr>
      </w:pPr>
    </w:p>
    <w:sectPr w:rsidR="000774F1" w:rsidRPr="000774F1" w:rsidSect="00345710">
      <w:pgSz w:w="16838" w:h="11906" w:orient="landscape"/>
      <w:pgMar w:top="1134" w:right="1134" w:bottom="851" w:left="1134" w:header="709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E80B1C" w14:textId="77777777" w:rsidR="00562D5A" w:rsidRDefault="00562D5A" w:rsidP="00C74AE5">
      <w:r>
        <w:separator/>
      </w:r>
    </w:p>
  </w:endnote>
  <w:endnote w:type="continuationSeparator" w:id="0">
    <w:p w14:paraId="04A2AFC7" w14:textId="77777777" w:rsidR="00562D5A" w:rsidRDefault="00562D5A" w:rsidP="00C74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63203" w14:textId="77777777" w:rsidR="00562D5A" w:rsidRDefault="00562D5A" w:rsidP="00C74AE5">
      <w:r>
        <w:separator/>
      </w:r>
    </w:p>
  </w:footnote>
  <w:footnote w:type="continuationSeparator" w:id="0">
    <w:p w14:paraId="25B9CF29" w14:textId="77777777" w:rsidR="00562D5A" w:rsidRDefault="00562D5A" w:rsidP="00C74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8E6FA" w14:textId="77777777" w:rsidR="00BF4506" w:rsidRPr="00C46EDD" w:rsidRDefault="001B0ECA">
    <w:pPr>
      <w:pStyle w:val="ae"/>
      <w:jc w:val="center"/>
      <w:rPr>
        <w:sz w:val="28"/>
        <w:szCs w:val="28"/>
      </w:rPr>
    </w:pPr>
    <w:r w:rsidRPr="00C46EDD">
      <w:rPr>
        <w:sz w:val="28"/>
        <w:szCs w:val="28"/>
      </w:rPr>
      <w:fldChar w:fldCharType="begin"/>
    </w:r>
    <w:r w:rsidRPr="00C46EDD">
      <w:rPr>
        <w:sz w:val="28"/>
        <w:szCs w:val="28"/>
      </w:rPr>
      <w:instrText xml:space="preserve"> PAGE   \* MERGEFORMAT </w:instrText>
    </w:r>
    <w:r w:rsidRPr="00C46EDD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C46EDD">
      <w:rPr>
        <w:sz w:val="28"/>
        <w:szCs w:val="28"/>
      </w:rPr>
      <w:fldChar w:fldCharType="end"/>
    </w:r>
  </w:p>
  <w:p w14:paraId="54B20206" w14:textId="77777777" w:rsidR="00BF4506" w:rsidRDefault="00BF4506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94218"/>
    <w:multiLevelType w:val="multilevel"/>
    <w:tmpl w:val="B80074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128368A9"/>
    <w:multiLevelType w:val="multilevel"/>
    <w:tmpl w:val="B80074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85B0734"/>
    <w:multiLevelType w:val="hybridMultilevel"/>
    <w:tmpl w:val="0318E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923F18"/>
    <w:multiLevelType w:val="hybridMultilevel"/>
    <w:tmpl w:val="BB543FF8"/>
    <w:lvl w:ilvl="0" w:tplc="BE3C9586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" w15:restartNumberingAfterBreak="0">
    <w:nsid w:val="22AD0D45"/>
    <w:multiLevelType w:val="hybridMultilevel"/>
    <w:tmpl w:val="E5D47B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B85E7C"/>
    <w:multiLevelType w:val="multilevel"/>
    <w:tmpl w:val="F6C0C77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B1B66F8"/>
    <w:multiLevelType w:val="hybridMultilevel"/>
    <w:tmpl w:val="DEC002AA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540030"/>
    <w:multiLevelType w:val="hybridMultilevel"/>
    <w:tmpl w:val="468A91E4"/>
    <w:lvl w:ilvl="0" w:tplc="D81C24FC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8" w15:restartNumberingAfterBreak="0">
    <w:nsid w:val="67F624F6"/>
    <w:multiLevelType w:val="hybridMultilevel"/>
    <w:tmpl w:val="DFAC8AFE"/>
    <w:lvl w:ilvl="0" w:tplc="041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DA5D33"/>
    <w:multiLevelType w:val="hybridMultilevel"/>
    <w:tmpl w:val="B0E252BA"/>
    <w:lvl w:ilvl="0" w:tplc="5506545C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0" w15:restartNumberingAfterBreak="0">
    <w:nsid w:val="6F211C8F"/>
    <w:multiLevelType w:val="hybridMultilevel"/>
    <w:tmpl w:val="CAD4C2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D67FD0"/>
    <w:multiLevelType w:val="multilevel"/>
    <w:tmpl w:val="47669D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FA95858"/>
    <w:multiLevelType w:val="hybridMultilevel"/>
    <w:tmpl w:val="1F9C1E60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98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5634585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12655810">
    <w:abstractNumId w:val="0"/>
  </w:num>
  <w:num w:numId="4" w16cid:durableId="653532769">
    <w:abstractNumId w:val="5"/>
  </w:num>
  <w:num w:numId="5" w16cid:durableId="2048674257">
    <w:abstractNumId w:val="12"/>
  </w:num>
  <w:num w:numId="6" w16cid:durableId="601374872">
    <w:abstractNumId w:val="6"/>
  </w:num>
  <w:num w:numId="7" w16cid:durableId="377168461">
    <w:abstractNumId w:val="8"/>
  </w:num>
  <w:num w:numId="8" w16cid:durableId="1357928677">
    <w:abstractNumId w:val="11"/>
  </w:num>
  <w:num w:numId="9" w16cid:durableId="1171065159">
    <w:abstractNumId w:val="1"/>
  </w:num>
  <w:num w:numId="10" w16cid:durableId="1605065670">
    <w:abstractNumId w:val="2"/>
  </w:num>
  <w:num w:numId="11" w16cid:durableId="1917392890">
    <w:abstractNumId w:val="4"/>
  </w:num>
  <w:num w:numId="12" w16cid:durableId="265968212">
    <w:abstractNumId w:val="7"/>
  </w:num>
  <w:num w:numId="13" w16cid:durableId="746657296">
    <w:abstractNumId w:val="3"/>
  </w:num>
  <w:num w:numId="14" w16cid:durableId="10139971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B12"/>
    <w:rsid w:val="000529AD"/>
    <w:rsid w:val="0006497D"/>
    <w:rsid w:val="0007116C"/>
    <w:rsid w:val="000774F1"/>
    <w:rsid w:val="000B1B12"/>
    <w:rsid w:val="000C78F6"/>
    <w:rsid w:val="00173FF2"/>
    <w:rsid w:val="001B0ECA"/>
    <w:rsid w:val="00205CF6"/>
    <w:rsid w:val="00226950"/>
    <w:rsid w:val="00246528"/>
    <w:rsid w:val="003319CA"/>
    <w:rsid w:val="00345710"/>
    <w:rsid w:val="00371EFA"/>
    <w:rsid w:val="003720D7"/>
    <w:rsid w:val="00376F9C"/>
    <w:rsid w:val="003807DE"/>
    <w:rsid w:val="003D6C68"/>
    <w:rsid w:val="004B7813"/>
    <w:rsid w:val="005361E5"/>
    <w:rsid w:val="00562D5A"/>
    <w:rsid w:val="00577D01"/>
    <w:rsid w:val="005D25A2"/>
    <w:rsid w:val="00606AEF"/>
    <w:rsid w:val="00622B6B"/>
    <w:rsid w:val="00674B2F"/>
    <w:rsid w:val="006C0B77"/>
    <w:rsid w:val="00714AA5"/>
    <w:rsid w:val="00724547"/>
    <w:rsid w:val="007835D3"/>
    <w:rsid w:val="007B1FD4"/>
    <w:rsid w:val="008232B2"/>
    <w:rsid w:val="008242FF"/>
    <w:rsid w:val="008648E4"/>
    <w:rsid w:val="00870751"/>
    <w:rsid w:val="00922C48"/>
    <w:rsid w:val="00932124"/>
    <w:rsid w:val="009D7283"/>
    <w:rsid w:val="00A16227"/>
    <w:rsid w:val="00AC3A98"/>
    <w:rsid w:val="00AD16C2"/>
    <w:rsid w:val="00AE40AD"/>
    <w:rsid w:val="00B22FDF"/>
    <w:rsid w:val="00B32A72"/>
    <w:rsid w:val="00B915B7"/>
    <w:rsid w:val="00B92EF4"/>
    <w:rsid w:val="00BD06FB"/>
    <w:rsid w:val="00BF4506"/>
    <w:rsid w:val="00C13B68"/>
    <w:rsid w:val="00C17D40"/>
    <w:rsid w:val="00C74AE5"/>
    <w:rsid w:val="00C86F15"/>
    <w:rsid w:val="00C96E55"/>
    <w:rsid w:val="00D01840"/>
    <w:rsid w:val="00D4319B"/>
    <w:rsid w:val="00D86F35"/>
    <w:rsid w:val="00DC262A"/>
    <w:rsid w:val="00E52579"/>
    <w:rsid w:val="00E52DCB"/>
    <w:rsid w:val="00E64A95"/>
    <w:rsid w:val="00EA59DF"/>
    <w:rsid w:val="00EB200F"/>
    <w:rsid w:val="00EE17ED"/>
    <w:rsid w:val="00EE4070"/>
    <w:rsid w:val="00F12C76"/>
    <w:rsid w:val="00F84A5E"/>
    <w:rsid w:val="00F85B35"/>
    <w:rsid w:val="00FB11A4"/>
    <w:rsid w:val="00FD2C3D"/>
    <w:rsid w:val="00FF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49E4E"/>
  <w15:chartTrackingRefBased/>
  <w15:docId w15:val="{A4ACFEB1-A37F-4B5D-BCA9-7D6E8A473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3B68"/>
    <w:pPr>
      <w:spacing w:after="0" w:line="240" w:lineRule="auto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B1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1B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1B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1B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1B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1B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1B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1B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1B1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1B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1B1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1B1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B1B1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B1B1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B1B1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B1B1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B1B1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B1B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1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1B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1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1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1B1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B1B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1B1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1B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1B1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B1B12"/>
    <w:rPr>
      <w:b/>
      <w:bCs/>
      <w:smallCaps/>
      <w:color w:val="2E74B5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C74AE5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C74AE5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ae">
    <w:name w:val="header"/>
    <w:basedOn w:val="a"/>
    <w:link w:val="af"/>
    <w:uiPriority w:val="99"/>
    <w:unhideWhenUsed/>
    <w:rsid w:val="00C74AE5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C74AE5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af0">
    <w:name w:val="Normal (Web)"/>
    <w:basedOn w:val="a"/>
    <w:uiPriority w:val="99"/>
    <w:semiHidden/>
    <w:unhideWhenUsed/>
    <w:rsid w:val="00C74AE5"/>
    <w:pPr>
      <w:spacing w:before="100" w:beforeAutospacing="1" w:after="100" w:afterAutospacing="1"/>
    </w:pPr>
    <w:rPr>
      <w:sz w:val="24"/>
      <w:szCs w:val="24"/>
    </w:rPr>
  </w:style>
  <w:style w:type="paragraph" w:customStyle="1" w:styleId="Default">
    <w:name w:val="Default"/>
    <w:rsid w:val="00C74AE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table" w:styleId="af1">
    <w:name w:val="Table Grid"/>
    <w:basedOn w:val="a1"/>
    <w:uiPriority w:val="39"/>
    <w:rsid w:val="00FB11A4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FB11A4"/>
    <w:rPr>
      <w:color w:val="0563C1" w:themeColor="hyperlink"/>
      <w:u w:val="single"/>
    </w:rPr>
  </w:style>
  <w:style w:type="character" w:styleId="af3">
    <w:name w:val="FollowedHyperlink"/>
    <w:basedOn w:val="a0"/>
    <w:uiPriority w:val="99"/>
    <w:semiHidden/>
    <w:unhideWhenUsed/>
    <w:rsid w:val="00FB11A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2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0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3</Pages>
  <Words>675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GKO</dc:creator>
  <cp:keywords/>
  <dc:description/>
  <cp:lastModifiedBy>GKO</cp:lastModifiedBy>
  <cp:revision>36</cp:revision>
  <dcterms:created xsi:type="dcterms:W3CDTF">2025-04-18T13:16:00Z</dcterms:created>
  <dcterms:modified xsi:type="dcterms:W3CDTF">2025-09-04T15:51:00Z</dcterms:modified>
</cp:coreProperties>
</file>