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z7jmzwbxzt5" w:id="0"/>
      <w:bookmarkEnd w:id="0"/>
      <w:r w:rsidDel="00000000" w:rsidR="00000000" w:rsidRPr="00000000">
        <w:rPr>
          <w:b w:val="1"/>
          <w:bCs w:val="1"/>
          <w:sz w:val="46"/>
          <w:szCs w:val="46"/>
          <w:rtl w:val="0"/>
        </w:rPr>
        <w:t xml:space="preserve">Literature Review</w:t>
      </w:r>
    </w:p>
    <w:p w:rsidR="00000000" w:rsidDel="00000000" w:rsidP="00000000" w:rsidRDefault="00000000" w:rsidRPr="00000000" w14:paraId="00000002">
      <w:pPr>
        <w:spacing w:after="240" w:before="240" w:lineRule="auto"/>
        <w:rPr/>
      </w:pPr>
      <w:r w:rsidDel="00000000" w:rsidR="00000000" w:rsidRPr="00000000">
        <w:rPr>
          <w:rtl w:val="0"/>
        </w:rPr>
        <w:t xml:space="preserve">Anyone who has worked with healthcare cost data knows the fundamental problem: the distribution is a mess. Costs are strictly positive, heavily right-skewed, and the variance changes depending on where you are in the distribution. This violates the assumptions we rely on for ordinary least squares, which creates a real methodological question about which regression approach actually works best for insurance pricing and population health applications (Malehi et al., 2015). This review synthesizes what the research tells us about modeling approaches, the predictors that consistently matter, and where the current investigation fits within the broader literature.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khagaq4arnb" w:id="1"/>
      <w:bookmarkEnd w:id="1"/>
      <w:r w:rsidDel="00000000" w:rsidR="00000000" w:rsidRPr="00000000">
        <w:rPr>
          <w:b w:val="1"/>
          <w:bCs w:val="1"/>
          <w:sz w:val="34"/>
          <w:szCs w:val="34"/>
          <w:rtl w:val="0"/>
        </w:rPr>
        <w:t xml:space="preserve">The Case for GLM Over OLS</w:t>
      </w:r>
    </w:p>
    <w:p w:rsidR="00000000" w:rsidDel="00000000" w:rsidP="00000000" w:rsidRDefault="00000000" w:rsidRPr="00000000" w14:paraId="00000004">
      <w:pPr>
        <w:spacing w:after="240" w:before="240" w:lineRule="auto"/>
        <w:rPr/>
      </w:pPr>
      <w:r w:rsidDel="00000000" w:rsidR="00000000" w:rsidRPr="00000000">
        <w:rPr>
          <w:rtl w:val="0"/>
        </w:rPr>
        <w:t xml:space="preserve">The choice of regression framework matters more than many analysts realize. Malehi et al. (2015) ran a Monte Carlo simulation with 10,000 replications comparing OLS on log-transformed costs against Gamma GLM with log link and Weibull GLM specifications. The results were clear: Gamma regression produced the smallest biases and most robust predictions regardless of the underlying data distribution. The practical issue with log-transforming the outcome and running OLS is retransformation bias. When you need to convert predictions back to the original dollar scale, you introduce systematic error that GLMs avoid entirely by modeling the conditional mean directly. This finding has shaped how I think about cost modeling and suggests we should be fitting GLMs alongside traditional linear regression rather than defaulting to OLS with transformed outcomes.</w:t>
      </w:r>
    </w:p>
    <w:p w:rsidR="00000000" w:rsidDel="00000000" w:rsidP="00000000" w:rsidRDefault="00000000" w:rsidRPr="00000000" w14:paraId="00000005">
      <w:pPr>
        <w:spacing w:after="240" w:before="240" w:lineRule="auto"/>
        <w:rPr/>
      </w:pPr>
      <w:r w:rsidDel="00000000" w:rsidR="00000000" w:rsidRPr="00000000">
        <w:rPr>
          <w:rtl w:val="0"/>
        </w:rPr>
        <w:t xml:space="preserve">Two-part models offer another approach, particularly when dealing with claims data where many observations have zero costs. Ward et al. (2021) used this specification on Medical Expenditure Panel Survey data from 2011 to 2016 (N = 175,726), combining logistic regression for the probability of any expenditure with linear regression of log costs in the second stage. They added ridge regression for regularization and generalized additive models with cubic splines to capture non-linear BMI effects. What they found was a J-shaped relationship between BMI and costs, with the minimum around BMI 20.5 for females and 23.5 for males. Above BMI 30, each additional unit added $253 in annual excess costs, which accumulates to $1,861 for obesity and $3,097 for severe obesity per adult per year. These are the kinds of concrete effect sizes that matter for actuarial work.</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n7u1wm2qqgh" w:id="2"/>
      <w:bookmarkEnd w:id="2"/>
      <w:r w:rsidDel="00000000" w:rsidR="00000000" w:rsidRPr="00000000">
        <w:rPr>
          <w:b w:val="1"/>
          <w:bCs w:val="1"/>
          <w:sz w:val="34"/>
          <w:szCs w:val="34"/>
          <w:rtl w:val="0"/>
        </w:rPr>
        <w:t xml:space="preserve">Predictors That Actually Move the Needle</w:t>
      </w:r>
    </w:p>
    <w:p w:rsidR="00000000" w:rsidDel="00000000" w:rsidP="00000000" w:rsidRDefault="00000000" w:rsidRPr="00000000" w14:paraId="00000007">
      <w:pPr>
        <w:spacing w:after="240" w:before="240" w:lineRule="auto"/>
        <w:rPr/>
      </w:pPr>
      <w:r w:rsidDel="00000000" w:rsidR="00000000" w:rsidRPr="00000000">
        <w:rPr>
          <w:rtl w:val="0"/>
        </w:rPr>
        <w:t xml:space="preserve">Across every study I reviewed, smoking status, BMI, and age emerged as the dominant predictors of individual medical costs. But the relationships are not additive, and that is where things get interesting. Borah et al. (2013) applied unconditional quantile regression to Mayo Clinic employee data (N = 19,492) and found that obesity and smoking effects explode at the upper tails of the cost distribution. At the 90th percentile, morbid obesity contributed $33,134 in excess five-year costs compared to just $248 at the 10th percentile. When they fit a traditional Gamma GLM, it estimated only $11,121 for those same high-cost patients. This demonstrates how mean-focused regression can completely miss the true burden among the patients who actually drive costs in any insurance pool. For risk stratification, understanding these tail effects is arguably more important than getting the average right.</w:t>
      </w:r>
    </w:p>
    <w:p w:rsidR="00000000" w:rsidDel="00000000" w:rsidP="00000000" w:rsidRDefault="00000000" w:rsidRPr="00000000" w14:paraId="00000008">
      <w:pPr>
        <w:spacing w:after="240" w:before="240" w:lineRule="auto"/>
        <w:rPr/>
      </w:pPr>
      <w:r w:rsidDel="00000000" w:rsidR="00000000" w:rsidRPr="00000000">
        <w:rPr>
          <w:rtl w:val="0"/>
        </w:rPr>
        <w:t xml:space="preserve">The smoking-BMI interaction is the single most actionable finding in this literature. Studies using the Medical Cost Personal Dataset show that smokers have mean charges roughly four times higher than non-smokers ($32,050 versus $8,434). But the key insight is that BMI amplifies costs far more steeply among smokers than non-smokers, creating distinct high-cost clusters that are immediately visible in exploratory analysis. When you add an explicit interaction term for smoker × BMI, R² jumps from approximately 0.74 to 0.83 (Kumar et al., 2022). That is a meaningful improvement from a single feature engineering decision, and it is the kind of practical finding that translates directly to model specification choices.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kus67fr8cpm7" w:id="3"/>
      <w:bookmarkEnd w:id="3"/>
      <w:r w:rsidDel="00000000" w:rsidR="00000000" w:rsidRPr="00000000">
        <w:rPr>
          <w:b w:val="1"/>
          <w:bCs w:val="1"/>
          <w:sz w:val="34"/>
          <w:szCs w:val="34"/>
          <w:rtl w:val="0"/>
        </w:rPr>
        <w:t xml:space="preserve">Where Machine Learning Fits</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The natural question is whether machine learning methods outperform traditional regression for this problem. Morid et al. (2017) benchmarked eleven algorithms on University of Utah Health Plans claims data (N ≈ 90,000) with 20-fold cross-validation. Gradient boosting performed best overall with MAPE of 0.65 and R² of 0.46, beating neural networks (R² = 0.44), ridge regression (R² = 0.41), and random forest (R² = 0.40). The interesting nuance is that neural networks actually performed best for the highest-cost patient segment, which suggests the right algorithm depends on which part of the cost distribution you care most about predicting accurately.</w:t>
      </w:r>
    </w:p>
    <w:p w:rsidR="00000000" w:rsidDel="00000000" w:rsidP="00000000" w:rsidRDefault="00000000" w:rsidRPr="00000000" w14:paraId="0000000B">
      <w:pPr>
        <w:spacing w:after="240" w:before="240" w:lineRule="auto"/>
        <w:rPr/>
      </w:pPr>
      <w:r w:rsidDel="00000000" w:rsidR="00000000" w:rsidRPr="00000000">
        <w:rPr>
          <w:rtl w:val="0"/>
        </w:rPr>
        <w:t xml:space="preserve">Kumar et al. (2022) pushed this further by applying a five-layer neural network to the same Kaggle Medical Cost Personal Dataset we are using, achieving R² of 0.927 compared to 0.751 for linear regression. That is a substantial improvement, though the small sample size (N = 1,338) and single-dataset evaluation warrant some caution about generalizability. Orji and Ukwandu (2024) added interpretability to the ML comparison using SHAP analysis with XGBoost, confirming that age and BMI dominate the feature importance rankings. They noted that individual conditional expectation plots revealed interaction effects that global SHAP summaries missed, which highlights the ongoing tension between predictive power and interpretability in healthcare analytics.</w:t>
      </w:r>
    </w:p>
    <w:p w:rsidR="00000000" w:rsidDel="00000000" w:rsidP="00000000" w:rsidRDefault="00000000" w:rsidRPr="00000000" w14:paraId="0000000C">
      <w:pPr>
        <w:spacing w:after="240" w:before="240" w:lineRule="auto"/>
        <w:rPr/>
      </w:pPr>
      <w:r w:rsidDel="00000000" w:rsidR="00000000" w:rsidRPr="00000000">
        <w:rPr>
          <w:rtl w:val="0"/>
        </w:rPr>
        <w:t xml:space="preserve">At scale, deep learning shows real promise. Drewe-Boss et al. (2022) trained a neural network ensemble on German health insurance claims with 1.4 million patients and over 333,000 features per patient derived from ICD-10 codes, medications, and demographics. Their architecture beat ridge regression across R², Pearson correlation, and MAE. The most recent clinical features contributed disproportionately to prediction accuracy, which aligns with intuition about how healthcare utilization patterns evolve over time.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pw5zr3dr728u" w:id="4"/>
      <w:bookmarkEnd w:id="4"/>
      <w:r w:rsidDel="00000000" w:rsidR="00000000" w:rsidRPr="00000000">
        <w:rPr>
          <w:b w:val="1"/>
          <w:bCs w:val="1"/>
          <w:sz w:val="34"/>
          <w:szCs w:val="34"/>
          <w:rtl w:val="0"/>
        </w:rPr>
        <w:t xml:space="preserve">What This Project Contributes</w:t>
      </w:r>
    </w:p>
    <w:p w:rsidR="00000000" w:rsidDel="00000000" w:rsidP="00000000" w:rsidRDefault="00000000" w:rsidRPr="00000000" w14:paraId="0000000E">
      <w:pPr>
        <w:spacing w:after="240" w:before="240" w:lineRule="auto"/>
        <w:rPr/>
      </w:pPr>
      <w:r w:rsidDel="00000000" w:rsidR="00000000" w:rsidRPr="00000000">
        <w:rPr>
          <w:rtl w:val="0"/>
        </w:rPr>
        <w:t xml:space="preserve">This investigation addresses a specific gap: while prior studies identify smoking and BMI as independent predictors, few have systematically evaluated the interaction effect alongside polynomial terms and GLM specifications within a single comparative framework. The approach follows the methodological recommendations from Malehi et al. (2015) by considering Gamma GLM alongside OLS, while incorporating the interaction term strategy that Kumar et al. (2022) validated. By benchmarking multiple specifications on the same dataset with consistent train-test splits, the goal is to provide a practical reference for practitioners deciding among competing model architectures for insurance cost prediction.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jnki9jjfpy6" w:id="5"/>
      <w:bookmarkEnd w:id="5"/>
      <w:r w:rsidDel="00000000" w:rsidR="00000000" w:rsidRPr="00000000">
        <w:rPr>
          <w:b w:val="1"/>
          <w:bCs w:val="1"/>
          <w:sz w:val="34"/>
          <w:szCs w:val="34"/>
          <w:rtl w:val="0"/>
        </w:rPr>
        <w:t xml:space="preserve">References</w:t>
      </w:r>
    </w:p>
    <w:p w:rsidR="00000000" w:rsidDel="00000000" w:rsidP="00000000" w:rsidRDefault="00000000" w:rsidRPr="00000000" w14:paraId="00000010">
      <w:pPr>
        <w:spacing w:after="240" w:before="240" w:lineRule="auto"/>
        <w:rPr/>
      </w:pPr>
      <w:r w:rsidDel="00000000" w:rsidR="00000000" w:rsidRPr="00000000">
        <w:rPr>
          <w:rtl w:val="0"/>
        </w:rPr>
        <w:t xml:space="preserve">Borah, B., Naessens, J., Olsen, K., &amp; Shah, N. (2013). Explaining obesity- and smoking-related healthcare costs through unconditional quantile regression. </w:t>
      </w:r>
      <w:r w:rsidDel="00000000" w:rsidR="00000000" w:rsidRPr="00000000">
        <w:rPr>
          <w:i w:val="1"/>
          <w:iCs w:val="1"/>
          <w:rtl w:val="0"/>
        </w:rPr>
        <w:t xml:space="preserve">Journal of Health Economics and Outcomes Research</w:t>
      </w:r>
      <w:r w:rsidDel="00000000" w:rsidR="00000000" w:rsidRPr="00000000">
        <w:rPr>
          <w:rtl w:val="0"/>
        </w:rPr>
        <w:t xml:space="preserve">, 1(1), 23-41.</w:t>
      </w:r>
    </w:p>
    <w:p w:rsidR="00000000" w:rsidDel="00000000" w:rsidP="00000000" w:rsidRDefault="00000000" w:rsidRPr="00000000" w14:paraId="00000011">
      <w:pPr>
        <w:spacing w:after="240" w:before="240" w:lineRule="auto"/>
        <w:rPr/>
      </w:pPr>
      <w:r w:rsidDel="00000000" w:rsidR="00000000" w:rsidRPr="00000000">
        <w:rPr>
          <w:rtl w:val="0"/>
        </w:rPr>
        <w:t xml:space="preserve">Drewe-Boss, P., Enders, D., Walker, J., &amp; Ohler, U. (2022). Deep learning for prediction of population health costs. </w:t>
      </w:r>
      <w:r w:rsidDel="00000000" w:rsidR="00000000" w:rsidRPr="00000000">
        <w:rPr>
          <w:i w:val="1"/>
          <w:iCs w:val="1"/>
          <w:rtl w:val="0"/>
        </w:rPr>
        <w:t xml:space="preserve">BMC Medical Informatics and Decision Making</w:t>
      </w:r>
      <w:r w:rsidDel="00000000" w:rsidR="00000000" w:rsidRPr="00000000">
        <w:rPr>
          <w:rtl w:val="0"/>
        </w:rPr>
        <w:t xml:space="preserve">, 22, Article 32. https://doi.org/10.1186/s12911-021-01743-z</w:t>
      </w:r>
    </w:p>
    <w:p w:rsidR="00000000" w:rsidDel="00000000" w:rsidP="00000000" w:rsidRDefault="00000000" w:rsidRPr="00000000" w14:paraId="00000012">
      <w:pPr>
        <w:spacing w:after="240" w:before="240" w:lineRule="auto"/>
        <w:rPr/>
      </w:pPr>
      <w:r w:rsidDel="00000000" w:rsidR="00000000" w:rsidRPr="00000000">
        <w:rPr>
          <w:rtl w:val="0"/>
        </w:rPr>
        <w:t xml:space="preserve">Kumar, K., Bajaj, A., Dwivedi, A.D., &amp; Singh, R. (2022). Machine learning-based regression framework to predict health insurance premiums. </w:t>
      </w:r>
      <w:r w:rsidDel="00000000" w:rsidR="00000000" w:rsidRPr="00000000">
        <w:rPr>
          <w:i w:val="1"/>
          <w:iCs w:val="1"/>
          <w:rtl w:val="0"/>
        </w:rPr>
        <w:t xml:space="preserve">International Journal of Environmental Research and Public Health</w:t>
      </w:r>
      <w:r w:rsidDel="00000000" w:rsidR="00000000" w:rsidRPr="00000000">
        <w:rPr>
          <w:rtl w:val="0"/>
        </w:rPr>
        <w:t xml:space="preserve">, 19(13), Article 7898. https://doi.org/10.3390/ijerph19137898</w:t>
      </w:r>
    </w:p>
    <w:p w:rsidR="00000000" w:rsidDel="00000000" w:rsidP="00000000" w:rsidRDefault="00000000" w:rsidRPr="00000000" w14:paraId="00000013">
      <w:pPr>
        <w:spacing w:after="240" w:before="240" w:lineRule="auto"/>
        <w:rPr/>
      </w:pPr>
      <w:r w:rsidDel="00000000" w:rsidR="00000000" w:rsidRPr="00000000">
        <w:rPr>
          <w:rtl w:val="0"/>
        </w:rPr>
        <w:t xml:space="preserve">Malehi, A.S., Pourmotahari, F., &amp; Angali, K.A. (2015). Statistical models for the analysis of skewed healthcare cost data: A simulation study. </w:t>
      </w:r>
      <w:r w:rsidDel="00000000" w:rsidR="00000000" w:rsidRPr="00000000">
        <w:rPr>
          <w:i w:val="1"/>
          <w:iCs w:val="1"/>
          <w:rtl w:val="0"/>
        </w:rPr>
        <w:t xml:space="preserve">Health Economics Review</w:t>
      </w:r>
      <w:r w:rsidDel="00000000" w:rsidR="00000000" w:rsidRPr="00000000">
        <w:rPr>
          <w:rtl w:val="0"/>
        </w:rPr>
        <w:t xml:space="preserve">, 5, Article 11. https://doi.org/10.1186/s13561-015-0045-7</w:t>
      </w:r>
    </w:p>
    <w:p w:rsidR="00000000" w:rsidDel="00000000" w:rsidP="00000000" w:rsidRDefault="00000000" w:rsidRPr="00000000" w14:paraId="00000014">
      <w:pPr>
        <w:spacing w:after="240" w:before="240" w:lineRule="auto"/>
        <w:rPr/>
      </w:pPr>
      <w:r w:rsidDel="00000000" w:rsidR="00000000" w:rsidRPr="00000000">
        <w:rPr>
          <w:rtl w:val="0"/>
        </w:rPr>
        <w:t xml:space="preserve">Morid, M.A., Kawamoto, K., Ault, T., Dorius, J., &amp; Abdelrahman, S. (2017). Supervised learning methods for predicting healthcare costs: Systematic literature review and empirical evaluation. </w:t>
      </w:r>
      <w:r w:rsidDel="00000000" w:rsidR="00000000" w:rsidRPr="00000000">
        <w:rPr>
          <w:i w:val="1"/>
          <w:iCs w:val="1"/>
          <w:rtl w:val="0"/>
        </w:rPr>
        <w:t xml:space="preserve">AMIA Annual Symposium Proceedings</w:t>
      </w:r>
      <w:r w:rsidDel="00000000" w:rsidR="00000000" w:rsidRPr="00000000">
        <w:rPr>
          <w:rtl w:val="0"/>
        </w:rPr>
        <w:t xml:space="preserve">, 2017, 1759-1768.</w:t>
      </w:r>
    </w:p>
    <w:p w:rsidR="00000000" w:rsidDel="00000000" w:rsidP="00000000" w:rsidRDefault="00000000" w:rsidRPr="00000000" w14:paraId="00000015">
      <w:pPr>
        <w:spacing w:after="240" w:before="240" w:lineRule="auto"/>
        <w:rPr/>
      </w:pPr>
      <w:r w:rsidDel="00000000" w:rsidR="00000000" w:rsidRPr="00000000">
        <w:rPr>
          <w:rtl w:val="0"/>
        </w:rPr>
        <w:t xml:space="preserve">Orji, U., &amp; Ukwandu, E. (2024). Machine learning for an explainable cost prediction of medical insurance. </w:t>
      </w:r>
      <w:r w:rsidDel="00000000" w:rsidR="00000000" w:rsidRPr="00000000">
        <w:rPr>
          <w:i w:val="1"/>
          <w:iCs w:val="1"/>
          <w:rtl w:val="0"/>
        </w:rPr>
        <w:t xml:space="preserve">Machine Learning with Applications</w:t>
      </w:r>
      <w:r w:rsidDel="00000000" w:rsidR="00000000" w:rsidRPr="00000000">
        <w:rPr>
          <w:rtl w:val="0"/>
        </w:rPr>
        <w:t xml:space="preserve">, 15, Article 100516. https://doi.org/10.1016/j.mlwa.2023.100516</w:t>
      </w:r>
    </w:p>
    <w:p w:rsidR="00000000" w:rsidDel="00000000" w:rsidP="00000000" w:rsidRDefault="00000000" w:rsidRPr="00000000" w14:paraId="00000016">
      <w:pPr>
        <w:spacing w:after="240" w:before="240" w:lineRule="auto"/>
        <w:rPr/>
      </w:pPr>
      <w:r w:rsidDel="00000000" w:rsidR="00000000" w:rsidRPr="00000000">
        <w:rPr>
          <w:rtl w:val="0"/>
        </w:rPr>
        <w:t xml:space="preserve">Ward, Z.J., Bleich, S.N., Long, M.W., &amp; Gortmaker, S.L. (2021). Association of body mass index with health care expenditures in the United States by age and sex. </w:t>
      </w:r>
      <w:r w:rsidDel="00000000" w:rsidR="00000000" w:rsidRPr="00000000">
        <w:rPr>
          <w:i w:val="1"/>
          <w:iCs w:val="1"/>
          <w:rtl w:val="0"/>
        </w:rPr>
        <w:t xml:space="preserve">PLOS ONE</w:t>
      </w:r>
      <w:r w:rsidDel="00000000" w:rsidR="00000000" w:rsidRPr="00000000">
        <w:rPr>
          <w:rtl w:val="0"/>
        </w:rPr>
        <w:t xml:space="preserve">, 16(3), Article e0247307. https://doi.org/10.1371/journal.pone.0247307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