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Adult Income Data Cleaning and EDA</w:t>
      </w:r>
    </w:p>
    <w:p>
      <w:pPr>
        <w:jc w:val="center"/>
      </w:pPr>
      <w:r>
        <w:t>Exploratory Data Analysis Report</w:t>
      </w:r>
    </w:p>
    <w:p>
      <w:pPr>
        <w:pStyle w:val="Heading1"/>
      </w:pPr>
      <w:r>
        <w:t>1. Project Overview</w:t>
      </w:r>
    </w:p>
    <w:p>
      <w:r>
        <w:t>This project uses the UCI Adult Income dataset to perform data collection, data cleaning, validation, feature engineering, and exploratory data analysis.</w:t>
      </w:r>
    </w:p>
    <w:p>
      <w:r>
        <w:t>The analysis combines the official adult.data and adult.test files into a dataset containing 48,842 records.</w:t>
      </w:r>
    </w:p>
    <w:p>
      <w:r>
        <w:t>The main question is: Which demographic, education, and work characteristics are associated with an annual income above USD 50K?</w:t>
      </w:r>
    </w:p>
    <w:p>
      <w:pPr>
        <w:pStyle w:val="Heading1"/>
      </w:pPr>
      <w:r>
        <w:t>2. Data Cleaning</w:t>
      </w:r>
    </w:p>
    <w:p>
      <w:r>
        <w:t>The two official UCI data partitions were combined while preserving the source split for traceability.</w:t>
      </w:r>
    </w:p>
    <w:p>
      <w:r>
        <w:t>Leading and trailing whitespace was removed from categorical values. The original '?' marker and empty text were treated as missing values.</w:t>
      </w:r>
    </w:p>
    <w:p>
      <w:r>
        <w:t>Missing workclass, occupation, and native_country values were replaced with 'Unknown' so that records were retained.</w:t>
      </w:r>
    </w:p>
    <w:p>
      <w:r>
        <w:t>Numeric columns were converted to appropriate numeric types and core numeric values were validated.</w:t>
      </w:r>
    </w:p>
    <w:p>
      <w:r>
        <w:t>After cleaning, the final dataset contained 48,842 records and 20 columns.</w:t>
      </w:r>
    </w:p>
    <w:p>
      <w:r>
        <w:t>The final dataset contains 0 remaining missing values.</w:t>
      </w:r>
    </w:p>
    <w:p>
      <w:r>
        <w:t>29 exact duplicate rows were identified and retained because the dataset does not contain a unique person identifier.</w:t>
      </w:r>
    </w:p>
    <w:p>
      <w:pPr>
        <w:pStyle w:val="Heading1"/>
      </w:pPr>
      <w:r>
        <w:t>3. Overall Income Distribution</w:t>
      </w:r>
    </w:p>
    <w:p>
      <w:r>
        <w:t>The dataset contains 48,842 records. 11,687 records have income above USD 50K, while 37,155 records have income at or below USD 50K.</w:t>
      </w:r>
    </w:p>
    <w:p>
      <w:r>
        <w:t>The above-USD-50K rate is 23.93%.</w:t>
      </w:r>
    </w:p>
    <w:p>
      <w:pPr>
        <w:pStyle w:val="Heading1"/>
      </w:pPr>
      <w:r>
        <w:t>4. Education and Income</w:t>
      </w:r>
    </w:p>
    <w:p>
      <w:r>
        <w:t>The above-USD-50K rate varies across education categories. The education summary table was calculated using the proportion of records with the high_income flag equal to 1.</w:t>
      </w:r>
    </w:p>
    <w:p>
      <w:r>
        <w:t>The results describe differences in income-group proportions across education categories and do not establish causation.</w:t>
      </w:r>
    </w:p>
    <w:p>
      <w:pPr>
        <w:pStyle w:val="Heading1"/>
      </w:pPr>
      <w:r>
        <w:t>5. Occupation and Income</w:t>
      </w:r>
    </w:p>
    <w:p>
      <w:r>
        <w:t>The above-USD-50K rate varies across occupation categories. Both the number of records and the above-USD-50K rate were calculated to avoid interpreting raw group counts alone.</w:t>
      </w:r>
    </w:p>
    <w:p>
      <w:r>
        <w:t>The Unknown occupation category represents records where the original occupation value was missing.</w:t>
      </w:r>
    </w:p>
    <w:p>
      <w:pPr>
        <w:pStyle w:val="Heading1"/>
      </w:pPr>
      <w:r>
        <w:t>6. Age Group and Income</w:t>
      </w:r>
    </w:p>
    <w:p>
      <w:r>
        <w:t>The above-USD-50K rate varies across the defined age groups. These differences represent associations observed in the dataset.</w:t>
      </w:r>
    </w:p>
    <w:p>
      <w:pPr>
        <w:pStyle w:val="Heading1"/>
      </w:pPr>
      <w:r>
        <w:t>7. Workclass and Income</w:t>
      </w:r>
    </w:p>
    <w:p>
      <w:r>
        <w:t>The above-USD-50K rate differs across workclass categories, including private, government, self-employment, and other categories.</w:t>
      </w:r>
    </w:p>
    <w:p>
      <w:pPr>
        <w:pStyle w:val="Heading1"/>
      </w:pPr>
      <w:r>
        <w:t>8. Sex and Income</w:t>
      </w:r>
    </w:p>
    <w:p>
      <w:r>
        <w:t>The calculated above-USD-50K rate is 30.38% for male records and 10.93% for female records in this dataset.</w:t>
      </w:r>
    </w:p>
    <w:p>
      <w:pPr>
        <w:pStyle w:val="Heading1"/>
      </w:pPr>
      <w:r>
        <w:t>9. Weekly Working Hours</w:t>
      </w:r>
    </w:p>
    <w:p>
      <w:r>
        <w:t>The mean weekly working time is 38.84 hours for the &lt;=50K group and 45.45 hours for the &gt;50K group.</w:t>
      </w:r>
    </w:p>
    <w:p>
      <w:r>
        <w:t>The median is 40 hours for the &lt;=50K group and 40 hours for the &gt;50K group.</w:t>
      </w:r>
    </w:p>
    <w:p>
      <w:r>
        <w:t>The box plot and distribution chart provide a visual comparison of weekly working-hour patterns between the two income groups.</w:t>
      </w:r>
    </w:p>
    <w:p>
      <w:pPr>
        <w:pStyle w:val="Heading1"/>
      </w:pPr>
      <w:r>
        <w:t>10. Numeric Relationships</w:t>
      </w:r>
    </w:p>
    <w:p>
      <w:r>
        <w:t>Correlation analysis was performed for age, education_num, hours_per_week, capital_gain, capital_loss, net_capital, and the high_income indicator.</w:t>
      </w:r>
    </w:p>
    <w:p>
      <w:r>
        <w:t>The correlations with high_income were approximately 0.23 for age, 0.33 for education_num, 0.23 for hours_per_week, 0.22 for capital_gain, 0.15 for capital_loss, and 0.21 for net_capital.</w:t>
      </w:r>
    </w:p>
    <w:p>
      <w:r>
        <w:t>Correlation measures linear association and does not establish that one variable causes another.</w:t>
      </w:r>
    </w:p>
    <w:p>
      <w:r>
        <w:t>The capital gain and capital loss distributions are highly concentrated around zero with a small number of much larger values.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The dataset contains historical census information and may not represent current income patterns.</w:t>
      </w:r>
    </w:p>
    <w:p>
      <w:pPr>
        <w:pStyle w:val="ListBullet"/>
      </w:pPr>
      <w:r>
        <w:t>The analysis is descriptive and identifies associations rather than causal relationships.</w:t>
      </w:r>
    </w:p>
    <w:p>
      <w:pPr>
        <w:pStyle w:val="ListBullet"/>
      </w:pPr>
      <w:r>
        <w:t>The dataset contains demographic variables that require careful interpretation.</w:t>
      </w:r>
    </w:p>
    <w:p>
      <w:pPr>
        <w:pStyle w:val="ListBullet"/>
      </w:pPr>
      <w:r>
        <w:t>Missing categorical values were represented as Unknown rather than deleting the affected records.</w:t>
      </w:r>
    </w:p>
    <w:p>
      <w:pPr>
        <w:pStyle w:val="ListBullet"/>
      </w:pPr>
      <w:r>
        <w:t>Exact duplicate rows were retained because there is no unique person identifier.</w:t>
      </w:r>
    </w:p>
    <w:p>
      <w:pPr>
        <w:pStyle w:val="ListBullet"/>
      </w:pPr>
      <w:r>
        <w:t>The fnlwgt census weight was not applied to the visual summaries.</w:t>
      </w:r>
    </w:p>
    <w:p>
      <w:pPr>
        <w:pStyle w:val="ListBullet"/>
      </w:pPr>
      <w:r>
        <w:t>Correlation measures linear association and should not be interpreted as causation.</w:t>
      </w:r>
    </w:p>
    <w:p>
      <w:pPr>
        <w:pStyle w:val="ListBullet"/>
      </w:pPr>
      <w:r>
        <w:t>The income target uses the dataset's &lt;=50K and &gt;50K categories.</w:t>
      </w:r>
    </w:p>
    <w:p>
      <w:pPr>
        <w:pStyle w:val="ListBullet"/>
      </w:pPr>
      <w:r>
        <w:t>No predictive modeling or predictive performance evaluation was performed.</w:t>
      </w:r>
    </w:p>
    <w:p>
      <w:pPr>
        <w:pStyle w:val="Heading1"/>
      </w:pPr>
      <w:r>
        <w:t>12. Conclusion</w:t>
      </w:r>
    </w:p>
    <w:p>
      <w:r>
        <w:t>This project completed an end-to-end data cleaning and exploratory analysis workflow using the UCI Adult Income dataset.</w:t>
      </w:r>
    </w:p>
    <w:p>
      <w:r>
        <w:t>The analysis examined income distribution and compared the above-USD-50K rate across education, occupation, age group, workclass, and sex. Weekly working-hour distributions and numeric relationships were also examined.</w:t>
      </w:r>
    </w:p>
    <w:p>
      <w:r>
        <w:t>The results describe patterns and associations within this historical dataset. They should not be interpreted as evidence of causal relationships or as representative estimates of the current population.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