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rPr>
          <w:b w:val="0"/>
          <w:sz w:val="52"/>
        </w:rPr>
        <w:t>The Living Craft</w:t>
      </w:r>
    </w:p>
    <w:p w14:paraId="0000000A">
      <w:pPr>
        <w:pStyle w:val="Title"/>
        <w:spacing w:line="240" w:lineRule="auto"/>
        <w:rPr>
          <w:rFonts w:ascii="Helvetica Neue" w:cs="Helvetica Neue" w:eastAsia="Helvetica Neue" w:hAnsi="Helvetica Neue"/>
          <w:sz w:val="72"/>
          <w:szCs w:val="72"/>
        </w:rPr>
      </w:pPr>
      <w:r>
        <w:rPr>
          <w:b/>
          <w:sz w:val="52"/>
        </w:rPr>
        <w:t>Cohort pipeline operating guide</w:t>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r>
              <w:rPr>
                <w:sz w:val="20"/>
              </w:rPr>
              <w:t>STATUS</w:t>
              <w:br/>
              <w:t>Prepared for review</w:t>
            </w:r>
          </w:p>
        </w:tc>
        <w:tc>
          <w:tcPr/>
          <w:p w14:paraId="00000017">
            <w:pPr>
              <w:rPr>
                <w:rFonts w:ascii="Helvetica Neue" w:cs="Helvetica Neue" w:eastAsia="Helvetica Neue" w:hAnsi="Helvetica Neue"/>
              </w:rPr>
            </w:pPr>
            <w:r>
              <w:rPr>
                <w:rtl w:val="0"/>
              </w:rPr>
            </w:r>
          </w:p>
        </w:tc>
        <w:tc>
          <w:tcPr/>
          <w:p>
            <w:r>
              <w:rPr>
                <w:sz w:val="20"/>
              </w:rPr>
              <w:t>OWNER</w:t>
              <w:br/>
              <w:t>Team Alchemy</w:t>
            </w:r>
          </w:p>
        </w:tc>
        <w:tc>
          <w:tcPr/>
          <w:p w14:paraId="0000001A">
            <w:pPr>
              <w:rPr>
                <w:rFonts w:ascii="Helvetica Neue" w:cs="Helvetica Neue" w:eastAsia="Helvetica Neue" w:hAnsi="Helvetica Neue"/>
              </w:rPr>
            </w:pPr>
            <w:r>
              <w:rPr>
                <w:rtl w:val="0"/>
              </w:rPr>
            </w:r>
          </w:p>
        </w:tc>
        <w:tc>
          <w:tcPr/>
          <w:p>
            <w:r>
              <w:rPr>
                <w:sz w:val="20"/>
              </w:rPr>
              <w:t>LAST UPDATED</w:t>
              <w:br/>
              <w:t>10 September 2026</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Authors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Team Alchemy</w:t>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Reviewers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Sunil Mathew and Ein</w:t>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Related docs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Cohort handoff package</w:t>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Scope</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Ownership daily work and metric definitions</w:t>
            </w:r>
          </w:p>
        </w:tc>
      </w:tr>
    </w:tbl>
    <w:p>
      <w:r>
        <w:br w:type="page"/>
      </w:r>
    </w:p>
    <w:p>
      <w:pPr/>
      <w:r>
        <w:t>Prepared by Team Alchemy for Alchemy, Sunil, client finance and the programme owner. 10 September 2026. This guide defines how the proposed backend will be used. No live database, messaging sequence or dashboard was activated in preparing it.</w:t>
      </w:r>
    </w:p>
    <w:p>
      <w:pPr>
        <w:pStyle w:val="Heading2"/>
      </w:pPr>
      <w:r>
        <w:t>Start each working day with next actions</w:t>
      </w:r>
    </w:p>
    <w:p>
      <w:pPr/>
      <w:r>
        <w:t>Alchemy checks new and unassigned leads, failed notifications, due tasks and replies. Assign every actionable lead to a named person, record the next action and date, and separate an enquiry from an application. A receipt means the system saved a request; it is not a personal reply or acceptance.</w:t>
      </w:r>
    </w:p>
    <w:p>
      <w:pPr/>
      <w:r>
        <w:t>Read the experience and learning goal before responding. Clarify basic readiness and funding route, then coordinate Sunil’s technical-fit discussion. Record scheduled and held meetings separately. After a meeting, record the outcome and next action. Pause marketing automation before a manual conversation. Do not send a second conversation from another account without reviewing the existing history.</w:t>
      </w:r>
    </w:p>
    <w:p>
      <w:pPr/>
      <w:r>
        <w:t>Sunil records technical fit, scope and final offers. Finance records receipts/refunds and references. The programme owner confirms the actual schedule with each member and records attendance separately. Alchemy never marks someone paid from an email click, positive reply or historical enrolment count.</w:t>
      </w:r>
    </w:p>
    <w:p>
      <w:pPr/>
      <w:r>
        <w:t>The existing proposed service targets of one business day for acknowledgement and two for technical response remain subject to capacity agreement. Do not place them in public copy as guarantees. Use assigned task deadlines operationally; escalate overdue technical items to Sunil and finance questions to finance.</w:t>
      </w:r>
    </w:p>
    <w:p>
      <w:pPr>
        <w:pStyle w:val="Heading2"/>
      </w:pPr>
      <w:r>
        <w:t>Weekly review</w:t>
      </w:r>
    </w:p>
    <w:p>
      <w:pPr/>
      <w:r>
        <w:t>Review the same date window and cohort for acquisition, applications and operations. Reconcile unique applicants against saved records, payments against finance evidence, and attendance against the roster. Check missing source data, duplicate-contact candidates, unanswered questions and stage corrections. Record the action, owner and next review date.</w:t>
      </w:r>
    </w:p>
    <w:p>
      <w:pPr/>
      <w:r>
        <w:t>Review objections qualitatively: fit, workload, funding, scope, timing and unanswered programme details. Label these from actual conversations, not inferred sentiment scores. Feed recurring questions into the page FAQs and future guides after Sunil validates the answers.</w:t>
      </w:r>
    </w:p>
    <w:p>
      <w:pPr/>
      <w:r>
        <w:t>Marketing recipients are not applicants merely because they downloaded a resource. An employer sponsor is not a learner unless they separately apply. Enterprise organisations, orders and participants are different counting units. Keep the original four reported enrolments and two positive responses out of live totals until reconciled person by person.</w:t>
      </w:r>
    </w:p>
    <w:p>
      <w:pPr>
        <w:pStyle w:val="Heading2"/>
      </w:pPr>
      <w:r>
        <w:t>Dashboard definitions</w:t>
      </w:r>
    </w:p>
    <w:p>
      <w:pPr/>
      <w:r>
        <w:t>Default display timezone is Asia/Kolkata. Date ranges use an inclusive start and exclusive following-day end in that timezone, converted to UTC for queries. Show the data source and last refresh. Null means unavailable or not recorded. A genuine zero requires a working source covering the selected period.</w:t>
      </w:r>
    </w:p>
    <w:tbl>
      <w:tblPr>
        <w:tblW w:type="auto" w:w="0"/>
        <w:jc w:val="center"/>
        <w:tblLayout w:type="fixed"/>
        <w:tblLook w:firstColumn="1" w:firstRow="1" w:lastColumn="0" w:lastRow="0" w:noHBand="0" w:noVBand="1" w:val="04A0"/>
      </w:tblPr>
      <w:tblGrid>
        <w:gridCol w:w="1872"/>
        <w:gridCol w:w="3600"/>
        <w:gridCol w:w="3888"/>
      </w:tblGrid>
      <w:tr>
        <w:trPr>
          <w:tblHeader/>
        </w:trP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CFE2F1"/>
          </w:tcPr>
          <w:p>
            <w:pPr>
              <w:spacing w:after="100"/>
            </w:pPr>
            <w:r>
              <w:rPr>
                <w:b/>
                <w:sz w:val="21"/>
              </w:rPr>
              <w:t>Metric</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CFE2F1"/>
          </w:tcPr>
          <w:p>
            <w:pPr>
              <w:spacing w:after="100"/>
            </w:pPr>
            <w:r>
              <w:rPr>
                <w:b/>
                <w:sz w:val="21"/>
              </w:rPr>
              <w:t>Unit and calculation</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CFE2F1"/>
          </w:tcPr>
          <w:p>
            <w:pPr>
              <w:spacing w:after="100"/>
            </w:pPr>
            <w:r>
              <w:rPr>
                <w:b/>
                <w:sz w:val="21"/>
              </w:rPr>
              <w:t>Date basis and source</w:t>
            </w:r>
          </w:p>
        </w:tc>
      </w:tr>
      <w:t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Measured visitors</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Distinct consent-appropriate analytics visitor IDs; estimate, not people database</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Analytics observation in selected window</w:t>
            </w:r>
          </w:p>
        </w:tc>
      </w:tr>
      <w:t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Sessions</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Analytics sessions under the selected provider’s documented definition</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Session start; analytics</w:t>
            </w:r>
          </w:p>
        </w:tc>
      </w:tr>
      <w:t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Source sessions</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Sessions grouped by captured source/medium/campaign; direct/unknown retained</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Session start; analytics</w:t>
            </w:r>
          </w:p>
        </w:tc>
      </w:tr>
      <w:t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Landing pages</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Sessions grouped by first viewed page</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Session start; analytics</w:t>
            </w:r>
          </w:p>
        </w:tc>
      </w:tr>
      <w:t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Device category</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Sessions grouped by coarse desktop/mobile/tablet category</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Session start; analytics</w:t>
            </w:r>
          </w:p>
        </w:tc>
      </w:tr>
      <w:t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VSL starts</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Distinct tracked session/video pairs with player start</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Start callback time; analytics</w:t>
            </w:r>
          </w:p>
        </w:tc>
      </w:tr>
      <w:t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VSL completion</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Distinct tracked session/video pairs reaching player completion</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Completion time; analytics; unavailable if callbacks unsupported</w:t>
            </w:r>
          </w:p>
        </w:tc>
      </w:tr>
      <w:t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VSL completion rate</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Completed pairs among pairs started in the selected session cohort, divided by started pairs</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Sessions starting in window; observation through report cutoff</w:t>
            </w:r>
          </w:p>
        </w:tc>
      </w:tr>
      <w:t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CTA clicks</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Distinct tracked sessions clicking each named CTA</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Click event time; analytics</w:t>
            </w:r>
          </w:p>
        </w:tc>
      </w:tr>
      <w:t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Form starts</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Distinct tracked session/form pairs with meaningful interaction</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Start time; analytics</w:t>
            </w:r>
          </w:p>
        </w:tc>
      </w:tr>
      <w:t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Form errors</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Failed attempts grouped by error category; no entered values</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Error time; analytics/backend operational logs</w:t>
            </w:r>
          </w:p>
        </w:tc>
      </w:tr>
      <w:t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Applications saved</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Distinct application submissions excluding retries and flagged tests/spam</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First committed submit time; backend</w:t>
            </w:r>
          </w:p>
        </w:tc>
      </w:tr>
      <w:t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Unique applicants</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Distinct person/cohort pairs with a valid application</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First application time; backend</w:t>
            </w:r>
          </w:p>
        </w:tc>
      </w:tr>
      <w:t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Enquiries</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Distinct enquiry submissions, separate from applications</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Saved time; backend</w:t>
            </w:r>
          </w:p>
        </w:tc>
      </w:tr>
      <w:t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Form completion rate</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Tracked session/form pairs with successful save among those with a form start, divided by tracked starts</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Sessions starting in window; exclude unmatched saves from this rate but retain in backend totals</w:t>
            </w:r>
          </w:p>
        </w:tc>
      </w:tr>
      <w:t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Qualified applications</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Distinct person/cohort pairs with Alchemy qualification recorded</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Qualification event time; backend</w:t>
            </w:r>
          </w:p>
        </w:tc>
      </w:tr>
      <w:t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Applicant qualification rate</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Qualified applicants from applications first submitted in window divided by those unique applicants</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Application cohort followed through stated report cutoff; mark recent cohorts immature</w:t>
            </w:r>
          </w:p>
        </w:tc>
      </w:tr>
      <w:t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Current pipeline</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Distinct opportunities grouped by present stage</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Current snapshot, explicitly labelled; backend</w:t>
            </w:r>
          </w:p>
        </w:tc>
      </w:tr>
      <w:t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Stage entries</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Distinct opportunity/stage entries with correction history available</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Transition occurrence time; backend; not summed as unique people</w:t>
            </w:r>
          </w:p>
        </w:tc>
      </w:tr>
      <w:t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Meetings scheduled</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Unique meetings scheduled to occur in window, including status</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Scheduled occurrence time; backend</w:t>
            </w:r>
          </w:p>
        </w:tc>
      </w:tr>
      <w:t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Meetings held</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Unique meetings with held evidence</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Actual held time; backend</w:t>
            </w:r>
          </w:p>
        </w:tc>
      </w:tr>
      <w:t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Offers</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Unique approved offer IDs; revisions linked and not new prospects</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Approval time; backend</w:t>
            </w:r>
          </w:p>
        </w:tc>
      </w:tr>
      <w:t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Paid members</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Unique person/cohort pairs meeting finance-confirmed payment requirements of accepted offer</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First qualifying payment date; backend and finance; not raw transaction count</w:t>
            </w:r>
          </w:p>
        </w:tc>
      </w:tr>
      <w:t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Attendance confirmed</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Unique person/cohort confirmations for actual schedule</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Confirmation time; programme owner</w:t>
            </w:r>
          </w:p>
        </w:tc>
      </w:tr>
      <w:t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Actual attendance</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Unique person/session attendance evidence; first session shown separately</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Session date; roster</w:t>
            </w:r>
          </w:p>
        </w:tc>
      </w:tr>
      <w:t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Enterprise orders</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Distinct organisation order IDs</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Order-agreed time; backend; participant totals separate</w:t>
            </w:r>
          </w:p>
        </w:tc>
      </w:tr>
      <w:t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Unassigned leads</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Open opportunities without a named owner</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Current snapshot; backend</w:t>
            </w:r>
          </w:p>
        </w:tc>
      </w:tr>
      <w:t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Overdue tasks</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Open tasks with due_at earlier than report time</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Current snapshot; backend</w:t>
            </w:r>
          </w:p>
        </w:tc>
      </w:tr>
      <w:t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Human response time</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Median elapsed time from saved request to first staff response; receipts excluded</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Requests created in window; show responded count and unanswered separately</w:t>
            </w:r>
          </w:p>
        </w:tc>
      </w:tr>
      <w:t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Failed notifications</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Unresolved notification/email failures</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Current snapshot with failure occurrence dates; outbox</w:t>
            </w:r>
          </w:p>
        </w:tc>
      </w:tr>
      <w:t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Email sent and delivered</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Distinct message IDs by provider-confirmed state</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Corresponding state time; provider events</w:t>
            </w:r>
          </w:p>
        </w:tc>
      </w:tr>
      <w:t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Email clicks and replies</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Distinct messages clicked/replied; retain bot-filter status where available</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Event time; provider/inbox; clicks alone are not intent</w:t>
            </w:r>
          </w:p>
        </w:tc>
      </w:tr>
      <w:t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Bounce and unsubscribe</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Distinct affected messages for bounce; people for unsubscribe</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Event time; provider/preferences</w:t>
            </w:r>
          </w:p>
        </w:tc>
      </w:tr>
      <w:t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Receipts and refunds</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Sum confirmed receipt amounts and refund amounts separately; net is receipts minus refunds</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Actual transaction date, by currency and programme; finance</w:t>
            </w:r>
          </w:p>
        </w:tc>
      </w:tr>
    </w:tbl>
    <w:p/>
    <w:p>
      <w:pPr/>
      <w:r>
        <w:t>Do not add cross-currency amounts. Do not show open rate as a primary engagement or sales measure. Do not combine current-stage counts with period activity in one conversion funnel. Dashboard cards link to their underlying records and keep test/spam exclusions visible.</w:t>
      </w:r>
    </w:p>
    <w:p>
      <w:pPr>
        <w:pStyle w:val="Heading2"/>
      </w:pPr>
      <w:r>
        <w:t>Attribution and measurement boundaries</w:t>
      </w:r>
    </w:p>
    <w:p>
      <w:pPr/>
      <w:r>
        <w:t>Keep first captured source, submission-session source and the self-reported discovery answer distinct. A person may discover Sunil on LinkedIn and apply later via a direct visit; retain that evidence without pretending to know unobserved sessions. Do not overwrite source with a guessed attribution model.</w:t>
      </w:r>
    </w:p>
    <w:p>
      <w:pPr/>
      <w:r>
        <w:t>Backend application counts can exceed tracked successful sessions because analytics is blocked or declined. Show both with their definitions. A source chart for website sessions and a source chart for applications use different denominators. Do not claim one campaign caused a payment from a simple source tag.</w:t>
      </w:r>
    </w:p>
    <w:p>
      <w:pPr/>
      <w:r>
        <w:t>Record post IDs in utm_content as already used by the campaign. Do not change current campaign links merely to distinguish a proposed rewrite; the original version remains active until selected. Once a rewrite goes live, record version and actual URL in a separate publication log.</w:t>
      </w:r>
    </w:p>
    <w:p>
      <w:pPr>
        <w:pStyle w:val="Heading2"/>
      </w:pPr>
      <w:r>
        <w:t>Email operating procedure</w:t>
      </w:r>
    </w:p>
    <w:p>
      <w:pPr/>
      <w:r>
        <w:t>Before the first live sequence, verify the approved sender, reply-to, email domain authentication, unsubscribe endpoint and reply ingestion. Use the exact reviewed template version. The sequence remains disabled if these dependencies fail.</w:t>
      </w:r>
    </w:p>
    <w:p>
      <w:pPr/>
      <w:r>
        <w:t>Manual send: open lead history, confirm recipient and purpose, check consent and suppression, pause conflicting nurture, preview the rendered message, then send. Record the message and next action. A requested service reply does not require subscribing the recipient to marketing.</w:t>
      </w:r>
    </w:p>
    <w:p>
      <w:pPr/>
      <w:r>
        <w:t>Nurture uses calendar-day offsets 2, 5 and 9 at 10:00 Asia/Kolkata. On a reply or meaningful stage change, stop the sequence and create a human follow-up task. On a manual conversation or on-hold stage, pause. Do not resume or restart merely because time has elapsed.</w:t>
      </w:r>
    </w:p>
    <w:p>
      <w:pPr/>
      <w:r>
        <w:t>Incident handling: stop affected automated sends; preserve saved leads and provider IDs; reconcile unknown sends before retrying; notify the owner; document what happened and what was recovered. Do not export all prospect data into an incident message.</w:t>
      </w:r>
    </w:p>
    <w:p>
      <w:pPr>
        <w:pStyle w:val="Heading2"/>
      </w:pPr>
      <w:r>
        <w:t>Handoff and release ownership</w:t>
      </w:r>
    </w:p>
    <w:tbl>
      <w:tblPr>
        <w:tblW w:type="auto" w:w="0"/>
        <w:jc w:val="center"/>
        <w:tblLayout w:type="fixed"/>
        <w:tblLook w:firstColumn="1" w:firstRow="1" w:lastColumn="0" w:lastRow="0" w:noHBand="0" w:noVBand="1" w:val="04A0"/>
      </w:tblPr>
      <w:tblGrid>
        <w:gridCol w:w="1872"/>
        <w:gridCol w:w="3600"/>
        <w:gridCol w:w="3888"/>
      </w:tblGrid>
      <w:tr>
        <w:trPr>
          <w:tblHeader/>
        </w:trP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CFE2F1"/>
          </w:tcPr>
          <w:p>
            <w:pPr>
              <w:spacing w:after="100"/>
            </w:pPr>
            <w:r>
              <w:rPr>
                <w:b/>
                <w:sz w:val="21"/>
              </w:rPr>
              <w:t>Deliverable or decision</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CFE2F1"/>
          </w:tcPr>
          <w:p>
            <w:pPr>
              <w:spacing w:after="100"/>
            </w:pPr>
            <w:r>
              <w:rPr>
                <w:b/>
                <w:sz w:val="21"/>
              </w:rPr>
              <w:t>Accountable owner</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CFE2F1"/>
          </w:tcPr>
          <w:p>
            <w:pPr>
              <w:spacing w:after="100"/>
            </w:pPr>
            <w:r>
              <w:rPr>
                <w:b/>
                <w:sz w:val="21"/>
              </w:rPr>
              <w:t>Evidence required</w:t>
            </w:r>
          </w:p>
        </w:tc>
      </w:tr>
      <w:t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Functional scope and campaign consistency</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Alchemy</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This brief, reviewed copy and original/rewrite comparison</w:t>
            </w:r>
          </w:p>
        </w:tc>
      </w:tr>
      <w:t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Stack, integrations and cost estimate</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Ein with client owner</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Written technical proposal; access and provider limits checked</w:t>
            </w:r>
          </w:p>
        </w:tc>
      </w:tr>
      <w:t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Staging implementation</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Ein</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Demonstrated page-to-record flow and acceptance results</w:t>
            </w:r>
          </w:p>
        </w:tc>
      </w:tr>
      <w:t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Programme, founder and offer wording</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Sunil with finance for terms</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Exact-version factual approval</w:t>
            </w:r>
          </w:p>
        </w:tc>
      </w:tr>
      <w:t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Privacy/controller and retention facts</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Client data owner</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Published notice and agreed deletion/retention process</w:t>
            </w:r>
          </w:p>
        </w:tc>
      </w:tr>
      <w:t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Email activation</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Client sender owner and Alchemy</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Approved templates, delivery/reply/unsubscribe tests</w:t>
            </w:r>
          </w:p>
        </w:tc>
      </w:tr>
      <w:t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Deployment</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Client website owner</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Staging evidence, backup and rollback record, publication authority</w:t>
            </w:r>
          </w:p>
        </w:tc>
      </w:tr>
    </w:tbl>
    <w:p/>
    <w:p>
      <w:pPr>
        <w:pStyle w:val="Heading2"/>
      </w:pPr>
      <w:r>
        <w:t>Assumptions and open inputs</w:t>
      </w:r>
    </w:p>
    <w:p>
      <w:pPr/>
      <w:r>
        <w:t>Ein chooses the stack; no vendor fee or subscription is authorised by this guide. The initial release has no online payment collection. A data owner, actual sender, response capacity, retention policy and reply integration must be named before production. Sunil supplies the additional VSL recording and validates the spoken copy. The existing open programme/commercial inputs stay open until their owners resolve them.</w:t>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t>The Living Craft | Cohort handoff | 10 September 2026</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40" w:line="264" w:lineRule="auto"/>
    </w:pPr>
    <w:rPr>
      <w:rFonts w:ascii="Calibri" w:hAnsi="Calibri"/>
      <w:sz w:val="22"/>
    </w:rPr>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00000"/>
      <w:sz w:val="32"/>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00000"/>
      <w:sz w:val="24"/>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00000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00000"/>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Cohort pipeline operating guide</dc:title>
  <cp:lastModifiedBy>python-docx</cp:lastModifiedBy>
  <cp:revision>1</cp:revision>
  <dcterms:modified xsi:type="dcterms:W3CDTF">2026-09-10T10:59:46Z</dcterms:modified>
  <dc:creator>Team Alchemy</dc:creator>
</cp:coreProperties>
</file>