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b w:val="0"/>
          <w:sz w:val="52"/>
        </w:rPr>
        <w:t>The Living Craft</w:t>
      </w:r>
    </w:p>
    <w:p w14:paraId="0000000A">
      <w:pPr>
        <w:pStyle w:val="Title"/>
        <w:spacing w:line="240" w:lineRule="auto"/>
        <w:rPr>
          <w:rFonts w:ascii="Helvetica Neue" w:cs="Helvetica Neue" w:eastAsia="Helvetica Neue" w:hAnsi="Helvetica Neue"/>
          <w:sz w:val="72"/>
          <w:szCs w:val="72"/>
        </w:rPr>
      </w:pPr>
      <w:r>
        <w:rPr>
          <w:b/>
          <w:sz w:val="52"/>
        </w:rPr>
        <w:t>Cohort website and backend</w:t>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rPr>
                <w:sz w:val="20"/>
              </w:rPr>
              <w:t>STATUS</w:t>
              <w:br/>
              <w:t>Prepared for review</w:t>
            </w:r>
          </w:p>
        </w:tc>
        <w:tc>
          <w:tcPr/>
          <w:p w14:paraId="00000017">
            <w:pPr>
              <w:rPr>
                <w:rFonts w:ascii="Helvetica Neue" w:cs="Helvetica Neue" w:eastAsia="Helvetica Neue" w:hAnsi="Helvetica Neue"/>
              </w:rPr>
            </w:pPr>
            <w:r>
              <w:rPr>
                <w:rtl w:val="0"/>
              </w:rPr>
            </w:r>
          </w:p>
        </w:tc>
        <w:tc>
          <w:tcPr/>
          <w:p>
            <w:r>
              <w:rPr>
                <w:sz w:val="20"/>
              </w:rPr>
              <w:t>OWNER</w:t>
              <w:br/>
              <w:t>Team Alchemy</w:t>
            </w:r>
          </w:p>
        </w:tc>
        <w:tc>
          <w:tcPr/>
          <w:p w14:paraId="0000001A">
            <w:pPr>
              <w:rPr>
                <w:rFonts w:ascii="Helvetica Neue" w:cs="Helvetica Neue" w:eastAsia="Helvetica Neue" w:hAnsi="Helvetica Neue"/>
              </w:rPr>
            </w:pPr>
            <w:r>
              <w:rPr>
                <w:rtl w:val="0"/>
              </w:rPr>
            </w:r>
          </w:p>
        </w:tc>
        <w:tc>
          <w:tcPr/>
          <w:p>
            <w:r>
              <w:rPr>
                <w:sz w:val="20"/>
              </w:rPr>
              <w:t>LAST UPDATED</w:t>
              <w:br/>
              <w:t>10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Team Alchemy</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Sunil Mathew and Ein</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Cohort handoff package</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Functional implementation brief for Ein</w:t>
            </w:r>
          </w:p>
        </w:tc>
      </w:tr>
    </w:tbl>
    <w:p>
      <w:r>
        <w:br w:type="page"/>
      </w:r>
    </w:p>
    <w:p>
      <w:pPr/>
      <w:r>
        <w:t>Prepared by Team Alchemy for Ein and Sunil Mathew. 10 September 2026. Functional handoff LC-LAUNCH-2026-09-10. The campaign remains LC-STRATEGY-V3.0.0.</w:t>
      </w:r>
    </w:p>
    <w:p>
      <w:pPr>
        <w:pStyle w:val="Heading2"/>
      </w:pPr>
      <w:r>
        <w:t>Outcome and delivery order</w:t>
      </w:r>
    </w:p>
    <w:p>
      <w:pPr/>
      <w:r>
        <w:t>Build a cohort landing page that saves applications reliably and gives the team a usable follow-up pipeline. Ein owns implementation and proposes the stack, integration providers, costs, hosting and deployment approach. Alchemy supplies content and acceptance review. Sunil owns programme facts and technical-fit decisions. This document specifies behaviour, not a prescribed technology stack.</w:t>
      </w:r>
    </w:p>
    <w:p>
      <w:pPr/>
      <w:r>
        <w:t>Deliver a staging vertical slice first: page to form to saved application to staff lead record. Add receipts, permissions, attribution and pipeline changes next; then dashboard and manual email; then nurture and operational alerts. The wider website and tools use the same records later and do not delay the cohort route. A local handoff is not evidence of a working backend.</w:t>
      </w:r>
    </w:p>
    <w:p>
      <w:pPr/>
      <w:r>
        <w:t>Keep the existing cohort URL working until the new route passes acceptance. Confirm the current host, URLs, mailbox and data owners before changing routing. No checkout, LMS, new chatbot or payment collection system is required in this release. Payment evidence comes from finance.</w:t>
      </w:r>
    </w:p>
    <w:p>
      <w:pPr>
        <w:pStyle w:val="Heading2"/>
      </w:pPr>
      <w:r>
        <w:t>Page wireframe</w:t>
      </w:r>
    </w:p>
    <w:p>
      <w:pPr/>
      <w:r>
        <w:t>Desktop: a compact header above an outcome heading and two-column hero. Put the outcome, commitment and application button on the left; the video player on the right. Continue with a readable single-column narrative and occasional two-column comparisons. Put a compact application form after FAQs. A secondary enquiry action is available beside the primary action without competing visually.</w:t>
      </w:r>
    </w:p>
    <w:p>
      <w:pPr/>
      <w:r>
        <w:t>Mobile: header, outcome, commitment, application action, video, fit, example, outcomes, curriculum, learning process, Sunil, commitment details, FAQs and application. Keep the action accessible before video playback. Reserve the video aspect ratio to avoid layout shifts. At 390px and at 200 percent zoom, controls and validation messages remain visible. Any sticky action must not cover form fields or the keyboard focus.</w:t>
      </w:r>
    </w:p>
    <w:tbl>
      <w:tblPr>
        <w:tblW w:type="auto" w:w="0"/>
        <w:jc w:val="center"/>
        <w:tblLayout w:type="fixed"/>
        <w:tblLook w:firstColumn="1" w:firstRow="1" w:lastColumn="0" w:lastRow="0" w:noHBand="0" w:noVBand="1" w:val="04A0"/>
      </w:tblPr>
      <w:tblGrid>
        <w:gridCol w:w="1872"/>
        <w:gridCol w:w="3600"/>
        <w:gridCol w:w="3888"/>
      </w:tblGrid>
      <w:tr>
        <w:trPr>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Order</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Module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Required content and action</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1</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Outcome and VSL</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Design agentic systems. Guide your team. 30 live hours plus independent work. Apply and Ask about the cohort.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2</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Audience fit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Prior system-design exposure, readiness to build and revise, experienced engineers and leaders.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3</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Practical example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Labelled illustrative returns workflow: policy evidence, recommendation, controlled action and review path.</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4</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Outcomes and curriculum</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Working system, architecture reasoning, evaluation, design critique and guidance. Use validated learning areas; no invented module durations.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5</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Learning process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Frame, build, examine behaviour, receive feedback and revise.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6</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Sunil</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Source-backed experience and teaching focus. No employer endorsement or unsupported result claim.</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7</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Commitment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30 live hours plus independent work; final schedule and terms confirmed before commitment.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8</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FAQs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Fit, company projects, sponsorship, certificate, workload, schedule and terms.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9</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Application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Labelled fields, privacy explanation, separate optional marketing permission, clear success/failure states.</w:t>
            </w:r>
          </w:p>
        </w:tc>
      </w:tr>
    </w:tbl>
    <w:p/>
    <w:p>
      <w:pPr/>
      <w:r>
        <w:t>Use the companion Cohort Page Copy and VSL Script as the content source. Build from that copy after review. The VSL is an additional 5–7 minute recording; its duration is a production estimate until recorded. Publish captions and a text transcript. Before footage is available, keep the written page complete and omit the player rather than presenting a broken video.</w:t>
      </w:r>
    </w:p>
    <w:p>
      <w:pPr>
        <w:pStyle w:val="Heading2"/>
      </w:pPr>
      <w:r>
        <w:t>Public forms and success states</w:t>
      </w:r>
    </w:p>
    <w:p>
      <w:pPr/>
      <w:r>
        <w:t>All forms require name and email; accept personal email addresses. Phone is optional. Use visible labels, appropriate input types, field-level errors, server validation, rate limiting and a bot check that does not obstruct keyboard users. Do not request confidential documents. Plain-text answers are escaped on display. Set field-length limits in the implementation contract and test them.</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Form</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Additional required fields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Optional fields</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Record and next step</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Open cohort application</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Role, design experience, learning goal, funding route: self / employer / undecided</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Organisation, phone, discovery answer</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Application linked to person and cohort; Alchemy qualification</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Cohort enquiry</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Question</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Role, organisation, phone, discovery answer</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Enquiry; no application milestone inferred</w:t>
            </w:r>
          </w:p>
        </w:tc>
      </w:tr>
      <w:tr>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Enterprise enquiry</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Organisation, role, team learning goal</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Approximate group size, industry, phone, discovery answer</w:t>
            </w:r>
          </w:p>
        </w:tc>
        <w:tc>
          <w:tcPr>
            <w:tcW w:type="dxa" w:w="23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Organisation opportunity and contact; Alchemy then Sunil scoping</w:t>
            </w:r>
          </w:p>
        </w:tc>
      </w:tr>
    </w:tbl>
    <w:p/>
    <w:p>
      <w:pPr/>
      <w:r>
        <w:t>The cohort ID is assigned from the server’s active configuration, not accepted blindly from a hidden input. Final schedule need not be published to accept a fit enquiry. Disable new cohort applications when the programme owner closes applications; keep the enquiry route available with truthful wording.</w:t>
      </w:r>
    </w:p>
    <w:p>
      <w:pPr/>
      <w:r>
        <w:t>On submit, validate, resolve the contact, create the enquiry/application and initial task, and queue acknowledgement/owner notification in one reliable transaction or equivalent durable workflow. Return success only after the record is committed. Repeated attempts using the same request key return the same reference. An email outage must not roll back a saved application. Database failure returns an error and preserves entered form values in the browser for retry without claiming success.</w:t>
      </w:r>
    </w:p>
    <w:p>
      <w:pPr/>
      <w:r>
        <w:t>Application confirmation: “Your application has been received. We’ll review your experience and learning goal and contact you about the next step. An application is not a confirmed place.” Enquiry confirmation: “Your enquiry has been received. We’ll contact you about your question.” Show a submission reference. Never show another person’s record from a guessed reference.</w:t>
      </w:r>
    </w:p>
    <w:p>
      <w:pPr/>
      <w:r>
        <w:t>Collect optional marketing permission separately: “Email me programme updates and practical resources from The Living Craft. I can unsubscribe at any time.” Leave it unchecked. Provide a privacy page identifying the actual data controller, purposes, processors, contact and retention policy before live collection. The owner must supply those facts; do not publish a generic invented policy. A receipt is not marketing consent.</w:t>
      </w:r>
    </w:p>
    <w:p>
      <w:pPr>
        <w:pStyle w:val="Heading2"/>
      </w:pPr>
      <w:r>
        <w:t>Staff screen wireframes</w:t>
      </w:r>
    </w:p>
    <w:tbl>
      <w:tblPr>
        <w:tblW w:type="auto" w:w="0"/>
        <w:jc w:val="center"/>
        <w:tblLayout w:type="fixed"/>
        <w:tblLook w:firstColumn="1" w:firstRow="1" w:lastColumn="0" w:lastRow="0" w:noHBand="0" w:noVBand="1" w:val="04A0"/>
      </w:tblPr>
      <w:tblGrid>
        <w:gridCol w:w="4680"/>
        <w:gridCol w:w="4680"/>
      </w:tblGrid>
      <w:tr>
        <w:trPr>
          <w:tblHeader/>
        </w:trP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Screen</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Layout and actions</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Overview</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Date/cohort/route/source filters; acquisition and application totals; current pipeline; unassigned and overdue work; delivery failures. Each card opens the underlying filtered records.</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Leads</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Search by name/email/organisation; filter owner, stage, source and cohort; columns for contact, route, stage, last touch and next action; explicit empty and failed-load states.</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Lead detail</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Contact and preferences at top; application and attribution; chronological activity; tasks, meeting outcomes, offer and evidence tabs. Actions: assign, add note, set task, send email, pause nurture, update authorised stage.</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Pipeline</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Separate member and enterprise views. Stage movement requires the appropriate role and a reason where closing or reversing. Milestone history stays visible.</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Communications</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Outbox, inbox/replies, templates and sequence history; preview recipient, subject, version and rendered body; send test, send manually, pause or cancel. Failed/unknown send outcomes have a review queue.</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Administration</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Staff roles, cohorts, sender verification, template versions, integration health, export/import, retention configuration and audit history. Secrets never appear in frontend code or exports.</w:t>
            </w:r>
          </w:p>
        </w:tc>
      </w:tr>
    </w:tbl>
    <w:p/>
    <w:p>
      <w:pPr/>
      <w:r>
        <w:t>Show skeleton/loading, empty, error and permission-denied states for every data screen. On narrow screens, turn lead rows into labelled records; keep essential owner and next-action controls accessible. Confirm destructive changes rather than making them one-click row actions.</w:t>
      </w:r>
    </w:p>
    <w:p>
      <w:pPr>
        <w:pStyle w:val="Heading2"/>
      </w:pPr>
      <w:r>
        <w:t>Data dictionary</w:t>
      </w:r>
    </w:p>
    <w:p>
      <w:pPr/>
      <w:r>
        <w:t>Use stable IDs. Store timestamps in UTC and display Asia/Kolkata by default. Every mutable business record includes created_at, updated_at and actor identity. Keep evidence dates separate from entry dates. Unknown values are null, with an explanation where reporting needs one.</w:t>
      </w:r>
    </w:p>
    <w:tbl>
      <w:tblPr>
        <w:tblW w:type="auto" w:w="0"/>
        <w:jc w:val="center"/>
        <w:tblLayout w:type="fixed"/>
        <w:tblLook w:firstColumn="1" w:firstRow="1" w:lastColumn="0" w:lastRow="0" w:noHBand="0" w:noVBand="1" w:val="04A0"/>
      </w:tblPr>
      <w:tblGrid>
        <w:gridCol w:w="4680"/>
        <w:gridCol w:w="4680"/>
      </w:tblGrid>
      <w:tr>
        <w:trPr>
          <w:tblHeader/>
        </w:trP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Record</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Minimum fields and meaning</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Person</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person_id; name; normalised_email; original_email; optional phone; role; organisation link; contact preferences. Matching uses trimmed, case-normalised email; do not strip plus tags or merge different addresses by name.</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Organisation</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organisation_id; organisation name; optional domain; industry; sponsor, L&amp;D and budget contact links. Name-only matches are review candidates, not automatic merges.</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Cohort</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cohort_id; public label; route; application_open; approved schedule reference; offer version references. No date inferred from an internal ID.</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Submission</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submission_id; request_key; type application/enquiry; person_id; organisation_id if relevant; cohort_id; experience; goal/question; funding route; optional group size; submitted_at; privacy notice version.</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Opportunity</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opportunity_id; person_id or organisation_id; route; cohort_id; stage; owner; stage_entered_at; closure reason; next_action and due_at. Applications and enquiries link to this record.</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Attribution</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submission_id; first captured source/medium/campaign/content/term; submission-session equivalents; sanitised entry path and referrer host; self-reported source; tracking permission and capture dates. Missing referrers remain direct/unknown, never guessed.</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Consent</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person_id; purpose; state; wording/version; obtained_at; source; withdrawn_at. Preserve changes; import provenance instead of treating old relationships as opt-in.</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Activity and task</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activity_id; opportunity_id; type; actor; occurrence time; notes; task owner/due/completed times. Record manual contact here before further nurture.</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Meeting</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meeting_id; opportunity_id; scheduled time; status scheduled/held/cancelled/no-show; held_at; outcome and next action.</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Offer</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offer_id; opportunity_id; approved_by; approved_at; version; currency; amount and term reference; accepted status. Only Sunil or an explicitly delegated approver can approve.</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Finance evidence</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payment_id; invoice/reference; person/order link; type receipt/refund; amount in currency minor units; currency; finance confirmer; received_at and evidence reference. Do not infer payment from an offer or receipt email.</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Attendance</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person_id; cohort_id; confirmation response/time; session_id; attended status; recorder and occurrence date. Enterprise participants link to their order.</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Communication</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message_id; person/opportunity link; purpose; template/version; sequence step; recipient; queued/sent/delivered/replied/bounced states and timestamps; provider ID; failure reason.</w:t>
            </w:r>
          </w:p>
        </w:tc>
      </w:tr>
      <w:tr>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Audit history</w:t>
            </w:r>
          </w:p>
        </w:tc>
        <w:tc>
          <w:tcPr>
            <w:tcW w:type="dxa" w:w="46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record/type/ID; actor; previous and new value; event time; reason. Restricted access; no raw credentials.</w:t>
            </w:r>
          </w:p>
        </w:tc>
      </w:tr>
    </w:tbl>
    <w:p/>
    <w:p>
      <w:pPr/>
      <w:r>
        <w:t>An enquiry can later produce an application without losing either record. A repeated application from the same person/cohort updates the review context and keeps submission history; count one applicant for that cohort. Different cohorts get distinct applications. Prevent duplicate acknowledgements for retries of the same submission, while acknowledging a genuinely new request once.</w:t>
      </w:r>
    </w:p>
    <w:p>
      <w:pPr/>
      <w:r>
        <w:t>Preserve supplied person/organisation IDs in imports and keep an import batch log. Validate, preview match/conflict counts, then commit. Reject conflicting IDs rather than silently replacing them. Provide scoped CSV export with the existing tracker fields so client reporting remains compatible; escape spreadsheet formula prefixes in exported free text.</w:t>
      </w:r>
    </w:p>
    <w:p>
      <w:pPr>
        <w:pStyle w:val="Heading2"/>
      </w:pPr>
      <w:r>
        <w:t>Pipeline and permissions</w:t>
      </w:r>
    </w:p>
    <w:p>
      <w:pPr/>
      <w:r>
        <w:t>Member stages: enquiry, application received, qualification, technical review, offer, enrolled. Side states: on hold, unsuitable, withdrawn, closed. Enrolment requires Sunil’s recorded acceptance/admission decision and finance-confirmed payment under the approved offer. Attendance remains independent. A refund creates evidence and a review task; it does not erase historical enrolment or attendance.</w:t>
      </w:r>
    </w:p>
    <w:p>
      <w:pPr/>
      <w:r>
        <w:t>Enterprise stages: enquiry, qualification, technical scoping, quote, order agreed, delivery coordination, closed. Store participant nominations separately. An organisation order is not eight or ten individual cohort applications. Finance evidence and actual participant attendance remain separate.</w:t>
      </w:r>
    </w:p>
    <w:tbl>
      <w:tblPr>
        <w:tblW w:type="auto" w:w="0"/>
        <w:jc w:val="center"/>
        <w:tblLayout w:type="fixed"/>
        <w:tblLook w:firstColumn="1" w:firstRow="1" w:lastColumn="0" w:lastRow="0" w:noHBand="0" w:noVBand="1" w:val="04A0"/>
      </w:tblPr>
      <w:tblGrid>
        <w:gridCol w:w="1872"/>
        <w:gridCol w:w="3600"/>
        <w:gridCol w:w="3888"/>
      </w:tblGrid>
      <w:tr>
        <w:trPr>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Role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Allowed changes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Restricted changes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Alchemy operator</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Contacts, qualification, notes, tasks, meetings, approved email templates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Cannot approve technical fit/offers or confirm finance evidence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Sunil</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Technical fit, scope, offer approval, admission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Finance confirmation reserved for finance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Finance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Invoice, receipt, refund evidence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Cannot silently alter offer scope or attendance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Programme owner</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Cohort availability, attendance confirmation and roster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Cannot infer payment from attendance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Ein maintainer</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Configuration and integration health; staging with synthetic data</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Production personal-data access only when assigned for support</w:t>
            </w:r>
          </w:p>
        </w:tc>
      </w:tr>
    </w:tbl>
    <w:p/>
    <w:p>
      <w:pPr/>
      <w:r>
        <w:t>Authorisation is enforced server-side on reads, exports and writes. Admin pages and APIs require authentication; hiding a button is insufficient. Backups are access-controlled and restore-tested. The data owner confirms retention and deletion rules before production. Deletion and unsubscribe are different actions; retain only necessary suppression and audit evidence under the agreed policy.</w:t>
      </w:r>
    </w:p>
    <w:p>
      <w:pPr>
        <w:pStyle w:val="Heading2"/>
      </w:pPr>
      <w:r>
        <w:t>Interface contracts and failure behaviour</w:t>
      </w:r>
    </w:p>
    <w:p>
      <w:pPr/>
      <w:r>
        <w:t>Ein can choose endpoint names and vendors, but must demonstrate these logical contracts: submit application/enquiry; fetch scoped lead list/detail; add task/activity; change stage; queue approved email; receive delivery/reply/unsubscribe events; record finance/attendance evidence; export scoped records. Document request fields, validation, authentication, response/reference and retry behaviour for each in his technical proposal.</w:t>
      </w:r>
    </w:p>
    <w:p>
      <w:pPr/>
      <w:r>
        <w:t>Server-side submission success emits a single authoritative saved event with submission_id. Client analytics uses an opaque event ID, never name/email/phone or free-text answers. Provider callbacks are authenticated, deduplicated and tolerate out-of-order delivery. A delivered callback must not override a later bounce, complaint or unsubscribe suppression. On a provider timeout with unknown send outcome, reconcile using the provider message/idempotency reference before retrying.</w:t>
      </w:r>
    </w:p>
    <w:p>
      <w:pPr/>
      <w:r>
        <w:t>Use a durable outbox or equivalent so saved leads and email tasks cannot diverge silently. Failed background jobs enter a visible queue with bounded retries and staff alert. Dashboard queries show last refresh and errors; an unavailable integration must not display zero as if verified.</w:t>
      </w:r>
    </w:p>
    <w:p>
      <w:pPr>
        <w:pStyle w:val="Heading2"/>
      </w:pPr>
      <w:r>
        <w:t>Analytics events and attribution</w:t>
      </w:r>
    </w:p>
    <w:tbl>
      <w:tblPr>
        <w:tblW w:type="auto" w:w="0"/>
        <w:jc w:val="center"/>
        <w:tblLayout w:type="fixed"/>
        <w:tblLook w:firstColumn="1" w:firstRow="1" w:lastColumn="0" w:lastRow="0" w:noHBand="0" w:noVBand="1" w:val="04A0"/>
      </w:tblPr>
      <w:tblGrid>
        <w:gridCol w:w="1872"/>
        <w:gridCol w:w="3600"/>
        <w:gridCol w:w="3888"/>
      </w:tblGrid>
      <w:tr>
        <w:trPr>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Event</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Trigger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Deduplication and permissible dimensions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page_view / session_start</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Consent-appropriate page/session observation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Analytics provider session rules; page path, coarse device, source dimensions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vsl_start / vsl_progress / vsl_complete</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Actual supported player callbacks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Once per session/video/milestone; 25/50/75/complete; no guessed completion</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cta_click</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Named application/enquiry action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Event ID; CTA and page identifiers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form_start</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First meaningful interaction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Once per session/form; no field values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form_error</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Validation or submit failure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Error category and field name, never the rejected content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application_saved / enquiry_saved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Committed backend record</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Once per submission; backend totals remain available without analytics consent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stage_changed / meeting_held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Authorised business event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Audit event ID; backend reporting only</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payment_confirmed / attendance_recorded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Owner-entered evidence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Evidence ID; backend reporting only</w:t>
            </w:r>
          </w:p>
        </w:tc>
      </w:tr>
    </w:tbl>
    <w:p/>
    <w:p>
      <w:pPr/>
      <w:r>
        <w:t>Keep first captured attribution and submission-session attribution separately. Persist attribution across permitted sessions only; do not fingerprint or reconstruct rejected tracking. Strip sensitive query values and store only allowed UTM fields and sanitised paths. Self-reported discovery is another evidence field, not an override. Where marketing and application hosts differ, verify cross-domain handoff and prevent internal referrers from replacing the external source.</w:t>
      </w:r>
    </w:p>
    <w:p>
      <w:pPr>
        <w:pStyle w:val="Heading2"/>
      </w:pPr>
      <w:r>
        <w:t>Communication behaviour</w:t>
      </w:r>
    </w:p>
    <w:p>
      <w:pPr/>
      <w:r>
        <w:t>The companion Communication Copy contains receipts and day 2, 5 and 9 messages for applications, enquiries and enterprise enquiries. These are prepared templates requiring exact-version approval and verified sender/reply routing before activation. The reply-to mailbox must be monitored and replies linked into the lead history.</w:t>
      </w:r>
    </w:p>
    <w:p>
      <w:pPr/>
      <w:r>
        <w:t>Day offsets are calendar days after a saved, eligible submission. Queue nurture at 10:00 Asia/Kolkata on the corresponding day. Transactional receipts are immediate. A receipt never enrols someone in marketing. Only affirmative marketing consent enables nurture. A person has one active sequence for this programme; an enquiry-to-application change stops the enquiry sequence and creates a human review task rather than restarting marketing.</w:t>
      </w:r>
    </w:p>
    <w:p>
      <w:pPr/>
      <w:r>
        <w:t>Check consent, template approval, cohort availability, stage and suppression both when queuing and immediately before dispatch. Stop on reply, meeting booked, offer, payment, withdrawal, unsuitable/closed state, unsubscribe, hard bounce or complaint. Pause for on-hold status or manual conversation. Stopped sequences do not restart automatically. Manual resume is available only for a paused, still-eligible sequence after operator review; never bypass a suppression or send missed messages in a burst.</w:t>
      </w:r>
    </w:p>
    <w:p>
      <w:pPr/>
      <w:r>
        <w:t>If reply detection or unsubscribe processing is unavailable, disable nurture and retain manual requested-service replies. Manual marketing messages obey the same suppression rules. Unsubscribe is one action through a signed opaque link without login; it changes marketing preference and cancels queued messages without exposing contact information. Show generic confirmation for invalid/expired links with a contact route.</w:t>
      </w:r>
    </w:p>
    <w:p>
      <w:pPr/>
      <w:r>
        <w:t>Send internal new-lead and assignment alerts immediately, without private free-text content in notifications. Send one due-task alert per task and a daily 10:00 overdue summary to each owner. Route failed notifications to the integration-failure queue. Staff can change these operational times; do not promise public response times until capacity is confirmed.</w:t>
      </w:r>
    </w:p>
    <w:p>
      <w:pPr>
        <w:pStyle w:val="Heading2"/>
      </w:pPr>
      <w:r>
        <w:t>Acceptance and release evidence</w:t>
      </w:r>
    </w:p>
    <w:p>
      <w:pPr/>
      <w:r>
        <w:t>Ein records each case as not run, passed or failed with environment, date and evidence. This handoff does not mark implementation tests passed.</w:t>
      </w:r>
    </w:p>
    <w:tbl>
      <w:tblPr>
        <w:tblW w:type="auto" w:w="0"/>
        <w:jc w:val="center"/>
        <w:tblLayout w:type="fixed"/>
        <w:tblLook w:firstColumn="1" w:firstRow="1" w:lastColumn="0" w:lastRow="0" w:noHBand="0" w:noVBand="1" w:val="04A0"/>
      </w:tblPr>
      <w:tblGrid>
        <w:gridCol w:w="1872"/>
        <w:gridCol w:w="3600"/>
        <w:gridCol w:w="3888"/>
      </w:tblGrid>
      <w:tr>
        <w:trPr>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ID</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Scenario</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Expected result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E01</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Valid application with and without marketing permission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Saved once, reference shown, receipt queued; nurture only with permission</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E02</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Duplicate click, refresh and network retry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submission reference; one record and one acknowledgement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E03</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Database unavailable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No false success; form values retained for retry; staff can observe failure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E04</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Email outage after save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Lead remains visible; failed outbox item; retry does not create duplicate application</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E05</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Existing contact, new enquiry and later application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One person, preserved submission history, correct applicant count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E06</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Employer sponsorship and enterprise group</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Correct separate routes; sponsor not counted as participant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E07</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Consent declined and anonymous visit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No marketing sequence; no invented person or hidden tracking linkage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E08</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UTM, direct return, external referrer and cross-host form</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First/submission sources retained as defined; unknown stays unknown</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E09</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Reply, meeting booking or unsubscribe before queued send</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Pending nurture cancelled; no later automatic restart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E10</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Provider timeout, duplicate/out-of-order callbacks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No duplicate send; suppression cannot be reversed by stale callbacks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E11</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Role access and guessed record/export URL</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Unauthorised data and mutations denied server-side</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E12</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Stage correction, refund and attendance change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Author and reason retained; finance and attendance independently reported</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E13</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Import conflict and CSV formula-like text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Conflict preview; existing IDs preserved; safe export</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E14</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Synthetic dashboard dataset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Totals reconcile to underlying records, dates and currency; no unknown-as-zero</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E15</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390px, keyboard, zoom and screen-reader form labels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No covered controls, missing labels or inaccessible error/success feedback</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E16</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Backup restore and integration disconnect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Restored data verified; stale/error state visible instead of fabricated zero</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E17</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Public indexing and private administration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Public copy crawlable; admin/API authenticated; no private data in search or analytics</w:t>
            </w:r>
          </w:p>
        </w:tc>
      </w:tr>
      <w:t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E18</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Closure of applications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Application disabled truthfully; enquiries available; queued promotional invitations stopped</w:t>
            </w:r>
          </w:p>
        </w:tc>
      </w:tr>
    </w:tbl>
    <w:p/>
    <w:p>
      <w:pPr/>
      <w:r>
        <w:t>Before release, confirm sender domain authentication, monitored reply handling, unsubscribe, approved privacy facts, staff accounts, working route, final public copy and rollback procedure. Use synthetic records and a controlled test mailbox. Record cleanup of test records before opening production. Ein presents staging evidence; Sunil/client authorises publication.</w:t>
      </w:r>
    </w:p>
    <w:p>
      <w:r>
        <w:br w:type="page"/>
      </w:r>
    </w:p>
    <w:p>
      <w:pPr>
        <w:pStyle w:val="Heading1"/>
      </w:pPr>
      <w:r>
        <w:t>Design agentic systems. Guide your team.</w:t>
      </w:r>
    </w:p>
    <w:p>
      <w:pPr/>
      <w:r>
        <w:t>Build a working agentic system with Sunil Mathew. Develop the ability to explain its design, examine its behaviour and guide the decisions behind it.</w:t>
      </w:r>
    </w:p>
    <w:p>
      <w:pPr/>
      <w:r>
        <w:t>30 live hours plus independent work.</w:t>
      </w:r>
    </w:p>
    <w:p>
      <w:pPr/>
      <w:r>
        <w:t>Apply for the open cohort</w:t>
      </w:r>
    </w:p>
    <w:p>
      <w:pPr/>
      <w:r>
        <w:t>Ask about the cohort</w:t>
      </w:r>
    </w:p>
    <w:p>
      <w:pPr>
        <w:pStyle w:val="Heading2"/>
      </w:pPr>
      <w:r>
        <w:t>For people who already work with system design</w:t>
      </w:r>
    </w:p>
    <w:p>
      <w:pPr/>
      <w:r>
        <w:t>You may be an experienced engineer, architect or engineering leader. You understand that a system’s design involves trade-offs, and you want to deepen how you approach those choices in agentic systems.</w:t>
      </w:r>
    </w:p>
    <w:p>
      <w:pPr/>
      <w:r>
        <w:t>Bring prior system-design exposure, a learning goal and the willingness to build, explain your decisions and revise your work through feedback.</w:t>
      </w:r>
    </w:p>
    <w:p>
      <w:pPr>
        <w:pStyle w:val="Heading2"/>
      </w:pPr>
      <w:r>
        <w:t>Follow a decision beyond the demo</w:t>
      </w:r>
    </w:p>
    <w:p>
      <w:pPr/>
      <w:r>
        <w:t>Imagine a returns assistant that reads a policy and recommends a refund. Now give it a tool that can issue the refund. The system can move money, and its design needs to account for that responsibility.</w:t>
      </w:r>
    </w:p>
    <w:p>
      <w:pPr/>
      <w:r>
        <w:t>What evidence permits the action? How does it recognise a repeated request? What happens when the policy is unclear or a tool result is uncertain?</w:t>
      </w:r>
    </w:p>
    <w:p>
      <w:pPr/>
      <w:r>
        <w:t>This illustrative example shows the kind of connection you will practise: from a design choice to behaviour you can examine.</w:t>
      </w:r>
    </w:p>
    <w:p>
      <w:pPr>
        <w:pStyle w:val="Heading2"/>
      </w:pPr>
      <w:r>
        <w:t>Develop practical design judgment</w:t>
      </w:r>
    </w:p>
    <w:p>
      <w:pPr/>
      <w:r>
        <w:t>Build a working agentic system and connect its behaviour to the architecture behind it. Practise explaining why a boundary exists, what evidence supports a decision and what you would change next.</w:t>
      </w:r>
    </w:p>
    <w:p>
      <w:pPr/>
      <w:r>
        <w:t>Develop how you design and critique agentic systems, review a team’s proposal and provide useful guidance.</w:t>
      </w:r>
    </w:p>
    <w:p>
      <w:pPr>
        <w:pStyle w:val="Heading2"/>
      </w:pPr>
      <w:r>
        <w:t>What the work explores</w:t>
      </w:r>
    </w:p>
    <w:p>
      <w:pPr/>
      <w:r>
        <w:t>Purpose and constraints: frame the task, the context and the choices the system needs to support.</w:t>
      </w:r>
    </w:p>
    <w:p>
      <w:pPr/>
      <w:r>
        <w:t>Tools and authority: examine what the system may do, the evidence it needs and where a person should decide.</w:t>
      </w:r>
    </w:p>
    <w:p>
      <w:pPr/>
      <w:r>
        <w:t>Evaluation: inspect behaviour and failures, and connect findings to a useful design change.</w:t>
      </w:r>
    </w:p>
    <w:p>
      <w:pPr/>
      <w:r>
        <w:t>Reliability and cost: consider uncertain results, retries, review effort and the trade-offs around the model.</w:t>
      </w:r>
    </w:p>
    <w:p>
      <w:pPr/>
      <w:r>
        <w:t>Design review: explain the architecture, listen to challenges and identify the next useful piece of work.</w:t>
      </w:r>
    </w:p>
    <w:p>
      <w:pPr>
        <w:pStyle w:val="Heading2"/>
      </w:pPr>
      <w:r>
        <w:t>Build, examine and revise</w:t>
      </w:r>
    </w:p>
    <w:p>
      <w:pPr/>
      <w:r>
        <w:t>The working system gives the discussions something concrete to return to. Build an approach, examine what happens and use continuous feedback to understand strengths, gaps and follow-up work.</w:t>
      </w:r>
    </w:p>
    <w:p>
      <w:pPr/>
      <w:r>
        <w:t>Industry-specific practice is the default. Company-specific work needs a separate conversation about scope and permission.</w:t>
      </w:r>
    </w:p>
    <w:p>
      <w:pPr>
        <w:pStyle w:val="Heading2"/>
      </w:pPr>
      <w:r>
        <w:t>Work with Sunil Mathew</w:t>
      </w:r>
    </w:p>
    <w:p>
      <w:pPr/>
      <w:r>
        <w:t>Sunil brings engineering and leadership experience from Google, Amazon, Walmart and startups. His focus is the reasoning behind a system’s design and the evidence that helps a team make its next decision.</w:t>
      </w:r>
    </w:p>
    <w:p>
      <w:pPr>
        <w:pStyle w:val="Heading2"/>
      </w:pPr>
      <w:r>
        <w:t>Make room for the work</w:t>
      </w:r>
    </w:p>
    <w:p>
      <w:pPr/>
      <w:r>
        <w:t>The programme includes 30 live hours with Sunil, plus independent work. Confirm the session schedule, independent-work commitment, attendance support and access arrangements before joining.</w:t>
      </w:r>
    </w:p>
    <w:p>
      <w:pPr/>
      <w:r>
        <w:t>The open cohort targets eight members. Discuss current availability during the fit conversation. Applying starts a discussion; admission, payment and attendance confirmation are separate steps.</w:t>
      </w:r>
    </w:p>
    <w:p>
      <w:pPr>
        <w:pStyle w:val="Heading2"/>
      </w:pPr>
      <w:r>
        <w:t>Questions before joining</w:t>
      </w:r>
    </w:p>
    <w:p>
      <w:pPr>
        <w:pStyle w:val="Heading3"/>
      </w:pPr>
      <w:r>
        <w:t>Do I need a company project?</w:t>
      </w:r>
    </w:p>
    <w:p>
      <w:pPr/>
      <w:r>
        <w:t>No. Industry-specific cases are the default. Do not share confidential company materials in an application.</w:t>
      </w:r>
    </w:p>
    <w:p>
      <w:pPr>
        <w:pStyle w:val="Heading3"/>
      </w:pPr>
      <w:r>
        <w:t>Can my employer fund my place?</w:t>
      </w:r>
    </w:p>
    <w:p>
      <w:pPr/>
      <w:r>
        <w:t>Yes. Apply as an individual and ask for the employer-funding summary. An enterprise group programme is a separate purchase and scoping conversation.</w:t>
      </w:r>
    </w:p>
    <w:p>
      <w:pPr>
        <w:pStyle w:val="Heading3"/>
      </w:pPr>
      <w:r>
        <w:t>Is there a certificate?</w:t>
      </w:r>
    </w:p>
    <w:p>
      <w:pPr/>
      <w:r>
        <w:t>No. The focus is the capability you develop through practical work and continuous feedback.</w:t>
      </w:r>
    </w:p>
    <w:p>
      <w:pPr>
        <w:pStyle w:val="Heading3"/>
      </w:pPr>
      <w:r>
        <w:t>How much independent work is involved?</w:t>
      </w:r>
    </w:p>
    <w:p>
      <w:pPr/>
      <w:r>
        <w:t>Independent work is additional to the 30 live hours. Its amount and interval will be confirmed before joining.</w:t>
      </w:r>
    </w:p>
    <w:p>
      <w:pPr>
        <w:pStyle w:val="Heading3"/>
      </w:pPr>
      <w:r>
        <w:t>What are the dates and fees?</w:t>
      </w:r>
    </w:p>
    <w:p>
      <w:pPr/>
      <w:r>
        <w:t>Confirm the schedule, fees, payment, refund and access terms in the final offer before committing.</w:t>
      </w:r>
    </w:p>
    <w:p>
      <w:pPr>
        <w:pStyle w:val="Heading3"/>
      </w:pPr>
      <w:r>
        <w:t>Can we arrange learning for a team?</w:t>
      </w:r>
    </w:p>
    <w:p>
      <w:pPr/>
      <w:r>
        <w:t>An enterprise programme normally brings 8–10 participants together with a schedule agreed for the group. Begin with your learning objective, participant experience and industry context.</w:t>
      </w:r>
    </w:p>
    <w:p>
      <w:pPr>
        <w:pStyle w:val="Heading2"/>
      </w:pPr>
      <w:r>
        <w:t>Start with your experience and a question</w:t>
      </w:r>
    </w:p>
    <w:p>
      <w:pPr/>
      <w:r>
        <w:t>Tell us about your system-design experience, your current responsibilities and what you want to develop. Let us know whether you are self-funded or exploring employer support.</w:t>
      </w:r>
    </w:p>
    <w:p>
      <w:pPr/>
      <w:r>
        <w:t>Apply for the open cohort</w:t>
      </w:r>
    </w:p>
    <w:p>
      <w:pPr/>
      <w:r>
        <w:t>Programme enquiries and employer-funding support: apply@thelivingcraft.ai</w:t>
      </w:r>
    </w:p>
    <w:p>
      <w:pPr/>
      <w:r>
        <w:t>Enterprise enquiries: apply@thelivingcraft.ai</w:t>
      </w:r>
    </w:p>
    <w:p>
      <w:r>
        <w:br w:type="page"/>
      </w:r>
    </w:p>
    <w:p>
      <w:pPr>
        <w:pStyle w:val="Heading1"/>
      </w:pPr>
      <w:r>
        <w:t>A working system and the decisions behind it</w:t>
      </w:r>
    </w:p>
    <w:p>
      <w:pPr/>
      <w:r>
        <w:t>Imagine you are watching an agent handle a customer’s return. It finds a policy, explains the options and recommends a refund. The conversation looks good. You can follow the answer, and it is easy to see how the idea could be useful.</w:t>
      </w:r>
    </w:p>
    <w:p>
      <w:pPr/>
      <w:r>
        <w:t>Then someone asks a perfectly reasonable question. Can it issue the refund as well?</w:t>
      </w:r>
    </w:p>
    <w:p>
      <w:pPr/>
      <w:r>
        <w:t>On a diagram, that might look like one more connection. In the real world, the system can now move money. And that changes the conversation.</w:t>
      </w:r>
    </w:p>
    <w:p>
      <w:pPr/>
      <w:r>
        <w:t>What gives it permission? Which evidence is enough? What happens when the same customer sends the same request twice? What if the tool times out and we cannot tell whether the refund happened?</w:t>
      </w:r>
    </w:p>
    <w:p>
      <w:pPr/>
      <w:r>
        <w:t>This is an illustrative example. But it captures the kind of question I want us to spend time on: how do we connect what an agent can do with a design we can understand, examine and explain?</w:t>
      </w:r>
    </w:p>
    <w:p>
      <w:pPr/>
      <w:r>
        <w:t>I’m Sunil Mathew. My engineering and leadership experience includes Google, Amazon, Walmart and startups. At The Living Craft, I bring that perspective into a practical programme on designing and critiquing agentic systems, and guiding a team’s architecture decisions.</w:t>
      </w:r>
    </w:p>
    <w:p>
      <w:pPr/>
      <w:r>
        <w:t>If you already work with system design, you know that the interesting part is often the trade-off. A design can look clean until you put it next to a real constraint. A useful review helps you understand which decision matters and what evidence would change your mind.</w:t>
      </w:r>
    </w:p>
    <w:p>
      <w:pPr/>
      <w:r>
        <w:t>Let’s go back to the returns example for a moment. I would first separate the recommendation from the action. The assistant might gather policy evidence and prepare an answer. The refund tool needs its own controls over what it will actually allow.</w:t>
      </w:r>
    </w:p>
    <w:p>
      <w:pPr/>
      <w:r>
        <w:t>Then I would look at uncertainty. Suppose the request falls outside the policy we have. We need a clear next step. Suppose the tool responds slowly or gives us an ambiguous result. We need a way to examine the state of the action before deciding whether to repeat it.</w:t>
      </w:r>
    </w:p>
    <w:p>
      <w:pPr/>
      <w:r>
        <w:t>And I would want to see more than a successful final answer. Which evidence did the system use? What did the tool do? Did the workflow stay within its intended boundaries? If something went wrong, can the team explain where and why?</w:t>
      </w:r>
    </w:p>
    <w:p>
      <w:pPr/>
      <w:r>
        <w:t>Once we can see those things, evaluation becomes useful to the design. It can tell us where a permission is too broad, where evidence is missing or where a person needs to make a decision. We can make a change and examine the behaviour again.</w:t>
      </w:r>
    </w:p>
    <w:p>
      <w:pPr/>
      <w:r>
        <w:t>That connection between building, reasoning and evidence is central to The Living Craft. You work on a functioning agentic system, and you practise explaining the choices behind it. The working system gives us something concrete to discuss and revise.</w:t>
      </w:r>
    </w:p>
    <w:p>
      <w:pPr/>
      <w:r>
        <w:t>We explore purpose and constraints, tools and authority, evaluation, reliability, cost and accountability. The aim is to strengthen your ability to design and critique the system, and to help a team reason through its own design decisions.</w:t>
      </w:r>
    </w:p>
    <w:p>
      <w:pPr/>
      <w:r>
        <w:t>Guiding a team does not mean replacing every idea with your preferred architecture. It means understanding the decision in front of the team, asking useful questions and helping identify the next piece of work. Perhaps that is a test. Perhaps it is a narrower permission. Perhaps it is a clearer explanation of the trade-off.</w:t>
      </w:r>
    </w:p>
    <w:p>
      <w:pPr/>
      <w:r>
        <w:t>Continuous feedback supports that practice. We look at strengths, gaps and what to work on next. There is no certificate. The focus is the capability you develop through the work and the discussions around it.</w:t>
      </w:r>
    </w:p>
    <w:p>
      <w:pPr/>
      <w:r>
        <w:t>The programme includes 30 live hours with me, plus independent work. Before joining, we will need to confirm the session schedule, the independent-work commitment and the complete programme terms with you. Make room for the practical work as well as the live conversations.</w:t>
      </w:r>
    </w:p>
    <w:p>
      <w:pPr/>
      <w:r>
        <w:t>You do not need to bring confidential company architecture to apply. Industry-specific practice is the default. A company-specific case needs its own scope and permission. If your organisation wants a team programme, that is a separate enterprise conversation.</w:t>
      </w:r>
    </w:p>
    <w:p>
      <w:pPr/>
      <w:r>
        <w:t>For the open cohort, the useful starting point is your experience. What systems have you worked with? Which decisions are you responsible for? What would you like to get better at designing, reviewing or explaining? You may be self-funded or need employer support; the application can help us understand that route too.</w:t>
      </w:r>
    </w:p>
    <w:p>
      <w:pPr/>
      <w:r>
        <w:t>If this is the kind of practice you are looking for, explore the open cohort. Tell us about your starting point and one question you want to work on. We can discuss fit, current availability and the full commitment before you decide.</w:t>
      </w:r>
    </w:p>
    <w:p>
      <w:r>
        <w:br w:type="page"/>
      </w:r>
    </w:p>
    <w:p>
      <w:pPr>
        <w:pStyle w:val="Heading1"/>
      </w:pPr>
      <w:r>
        <w:t>Cohort communication copy</w:t>
      </w:r>
    </w:p>
    <w:p>
      <w:pPr/>
      <w:r>
        <w:t>The Living Craft</w:t>
      </w:r>
    </w:p>
    <w:p>
      <w:pPr>
        <w:pStyle w:val="Heading2"/>
      </w:pPr>
      <w:r>
        <w:t>application-receipt</w:t>
      </w:r>
    </w:p>
    <w:p>
      <w:pPr/>
      <w:r>
        <w:t>Subject: We have received your Living Craft application</w:t>
      </w:r>
    </w:p>
    <w:p>
      <w:pPr/>
      <w:r>
        <w:t>Thank you for applying to The Living Craft.</w:t>
      </w:r>
    </w:p>
    <w:p>
      <w:pPr/>
      <w:r>
        <w:t>We have received your experience and learning goal. The next step is a conversation about programme fit and the commitment involved.</w:t>
      </w:r>
    </w:p>
    <w:p>
      <w:pPr/>
      <w:r>
        <w:t>Applying does not confirm admission or a place. Schedule, workload and final terms should be clear before you decide.</w:t>
      </w:r>
    </w:p>
    <w:p>
      <w:pPr/>
      <w:r>
        <w:t>If you have a question or need to correct your application, reply to this email.</w:t>
      </w:r>
    </w:p>
    <w:p>
      <w:pPr/>
      <w:r>
        <w:t>The Living Craft</w:t>
      </w:r>
    </w:p>
    <w:p>
      <w:pPr>
        <w:pStyle w:val="Heading2"/>
      </w:pPr>
      <w:r>
        <w:t>enquiry-receipt</w:t>
      </w:r>
    </w:p>
    <w:p>
      <w:pPr/>
      <w:r>
        <w:t>Subject: We have received your cohort enquiry</w:t>
      </w:r>
    </w:p>
    <w:p>
      <w:pPr/>
      <w:r>
        <w:t>Thank you for getting in touch about The Living Craft.</w:t>
      </w:r>
    </w:p>
    <w:p>
      <w:pPr/>
      <w:r>
        <w:t>Your enquiry has been received. We will review your question and contact you about the next step.</w:t>
      </w:r>
    </w:p>
    <w:p>
      <w:pPr/>
      <w:r>
        <w:t>If there is anything you would like to add, reply to this email. Please avoid sending confidential company materials.</w:t>
      </w:r>
    </w:p>
    <w:p>
      <w:pPr/>
      <w:r>
        <w:t>The Living Craft</w:t>
      </w:r>
    </w:p>
    <w:p>
      <w:pPr>
        <w:pStyle w:val="Heading2"/>
      </w:pPr>
      <w:r>
        <w:t>enterprise-receipt</w:t>
      </w:r>
    </w:p>
    <w:p>
      <w:pPr/>
      <w:r>
        <w:t>Subject: Your Living Craft team enquiry</w:t>
      </w:r>
    </w:p>
    <w:p>
      <w:pPr/>
      <w:r>
        <w:t>Thank you for contacting The Living Craft about your team.</w:t>
      </w:r>
    </w:p>
    <w:p>
      <w:pPr/>
      <w:r>
        <w:t>We have received your enquiry. We will begin with your learning objective, participant experience and industry context, then coordinate a scoping discussion with Sunil.</w:t>
      </w:r>
    </w:p>
    <w:p>
      <w:pPr/>
      <w:r>
        <w:t>Please reply if you would like to add context. Company-specific work requires agreed scope and permission; no confidential documents are needed to begin.</w:t>
      </w:r>
    </w:p>
    <w:p>
      <w:pPr/>
      <w:r>
        <w:t>The Living Craft</w:t>
      </w:r>
    </w:p>
    <w:p>
      <w:pPr>
        <w:pStyle w:val="Heading2"/>
      </w:pPr>
      <w:r>
        <w:t>application-day2</w:t>
      </w:r>
    </w:p>
    <w:p>
      <w:pPr/>
      <w:r>
        <w:t>Subject: The design question behind a working agent</w:t>
      </w:r>
    </w:p>
    <w:p>
      <w:pPr/>
      <w:r>
        <w:t>Imagine a returns assistant that recommends a refund. Giving it the ability to issue that refund adds questions about evidence, permissions and repeated requests.</w:t>
      </w:r>
    </w:p>
    <w:p>
      <w:pPr/>
      <w:r>
        <w:t>At The Living Craft, the working system gives these design choices something concrete to connect to. Members build, examine behaviour and revise through feedback.</w:t>
      </w:r>
    </w:p>
    <w:p>
      <w:pPr/>
      <w:r>
        <w:t>As you consider the programme, which decision would you like to become better at explaining? You can reply with a non-confidential example.</w:t>
      </w:r>
    </w:p>
    <w:p>
      <w:pPr/>
      <w:r>
        <w:t>The Living Craft</w:t>
      </w:r>
    </w:p>
    <w:p>
      <w:pPr/>
      <w:r>
        <w:t>You asked to receive programme updates and practical resources.</w:t>
      </w:r>
    </w:p>
    <w:p>
      <w:pPr/>
      <w:r>
        <w:t>Unsubscribe</w:t>
      </w:r>
    </w:p>
    <w:p>
      <w:pPr>
        <w:pStyle w:val="Heading2"/>
      </w:pPr>
      <w:r>
        <w:t>enquiry-day2</w:t>
      </w:r>
    </w:p>
    <w:p>
      <w:pPr/>
      <w:r>
        <w:t>Subject: What you would practise at The Living Craft</w:t>
      </w:r>
    </w:p>
    <w:p>
      <w:pPr/>
      <w:r>
        <w:t>The Living Craft connects practical building with architecture reasoning. Members work on an agentic system and examine tools, authority, evaluation, reliability and cost.</w:t>
      </w:r>
    </w:p>
    <w:p>
      <w:pPr/>
      <w:r>
        <w:t>An illustrative returns assistant is a useful starting point: recommending a refund and issuing it involve different responsibilities. The programme explores how to make those choices visible and testable.</w:t>
      </w:r>
    </w:p>
    <w:p>
      <w:pPr/>
      <w:r>
        <w:t>If that matches what you want to develop, explore the programme page or reply with your question.</w:t>
      </w:r>
    </w:p>
    <w:p>
      <w:pPr/>
      <w:r>
        <w:t>https://learning.thelivingcraft.ai/</w:t>
      </w:r>
    </w:p>
    <w:p>
      <w:pPr/>
      <w:r>
        <w:t>The Living Craft</w:t>
      </w:r>
    </w:p>
    <w:p>
      <w:pPr/>
      <w:r>
        <w:t>You asked to receive programme updates and practical resources.</w:t>
      </w:r>
    </w:p>
    <w:p>
      <w:pPr/>
      <w:r>
        <w:t>Unsubscribe</w:t>
      </w:r>
    </w:p>
    <w:p>
      <w:pPr>
        <w:pStyle w:val="Heading2"/>
      </w:pPr>
      <w:r>
        <w:t>enterprise-day2</w:t>
      </w:r>
    </w:p>
    <w:p>
      <w:pPr/>
      <w:r>
        <w:t>Subject: Start with the decision your team needs to make</w:t>
      </w:r>
    </w:p>
    <w:p>
      <w:pPr/>
      <w:r>
        <w:t>A team learning brief becomes more useful when it names an engineering responsibility.</w:t>
      </w:r>
    </w:p>
    <w:p>
      <w:pPr/>
      <w:r>
        <w:t>That might be designing an agentic workflow, evaluating its behaviour or reviewing the architecture proposed by another team. The Living Craft connects those responsibilities to a working system and continuous feedback.</w:t>
      </w:r>
    </w:p>
    <w:p>
      <w:pPr/>
      <w:r>
        <w:t>Which capability matters most for your group? Reply with your learning objective and the participants’ starting point.</w:t>
      </w:r>
    </w:p>
    <w:p>
      <w:pPr/>
      <w:r>
        <w:t>The Living Craft</w:t>
      </w:r>
    </w:p>
    <w:p>
      <w:pPr/>
      <w:r>
        <w:t>You asked to receive programme updates and practical resources.</w:t>
      </w:r>
    </w:p>
    <w:p>
      <w:pPr/>
      <w:r>
        <w:t>Unsubscribe</w:t>
      </w:r>
    </w:p>
    <w:p>
      <w:pPr>
        <w:pStyle w:val="Heading2"/>
      </w:pPr>
      <w:r>
        <w:t>application-day5</w:t>
      </w:r>
    </w:p>
    <w:p>
      <w:pPr/>
      <w:r>
        <w:t>Subject: Making room for the practical work</w:t>
      </w:r>
    </w:p>
    <w:p>
      <w:pPr/>
      <w:r>
        <w:t>The Living Craft includes 30 live hours with Sunil, plus independent work. Both belong in the decision to join.</w:t>
      </w:r>
    </w:p>
    <w:p>
      <w:pPr/>
      <w:r>
        <w:t>Confirm the detailed schedule and independent-work expectation before committing. If your employer would fund your place, it can help to explain the responsibility you want to develop and the time you will need.</w:t>
      </w:r>
    </w:p>
    <w:p>
      <w:pPr/>
      <w:r>
        <w:t>Reply if you would like the employer-funding summary or have a question about commitment. Individual sponsorship and an enterprise group purchase are separate routes.</w:t>
      </w:r>
    </w:p>
    <w:p>
      <w:pPr/>
      <w:r>
        <w:t>The Living Craft</w:t>
      </w:r>
    </w:p>
    <w:p>
      <w:pPr/>
      <w:r>
        <w:t>You asked to receive programme updates and practical resources.</w:t>
      </w:r>
    </w:p>
    <w:p>
      <w:pPr/>
      <w:r>
        <w:t>Unsubscribe</w:t>
      </w:r>
    </w:p>
    <w:p>
      <w:pPr>
        <w:pStyle w:val="Heading2"/>
      </w:pPr>
      <w:r>
        <w:t>enquiry-day5</w:t>
      </w:r>
    </w:p>
    <w:p>
      <w:pPr/>
      <w:r>
        <w:t>Subject: Is the cohort the right next step for you?</w:t>
      </w:r>
    </w:p>
    <w:p>
      <w:pPr/>
      <w:r>
        <w:t>The cohort is for people with prior system-design exposure who want to build, explain choices and revise their work through feedback.</w:t>
      </w:r>
    </w:p>
    <w:p>
      <w:pPr/>
      <w:r>
        <w:t>The commitment is 30 live hours plus independent work. Final schedule, workload, fees and terms should be clear before you join.</w:t>
      </w:r>
    </w:p>
    <w:p>
      <w:pPr/>
      <w:r>
        <w:t>If you need employer support, reply for the funding summary. If you are still exploring fit, tell us which design responsibility you want to strengthen.</w:t>
      </w:r>
    </w:p>
    <w:p>
      <w:pPr/>
      <w:r>
        <w:t>The Living Craft</w:t>
      </w:r>
    </w:p>
    <w:p>
      <w:pPr/>
      <w:r>
        <w:t>You asked to receive programme updates and practical resources.</w:t>
      </w:r>
    </w:p>
    <w:p>
      <w:pPr/>
      <w:r>
        <w:t>Unsubscribe</w:t>
      </w:r>
    </w:p>
    <w:p>
      <w:pPr>
        <w:pStyle w:val="Heading2"/>
      </w:pPr>
      <w:r>
        <w:t>enterprise-day5</w:t>
      </w:r>
    </w:p>
    <w:p>
      <w:pPr/>
      <w:r>
        <w:t>Subject: What helps shape a useful team programme</w:t>
      </w:r>
    </w:p>
    <w:p>
      <w:pPr/>
      <w:r>
        <w:t>A useful scoping conversation covers participant experience, the engineering sponsor, industry context and scheduling constraints.</w:t>
      </w:r>
    </w:p>
    <w:p>
      <w:pPr/>
      <w:r>
        <w:t>Enterprise programmes normally involve 8–10 participants. Industry-specific examples and assignments are the default. A company case needs a coherent team, agreed boundaries and permission to use the material.</w:t>
      </w:r>
    </w:p>
    <w:p>
      <w:pPr/>
      <w:r>
        <w:t>Reply with the context you can share, or let us know who should join the discussion. Final scope and commercial terms are agreed with Sunil.</w:t>
      </w:r>
    </w:p>
    <w:p>
      <w:pPr/>
      <w:r>
        <w:t>The Living Craft</w:t>
      </w:r>
    </w:p>
    <w:p>
      <w:pPr/>
      <w:r>
        <w:t>You asked to receive programme updates and practical resources.</w:t>
      </w:r>
    </w:p>
    <w:p>
      <w:pPr/>
      <w:r>
        <w:t>Unsubscribe</w:t>
      </w:r>
    </w:p>
    <w:p>
      <w:pPr>
        <w:pStyle w:val="Heading2"/>
      </w:pPr>
      <w:r>
        <w:t>application-day9</w:t>
      </w:r>
    </w:p>
    <w:p>
      <w:pPr/>
      <w:r>
        <w:t>Subject: A question before your next step</w:t>
      </w:r>
    </w:p>
    <w:p>
      <w:pPr/>
      <w:r>
        <w:t>Is there anything you still need to understand about programme fit, practical work or the commitment?</w:t>
      </w:r>
    </w:p>
    <w:p>
      <w:pPr/>
      <w:r>
        <w:t>Reply with your question and we can coordinate the next conversation. There is no need to share confidential architecture or decide before the schedule and final terms are clear.</w:t>
      </w:r>
    </w:p>
    <w:p>
      <w:pPr/>
      <w:r>
        <w:t>The Living Craft</w:t>
      </w:r>
    </w:p>
    <w:p>
      <w:pPr/>
      <w:r>
        <w:t>You asked to receive programme updates and practical resources.</w:t>
      </w:r>
    </w:p>
    <w:p>
      <w:pPr/>
      <w:r>
        <w:t>Unsubscribe</w:t>
      </w:r>
    </w:p>
    <w:p>
      <w:pPr>
        <w:pStyle w:val="Heading2"/>
      </w:pPr>
      <w:r>
        <w:t>enquiry-day9</w:t>
      </w:r>
    </w:p>
    <w:p>
      <w:pPr/>
      <w:r>
        <w:t>Subject: Your next step with The Living Craft</w:t>
      </w:r>
    </w:p>
    <w:p>
      <w:pPr/>
      <w:r>
        <w:t>If the programme fits the responsibility you want to develop, the application is a useful way to begin. Tell us about your system-design experience and one question you want to work on.</w:t>
      </w:r>
    </w:p>
    <w:p>
      <w:pPr/>
      <w:r>
        <w:t>https://learning.thelivingcraft.ai/</w:t>
      </w:r>
    </w:p>
    <w:p>
      <w:pPr/>
      <w:r>
        <w:t>If you are still deciding, you can simply reply with your question. An application begins a fit conversation; it is not a payment or a confirmed place.</w:t>
      </w:r>
    </w:p>
    <w:p>
      <w:pPr/>
      <w:r>
        <w:t>The Living Craft</w:t>
      </w:r>
    </w:p>
    <w:p>
      <w:pPr/>
      <w:r>
        <w:t>You asked to receive programme updates and practical resources.</w:t>
      </w:r>
    </w:p>
    <w:p>
      <w:pPr/>
      <w:r>
        <w:t>Unsubscribe</w:t>
      </w:r>
    </w:p>
    <w:p>
      <w:pPr>
        <w:pStyle w:val="Heading2"/>
      </w:pPr>
      <w:r>
        <w:t>enterprise-day9</w:t>
      </w:r>
    </w:p>
    <w:p>
      <w:pPr/>
      <w:r>
        <w:t>Subject: Would a team scoping conversation help?</w:t>
      </w:r>
    </w:p>
    <w:p>
      <w:pPr/>
      <w:r>
        <w:t>If agentic-system design is a current learning priority for your team, we can coordinate a conversation with Sunil about the objective, people and scope.</w:t>
      </w:r>
    </w:p>
    <w:p>
      <w:pPr/>
      <w:r>
        <w:t>Reply with suitable times or the question you would like the discussion to resolve. If the timing is not right, let us know and we will close the follow-up for now.</w:t>
      </w:r>
    </w:p>
    <w:p>
      <w:pPr/>
      <w:r>
        <w:t>The Living Craft</w:t>
      </w:r>
    </w:p>
    <w:p>
      <w:pPr/>
      <w:r>
        <w:t>You asked to receive programme updates and practical resources.</w:t>
      </w:r>
    </w:p>
    <w:p>
      <w:pPr/>
      <w:r>
        <w:t>Unsubscribe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The Living Craft | Cohort handoff | 10 September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4" w:lineRule="auto"/>
    </w:pPr>
    <w:rPr>
      <w:rFonts w:ascii="Calibri" w:hAnsi="Calibri"/>
      <w:sz w:val="22"/>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32"/>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24"/>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Cohort website and backend</dc:title>
  <cp:lastModifiedBy>python-docx</cp:lastModifiedBy>
  <cp:revision>1</cp:revision>
  <dcterms:modified xsi:type="dcterms:W3CDTF">2026-09-10T10:59:46Z</dcterms:modified>
  <dc:creator>Team Alchemy</dc:creator>
</cp:coreProperties>
</file>