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Représentation des processus biologiques communs entre plusieurs protéines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partir de données transcriptomiques, protéomiques ou interactomiques, il est intéressant de chercher les voies biologiques communes.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L'ensemble des processus biologiques de chaque protéine a été récupéré avec l'API de QUICKGO. </w:t>
      </w:r>
    </w:p>
    <w:p w:rsidR="00000000" w:rsidDel="00000000" w:rsidP="00000000" w:rsidRDefault="00000000" w:rsidRPr="00000000" w14:paraId="00000008">
      <w:pPr>
        <w:rPr/>
      </w:pPr>
      <w:r w:rsidDel="00000000" w:rsidR="00000000" w:rsidRPr="00000000">
        <w:rPr>
          <w:rtl w:val="0"/>
        </w:rPr>
        <w:t xml:space="preserve">L'utilisateur doit rentrer une liste de protéines et obtient en sortie un graphe au format PNG ainsi que la liste des protéines et leur processus biologiques.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graphe représente les protéines de la liste en rouge et les processus biologiques en vert.  Deux protéines sont reliées par un processus biologique qu’elles partagent ou bien par l’ancêtre commun le plus proche de leurs  processus. Ces données sont issues de la Gene Ontology de la librairie goatools. L'épaisseur des arêtes du graphe est proportionnelle au niveau du GO term correspondant au processus biologique.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