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процесса проведения исследований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Перевод НПА и НТД в цифровую форму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Существует некоторая путаница в отношении использования таких терминов, как: оцифровка, цифровизация и цифровое преобразование.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Для любых документов можно выделить следующие “уровни” цифровизации: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 представлен в бумажном виде;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 представлен в виде файла, содержащего графическое изображение документа;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 представлен в виде файла, содержащего только текст (набор символов) документа;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 представлен в виде файла, помимо текста содержащего информацию о структуре документа (разделение на разделы, пункты и т.п.);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 представлен в виде файла, содержащего текст, структуру и разметку (выделение в тексте отдельных терминов);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 представлен в виде файла (набора файлов), содержащего машиночитаемые правила.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В настоящее время документы в цифровой форме в основном, представляют собой документы уровня 4. Процедура, позволяющая перевести документы с уровня 1 на уровень 4 называется “оптическим распознаванием символов” (optical character recognition, OCR). Процедура OCR в настоящее время реализована во многих программных продуктах, таких как Abbyy FineReader, CuneiForm, Adobe Acrobat DC и т.п. И не является предметом НИР.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Процедура, переводящая документы с уровня 4 на уровень 5 называется “разметкой документа” (annotation). Разметка документа это процесс добавления информации в текст документа, выполняемый вручную экспертами. Процесс добавления информации в текст обычно требует принятием экспертов решения о разметке того или иного участка текста, базирующегося как на самом тексте, так и на знаниях эксперта. Обычно процесс разметки документа состоит в выделении фрагмента текста, подлежащих аннотации и добавлению к выбранному фрагменту дополнительной информации из фиксированного классификатора.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Размеченные документы обычно используются в задачах искусственного интеллекта и машинного обучения связанных с задачами обработки текста на естественном языке.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Необходимо отметить, что содержимое классификатора, используемого для разметки документа зависит от задачи, в рамках решения которой проводится разметка документа.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В дальнейшем, используя документы уровня 5, можно приступать к формированию машиночитаемых правил.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Документ уровня 2-4 обычно хранятся в виде одного файла, размещаемого на файловой системе компьютера. Документ уровня 5 или 6 может быть представлен несколькими файлами и, как правило, для хранения и работы с этими документами используются специализированное программное обеспечение или информационные системы.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Процесс перевода НПА и НТД в цифровую форму можно разделить на следующие этапы: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Формирование машиночитаемого корпуса документов (OCR) - формирование корпуса документов, удовлетворяющих требованиям уровня 4;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Разметка корпуса документов - классификация содержимого документов в соответствии с поставленной задачей и перевод документов на уровень 5;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Формирование машиночитаемых правил на основании размеченных документов.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На основе опыта Сингапура в области автоматизированных проверок была выработана система классификации документов, используемая для разметки корпуса документов в рамках задачи оцифровки нормативов для автоматизированной проверки информационной модели строительного объекта на основе требований НТД. Система классификации документов приведена в таблице ____.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790"/>
        <w:gridCol w:w="2895"/>
        <w:gridCol w:w="2850"/>
        <w:tblGridChange w:id="0">
          <w:tblGrid>
            <w:gridCol w:w="825"/>
            <w:gridCol w:w="2790"/>
            <w:gridCol w:w="289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Цветовое 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Понятие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Задает термин, обозначающей понятие строительной отрасли, к которой задается требование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обязательности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(глагол)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уровень обязательности требования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Задаёт непосредственно требование к понятию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Условие применимости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Задает условие, при которых необходимо проверять данное требование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Характеристика понятия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Задает характеристику понятия, к которой задаётся требование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38">
      <w:pPr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highlight w:val="red"/>
          <w:rtl w:val="0"/>
        </w:rPr>
        <w:t xml:space="preserve">жилых зданиях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с одной лестничной клеткой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устраиваются </w:t>
      </w:r>
      <w:r w:rsidDel="00000000" w:rsidR="00000000" w:rsidRPr="00000000">
        <w:rPr>
          <w:highlight w:val="green"/>
          <w:rtl w:val="0"/>
        </w:rPr>
        <w:t xml:space="preserve">аварийные выходы из квартир с учетом уровня их расположения.</w:t>
      </w:r>
    </w:p>
    <w:p w:rsidR="00000000" w:rsidDel="00000000" w:rsidP="00000000" w:rsidRDefault="00000000" w:rsidRPr="00000000" w14:paraId="00000039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shd w:fill="9900ff" w:val="clear"/>
          <w:rtl w:val="0"/>
        </w:rPr>
        <w:t xml:space="preserve">Внутренний диаметр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ствола мусоропровода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должен быть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не менее 400 мм</w:t>
      </w:r>
      <w:r w:rsidDel="00000000" w:rsidR="00000000" w:rsidRPr="00000000">
        <w:rPr>
          <w:rtl w:val="0"/>
        </w:rPr>
        <w:t xml:space="preserve">, при этом </w:t>
      </w:r>
      <w:r w:rsidDel="00000000" w:rsidR="00000000" w:rsidRPr="00000000">
        <w:rPr>
          <w:shd w:fill="9900ff" w:val="clear"/>
          <w:rtl w:val="0"/>
        </w:rPr>
        <w:t xml:space="preserve">величина размера диагонали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ковша загрузочного клапана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не должна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превышать величину 0,9 от размера внутреннего диаметра труб ствола</w:t>
      </w:r>
      <w:r w:rsidDel="00000000" w:rsidR="00000000" w:rsidRPr="00000000">
        <w:rPr>
          <w:rtl w:val="0"/>
        </w:rPr>
        <w:t xml:space="preserve"> для исключения образования засоров внутри ствола.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Далее, после того как выполнена разметка документа, выявленные требования формализуются и оформляются в виде таблицы. Единицей разметки является предложение в документе. Структура таблицы приведена в таблице___.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970"/>
        <w:gridCol w:w="5625"/>
        <w:tblGridChange w:id="0">
          <w:tblGrid>
            <w:gridCol w:w="765"/>
            <w:gridCol w:w="2970"/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 поля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Понятие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объекта и характеристики в ЭМ 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Класс и свойство объекта из электронной модели строительного объекта, которому соответствует выделенное понятие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Условие применимости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Правило проверки для условия применимости в терминах ЭМ 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Указывается либо имя ранее определенного правила либо формула для проведения проверки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Уровень обязательности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Правило проверки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Предельное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Единица измерения предельного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64">
      <w:pPr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highlight w:val="red"/>
          <w:rtl w:val="0"/>
        </w:rPr>
        <w:t xml:space="preserve">жилых зданиях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с одной лестничной клеткой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устраиваются </w:t>
      </w:r>
      <w:r w:rsidDel="00000000" w:rsidR="00000000" w:rsidRPr="00000000">
        <w:rPr>
          <w:highlight w:val="green"/>
          <w:rtl w:val="0"/>
        </w:rPr>
        <w:t xml:space="preserve">аварийные выходы из квартир с учетом уровня их расположения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15"/>
        <w:gridCol w:w="915"/>
        <w:gridCol w:w="915"/>
        <w:gridCol w:w="1050"/>
        <w:gridCol w:w="1020"/>
        <w:gridCol w:w="960"/>
        <w:gridCol w:w="840"/>
        <w:gridCol w:w="915"/>
        <w:tblGridChange w:id="0">
          <w:tblGrid>
            <w:gridCol w:w="915"/>
            <w:gridCol w:w="915"/>
            <w:gridCol w:w="915"/>
            <w:gridCol w:w="915"/>
            <w:gridCol w:w="915"/>
            <w:gridCol w:w="1050"/>
            <w:gridCol w:w="1020"/>
            <w:gridCol w:w="960"/>
            <w:gridCol w:w="840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Понятие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Наименование объекта и характеристики в ЭМ 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Условие применимости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Правило проверки для условия применимости в терминах ЭМ 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Уровень обязательности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Правило проверки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Предельное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Единица измерения предельного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Жилое зданий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residential_building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с одной лестничной клеткой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residential_building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.stairwell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Обязательно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устраиваются </w:t>
            </w: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аварийные выходы из квартир с учетом уровня их расположения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Содержит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emergency_exit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шт.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shd w:fill="9900ff" w:val="clear"/>
          <w:rtl w:val="0"/>
        </w:rPr>
        <w:t xml:space="preserve">Внутренний диаметр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ствола мусоропровода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должен быть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не менее 400 мм</w:t>
      </w:r>
      <w:r w:rsidDel="00000000" w:rsidR="00000000" w:rsidRPr="00000000">
        <w:rPr>
          <w:rtl w:val="0"/>
        </w:rPr>
        <w:t xml:space="preserve">, при этом </w:t>
      </w:r>
      <w:r w:rsidDel="00000000" w:rsidR="00000000" w:rsidRPr="00000000">
        <w:rPr>
          <w:shd w:fill="9900ff" w:val="clear"/>
          <w:rtl w:val="0"/>
        </w:rPr>
        <w:t xml:space="preserve">величина размера диагонали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ковша загрузочного клапана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не должна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превышать величину 0,9 от размера внутреннего диаметра труб ствола</w:t>
      </w:r>
      <w:r w:rsidDel="00000000" w:rsidR="00000000" w:rsidRPr="00000000">
        <w:rPr>
          <w:rtl w:val="0"/>
        </w:rPr>
        <w:t xml:space="preserve"> для исключения образования засоров внутри ствола.</w:t>
        <w:tab/>
        <w:tab/>
        <w:tab/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15"/>
        <w:gridCol w:w="915"/>
        <w:gridCol w:w="915"/>
        <w:gridCol w:w="1050"/>
        <w:gridCol w:w="1020"/>
        <w:gridCol w:w="960"/>
        <w:gridCol w:w="840"/>
        <w:gridCol w:w="915"/>
        <w:tblGridChange w:id="0">
          <w:tblGrid>
            <w:gridCol w:w="915"/>
            <w:gridCol w:w="915"/>
            <w:gridCol w:w="915"/>
            <w:gridCol w:w="915"/>
            <w:gridCol w:w="915"/>
            <w:gridCol w:w="1050"/>
            <w:gridCol w:w="1020"/>
            <w:gridCol w:w="960"/>
            <w:gridCol w:w="840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Понятие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Наименование объекта и характеристики в ЭМ 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Условие применимости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Правило проверки для условия применимости в терминах ЭМ 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Уровень обязательности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Правило проверки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Предельное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Единица измерения предельного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ствол мусоропровода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внутренний диаметр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rubbish chute.diameter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Обязательно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должен быть не менее 400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Меньше или равно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ковш загрузочного клапана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диагональ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garbage_ chute_</w:t>
              <w:br w:type="textWrapping"/>
              <w:t xml:space="preserve">ladle.size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Обязательно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должна превышать величину 0,9 от размера внутреннего диаметра труб ствола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Меньше или равно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0,9 * rubbish chute.diameter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мм</w:t>
            </w:r>
          </w:p>
        </w:tc>
      </w:tr>
    </w:tbl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