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Результаты исследований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Формирование единого словаря строительной отрасли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Подготовительная работа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проведения исследований по теме НИР был сформирован корпус, состоящий из 35 основных НПА. Перечень документов, вошедших в корпус, используемый в настоящей НИР приведен в таблице __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___. Корпус документов используемый в настоящей НИР</w:t>
      </w:r>
    </w:p>
    <w:tbl>
      <w:tblPr>
        <w:tblStyle w:val="Table1"/>
        <w:tblW w:w="9354.101599247413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8.1843838193791"/>
        <w:gridCol w:w="1575"/>
        <w:gridCol w:w="1275"/>
        <w:gridCol w:w="3660"/>
        <w:gridCol w:w="2535.917215428034"/>
        <w:tblGridChange w:id="0">
          <w:tblGrid>
            <w:gridCol w:w="308.1843838193791"/>
            <w:gridCol w:w="1575"/>
            <w:gridCol w:w="1275"/>
            <w:gridCol w:w="3660"/>
            <w:gridCol w:w="2535.91721542803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документа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документа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НПА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Источник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K940001000_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Гражданский Кодекс РК (Общая часть)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http://adilet.zan.kz/rus/docs/K940001000_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K090000193_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здоровье народа и системе здравоохранения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http://adilet.zan.kz/rus/docs/K090000193_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Z010000242_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архитектурной, градостроительной и строительной деятельности в Республике Казахстан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http://adilet.zan.kz/rus/docs/Z010000242_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Z040000603_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техническом регулировании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http://adilet.zan.kz/rus/docs/Z040000603_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Z000000053_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обеспечении единства измерений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http://adilet.zan.kz/rus/docs/Z000000053_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Z1600000480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правовых актах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http://adilet.zan.kz/rus/docs/Z1600000480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K030000442_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Земельный кодекс РК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http://adilet.zan.kz/rus/docs/K030000442_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K070000212_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Экологический кодекс РК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http://adilet.zan.kz/rus/docs/K070000212_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K1700000125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недрах и недропользовании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http://adilet.zan.kz/rus/docs/K1700000125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Z020000332_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геодезии и картографии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http://adilet.zan.kz/rus/docs/Z020000332_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Z1200000541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энергосбережении и повышении энергоэффективности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http://adilet.zan.kz/rus/docs/Z1200000541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Z060000175_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особо охраняемых природных территориях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http://adilet.zan.kz/rus/docs/Z060000175_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Z040000567_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связи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http://adilet.zan.kz/rus/docs/Z040000567_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Z1400000194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дорожном движении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http://adilet.zan.kz/rus/docs/Z1400000194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Z030000476_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автомобильном транспорте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http://adilet.zan.kz/rus/docs/Z030000476_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Z940007000_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транспорте в Республике Казахстан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http://adilet.zan.kz/rus/docs/Z940007000_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Z010000245_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автомобильных дорогах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http://adilet.zan.kz/rus/docs/Z010000245_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Z1200000020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магистральном трубопроводе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http://adilet.zan.kz/rus/docs/Z1200000020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K030000481_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Водный кодекс РК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http://adilet.zan.kz/rus/docs/K030000481_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Z1200000532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газе и газоснабжении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http://adilet.zan.kz/rus/docs/Z1200000532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Z040000588_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электроэнергетике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http://adilet.zan.kz/rus/docs/Z040000588_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Z090000165_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поддержке использования возобновляемых источников энергии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http://adilet.zan.kz/rus/docs/Z090000165_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Z1400000202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разрешениях и уведомлениях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http://adilet.zan.kz/rus/docs/Z1400000202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Z1600000486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долевом участии в жилищном строительстве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http://adilet.zan.kz/rus/docs/Z1600000486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K1400000235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административных правонарушениях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http://adilet.zan.kz/rus/docs/K1400000235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K990000409_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Гражданский Кодекс РК (Особенная часть 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http://adilet.zan.kz/rus/docs/K990000409_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Z1500000434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государственных закупках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http://adilet.zan.kz/rus/docs/Z1500000434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K1500000375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Предпринимательский кодекс РК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http://adilet.zan.kz/rus/docs/K1500000375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K1500000414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Кодекс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Трудовой кодекс РК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http://adilet.zan.kz/rus/docs/K1500000414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Z1100000469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специальных экономических зонах в Республике Казахстан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http://adilet.zan.kz/rus/docs/Z1100000469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Z960000006_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авторском праве и смежных правах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http://adilet.zan.kz/rus/docs/Z960000006_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Z920002900_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 охране и использовании объектов историко-культурного наследия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http://adilet.zan.kz/rus/docs/Z920002900_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Z1400000188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гражданской защите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http://adilet.zan.kz/rus/docs/Z1400000188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Z1800000183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стандартизации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http://adilet.zan.kz/rus/docs/Z1800000183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P1000001202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Технический регламент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 к безопасности зданий и сооружений, строительных материалов и изделий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http://adilet.zan.kz/rus/docs/P1000001202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списка терминов и их определений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формирования списка терминов и их определений приведён в Приложении ___ (</w:t>
      </w:r>
      <w:r w:rsidDel="00000000" w:rsidR="00000000" w:rsidRPr="00000000">
        <w:rPr>
          <w:b w:val="1"/>
          <w:sz w:val="24"/>
          <w:szCs w:val="24"/>
          <w:rtl w:val="0"/>
        </w:rPr>
        <w:t xml:space="preserve">Список терминов и их определений</w:t>
      </w:r>
      <w:r w:rsidDel="00000000" w:rsidR="00000000" w:rsidRPr="00000000">
        <w:rPr>
          <w:sz w:val="24"/>
          <w:szCs w:val="24"/>
          <w:rtl w:val="0"/>
        </w:rPr>
        <w:t xml:space="preserve">). Термины и определения из корпуса документов. В ходе формирования списка было выявлено следующее: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всегда в документах применяется буква «Ё»;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слов в терминах из 2-х и более слов может различаться. (Например: дом жилой – жилой дом);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термина может быть дано неправильно. (Например: лифтовой холл – должно быть лифтовый холл);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термина может быть приведено во множественном числе;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Термин приводится в полной и сокращенной форме, используемой далее по тексту документа. Например: “закладка материальных ценностей в государственный материальный резерв (далее – закладка)”;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скобках приводится синоним термина. Например: “биоаналогичный лекарственный препарат (биоаналог, биоподобный лекарственный препарат, биосимиляр)”;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среднем, один документ содержит определения 53-х терминов. На обработку одного термина уходит 5 минут.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проверки на дублирование терминов и определений приведены в Приложении __ (</w:t>
      </w:r>
      <w:r w:rsidDel="00000000" w:rsidR="00000000" w:rsidRPr="00000000">
        <w:rPr>
          <w:b w:val="1"/>
          <w:sz w:val="20"/>
          <w:szCs w:val="20"/>
          <w:rtl w:val="0"/>
        </w:rPr>
        <w:t xml:space="preserve">Дублирование терминов и определений</w:t>
      </w:r>
      <w:r w:rsidDel="00000000" w:rsidR="00000000" w:rsidRPr="00000000">
        <w:rPr>
          <w:sz w:val="24"/>
          <w:szCs w:val="24"/>
          <w:rtl w:val="0"/>
        </w:rPr>
        <w:t xml:space="preserve">). Результаты проверки на коллизии в определениях терминов приведены в Приложении ___ (</w:t>
      </w:r>
      <w:r w:rsidDel="00000000" w:rsidR="00000000" w:rsidRPr="00000000">
        <w:rPr>
          <w:b w:val="1"/>
          <w:sz w:val="20"/>
          <w:szCs w:val="20"/>
          <w:rtl w:val="0"/>
        </w:rPr>
        <w:t xml:space="preserve">Коллизии в определениях терминов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Частотный анализ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терминов с указанием количество упоминаний термина в тексте документа, выделенных в результате частотного анализа, приведён в приложении ___ (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Термины выделенные с помощью частотного анализа</w:t>
      </w:r>
      <w:r w:rsidDel="00000000" w:rsidR="00000000" w:rsidRPr="00000000">
        <w:rPr>
          <w:sz w:val="24"/>
          <w:szCs w:val="24"/>
          <w:rtl w:val="0"/>
        </w:rPr>
        <w:t xml:space="preserve">). Встречаемость терминов в документах приведена в приложении __ (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Встречаемость терминов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среднем один документ содержит 307 терминов. 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Далее был выполнен анализ покрытия терминов, выделенных ручным способом  терминами, выделенными автоматизированным способом с помощью частотного анализа. Результат анализа приведён в приложении __ (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Анализ покрытия</w:t>
      </w:r>
      <w:r w:rsidDel="00000000" w:rsidR="00000000" w:rsidRPr="00000000">
        <w:rPr>
          <w:sz w:val="24"/>
          <w:szCs w:val="24"/>
          <w:rtl w:val="0"/>
        </w:rPr>
        <w:t xml:space="preserve">). Анализ показал, что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документах присутствуют термины и их определения, которые в дальнейшем редко используются в документе</w:t>
      </w:r>
      <w:r w:rsidDel="00000000" w:rsidR="00000000" w:rsidRPr="00000000">
        <w:rPr>
          <w:rtl w:val="0"/>
        </w:rPr>
        <w:t xml:space="preserve"> (Например: </w:t>
      </w:r>
      <w:r w:rsidDel="00000000" w:rsidR="00000000" w:rsidRPr="00000000">
        <w:rPr>
          <w:sz w:val="20"/>
          <w:szCs w:val="20"/>
          <w:rtl w:val="0"/>
        </w:rPr>
        <w:t xml:space="preserve">почвенный слой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временный землепользователь</w:t>
      </w:r>
      <w:r w:rsidDel="00000000" w:rsidR="00000000" w:rsidRPr="00000000">
        <w:rPr>
          <w:rtl w:val="0"/>
        </w:rPr>
        <w:t xml:space="preserve">) или вообще не используются (Например: </w:t>
      </w:r>
      <w:r w:rsidDel="00000000" w:rsidR="00000000" w:rsidRPr="00000000">
        <w:rPr>
          <w:sz w:val="20"/>
          <w:szCs w:val="20"/>
          <w:rtl w:val="0"/>
        </w:rPr>
        <w:t xml:space="preserve">безопасность плотины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акт работодателя</w:t>
      </w:r>
      <w:r w:rsidDel="00000000" w:rsidR="00000000" w:rsidRPr="00000000">
        <w:rPr>
          <w:rtl w:val="0"/>
        </w:rPr>
        <w:t xml:space="preserve">). Соответственно, такие слова и словосочетания не вошли в итоговый перечень терминов, выделенных с помощью частотного анализа.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НТД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Дополнительно к анализу НПА был проведён экспертный анализ 2-х документов НТД: В качестве объекта анализа были определены следующие документы: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 РК 3.02-101-2012 ЗДАНИЯ ЖИЛЫЕ МНОГОКВАРТИРНЫЕ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 РК 3.02–01–2018 ЗДАНИЯ ЖИЛЫЕ МНОГОКВАРТИРНЫЕ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Аналогично анализу НПА был проведён частотный анализ документов НТД. Результаты анализа приведены в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приложениях ____ (Приложение. Частотный анализ НТД).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 между выделенными терминами были установлены отношения SubClass_Of (является подклассом). Основанием для установки отношений было существительное в именительном падеже, входящее в термин. Результат установки отношений оформлен в виде онтологии в формате OWL (Приложение. Пример онтологии SubClass_Of.owl). В приложении ___ (</w:t>
      </w:r>
      <w:r w:rsidDel="00000000" w:rsidR="00000000" w:rsidRPr="00000000">
        <w:rPr>
          <w:b w:val="1"/>
          <w:sz w:val="20"/>
          <w:szCs w:val="20"/>
          <w:rtl w:val="0"/>
        </w:rPr>
        <w:t xml:space="preserve">Снимок экрана Protege c примером онтологии</w:t>
      </w:r>
      <w:r w:rsidDel="00000000" w:rsidR="00000000" w:rsidRPr="00000000">
        <w:rPr>
          <w:sz w:val="24"/>
          <w:szCs w:val="24"/>
          <w:rtl w:val="0"/>
        </w:rPr>
        <w:t xml:space="preserve">) приведен снимок экрана программного продукта </w:t>
      </w:r>
      <w:r w:rsidDel="00000000" w:rsidR="00000000" w:rsidRPr="00000000">
        <w:rPr>
          <w:rtl w:val="0"/>
        </w:rPr>
        <w:t xml:space="preserve">Protégé 5.2.0 (</w:t>
      </w:r>
      <w:r w:rsidDel="00000000" w:rsidR="00000000" w:rsidRPr="00000000">
        <w:rPr>
          <w:rtl w:val="0"/>
        </w:rPr>
        <w:t xml:space="preserve">http://protege.stanford.edu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с сформированной онтологией.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Полученный перечень терминов был использован в качестве основы для экспертного анализа корпуса документов и построения семантической сети ручным способом. Экспертный анализ проводился следующим образом: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детальная вычитка документа;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терминов в документе на основе данных частотного анализа;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связанных терминов и характера связи на основе экспертного анализа контекста предложений, в которых встречается искомый термин;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терминов и связей между ними в виде семантической сети.</w:t>
      </w:r>
    </w:p>
    <w:p w:rsidR="00000000" w:rsidDel="00000000" w:rsidP="00000000" w:rsidRDefault="00000000" w:rsidRPr="00000000" w14:paraId="000000E2">
      <w:pPr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Экспертный анализ НТД Здания жилые многоквартирные показал что: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отсутствуют единые понятия - возникает необходимость в единой терминологии в НТД/НПА. В анализируемых документах встречаются множество слов, имеющих одно и то же либо близкое семантическое значение (например, жилой дом - жилое здание; квартира - помещение; инженерное обеспечение - инженерные коммуникации, инженерные системы, инженерное оборудование; возводятся - строятся и т.п.) либо один “объект” относится к множеству групп (например: балкон, лоджия относятся к нежилому помещению, также они относятся к летнему помещению);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тексту документов встречаются слова в скобках, сопутствующие к словам стоящим перед ними, которых понять можно по-разному (например, поверхностью (поверхностями) - в данном случае однозначно множественное число; несущих (капитальных) стен - вид стен, жилое помещение (квартира) - синонимы или как; жилой дом (жилое здание) - синонимы или как; целей (магазин, кафе, мастерская и ..) - уточнение и конкретизация; и т.п.);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выявлено одинаковое определение к двум разным терминам в одном документе (подземный этаж, подвальный этаж)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единая структура и содержание документов - вышеперечисленные документы описывают требования к проектированию и строительству зданий жилых многоквартирных, из которых один устанавливает обязательные требования безопасности к зданиям жилым многоквартирным и (или) процессам их жизненного цикла в соответствии с требованиями технических регламентов, в другом - основные расчеты при проектировании зданий жилых многоквартирных. следовательно, в первую очередь, необходимо привести в порядок “Термины и определения” - данный структурный элемент документов содержать один и тот же перечень терминов с соответствующими определениями. “Нормативные ссылки” в нормативно-технических документов (т.е. СП РК) должны дополняться также и “Нормативными ссылками” нормативных правовых актов (т.е. СН РК). Вместе с тем, сама структура документов (главы/разделы/параграфы) должны соответствовать друг к другу  в целях получения полной и структурированной информации по проектированию и строительству зданий жилых многоквартирных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Построенная ручным способом онтология (семантическая сеть?) приведена в приложении __ (Приложение. Семантическая сеть НТД  Здания жилые многоквартирные). Полный экспертный анализ НТД Здания жилые многоквартирные приведён в приложении ___ (Приложение. Отчет по анализу НТД Здания жилые многоквартирные).</w:t>
      </w:r>
    </w:p>
    <w:p w:rsidR="00000000" w:rsidDel="00000000" w:rsidP="00000000" w:rsidRDefault="00000000" w:rsidRPr="00000000" w14:paraId="000000EA">
      <w:pPr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Проведённый анализ также показал, что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основном нормативные документы не содержат информации, позволяющей определить семантические отношения между терминами и необходимой для построения онтологий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В основном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они содержат регуляторные требования</w:t>
      </w:r>
      <w:r w:rsidDel="00000000" w:rsidR="00000000" w:rsidRPr="00000000">
        <w:rPr>
          <w:sz w:val="24"/>
          <w:szCs w:val="24"/>
          <w:rtl w:val="0"/>
        </w:rPr>
        <w:t xml:space="preserve">, задающие правила, которым должны соответствовать те или иные понятия, обозначенные в документах соответствующими терминами.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слов (глаголов), задающих уровень обязательности требований, был дополнительно проведен частотный анализ глаголов в корпусе документов. Список глаголов и частота их употребления приведены в приложении __ (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Приложение. Частотный анализ НПА глаголов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). Анализ используемых глаголов показал что: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задания уровня обязательности требования используются разные глаголы, имеющие похожее семантическое значение. Например (допускается/рекомендуется/могут);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 отсутствуют глаголы, явно запрещающие то или иное действие проектировщика или устанавливаемую характеристику понятия;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Частица НЕ применяется к глаголам, что приводит к семантической неоднозначности (Например: рекомендуется – не рекомендуется).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 РК 1.5-2013 “Общие требования к построению, изложению, оформлению и содержанию стандартов” в п. 5.1.5 задаются требования к использованию слов для задания обязательных нормативных требований и положений. Необходимо отметить, что приведённые в стандарте требования допускают очень широкую их трактовку. 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примера стандарта, задающего очень строгие и не допускающие двойной трактовки требования к употреблению глаголов для задания уровня обязательности требований можно привести документ RFC 2119 (</w:t>
      </w:r>
      <w:r w:rsidDel="00000000" w:rsidR="00000000" w:rsidRPr="00000000">
        <w:rPr>
          <w:sz w:val="24"/>
          <w:szCs w:val="24"/>
          <w:rtl w:val="0"/>
        </w:rPr>
        <w:t xml:space="preserve">Request for Comments </w:t>
      </w:r>
      <w:r w:rsidDel="00000000" w:rsidR="00000000" w:rsidRPr="00000000">
        <w:rPr>
          <w:sz w:val="24"/>
          <w:szCs w:val="24"/>
          <w:rtl w:val="0"/>
        </w:rPr>
        <w:t xml:space="preserve">— </w:t>
      </w:r>
      <w:r w:rsidDel="00000000" w:rsidR="00000000" w:rsidRPr="00000000">
        <w:rPr>
          <w:sz w:val="24"/>
          <w:szCs w:val="24"/>
          <w:rtl w:val="0"/>
        </w:rPr>
        <w:t xml:space="preserve">документы</w:t>
      </w:r>
      <w:r w:rsidDel="00000000" w:rsidR="00000000" w:rsidRPr="00000000">
        <w:rPr>
          <w:sz w:val="24"/>
          <w:szCs w:val="24"/>
          <w:rtl w:val="0"/>
        </w:rPr>
        <w:t xml:space="preserve"> из серии пронумерованных информационных документов </w:t>
      </w:r>
      <w:r w:rsidDel="00000000" w:rsidR="00000000" w:rsidRPr="00000000">
        <w:rPr>
          <w:sz w:val="24"/>
          <w:szCs w:val="24"/>
          <w:rtl w:val="0"/>
        </w:rPr>
        <w:t xml:space="preserve">Интернета</w:t>
      </w:r>
      <w:r w:rsidDel="00000000" w:rsidR="00000000" w:rsidRPr="00000000">
        <w:rPr>
          <w:sz w:val="24"/>
          <w:szCs w:val="24"/>
          <w:rtl w:val="0"/>
        </w:rPr>
        <w:t xml:space="preserve">, содержащих технические спецификации и стандарты, широко применяемые во всемирной сети). RFC 2119 “Ключевые слова для обозначения уровня требований в RFC” содержит только 5 (пять) глаголов и их синонимов, которые должны использоваться при описании стандартов и технических спецификаций применяемых в сети Интернет. Помимо указания самих глаголов, в отличие от СТ РК 1.5-2013, в документе также определяется уровень требований, задаваемых этими глаголами.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Исследования контекста использования терминов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корпуса документов НПА были построены модели Word2Vec. Для исследования выбраны следующие термины: </w:t>
      </w:r>
      <w:r w:rsidDel="00000000" w:rsidR="00000000" w:rsidRPr="00000000">
        <w:rPr>
          <w:rtl w:val="0"/>
        </w:rPr>
        <w:t xml:space="preserve">Безопасность, Подрядчик, Заказчик, Градостроительный кадастр, Надзор, Кадастр, Жилой дом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Списки семантически близких терминов и слов для отобранных терминов приведены в приложениях __ (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Приложения. Анализ Word2Vec.zip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исследования показывают, что для отдельного документа присутствует свой практически уникальный контекст употребления того или иного термина. Это обусловлено тем, что НПА по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своей природе является документом, содержащим обобщенное описание и нормы для одной конкретной предметной об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ласти. В практической плоскости можно зафиксировать контекст применения термина в отдельном НПА (или группе НПА) как образец применения термина в определенной предметной области и в последующем, при анализе других документов, имеющих отношение к предметной области, сравнивать контексты применения терминов.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Методология формирования единого словаря строительной отрасли</w:t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ey Issayenko" w:id="3" w:date="2019-02-21T08:07:5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в Законе об НПА есть пояснения этой мысли</w:t>
      </w:r>
    </w:p>
  </w:comment>
  <w:comment w:author="Sergey Issayenko" w:id="0" w:date="2019-02-21T06:42:3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одном файле несколько листов, все они как отдельные приложения должны быть оформлены.</w:t>
      </w:r>
    </w:p>
  </w:comment>
  <w:comment w:author="Sergey Issayenko" w:id="2" w:date="2019-02-21T07:59:5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Оформить в виде отдельных приложений</w:t>
      </w:r>
    </w:p>
  </w:comment>
  <w:comment w:author="Sergey Issayenko" w:id="1" w:date="2019-03-11T06:25:2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приведён частотный анализ глаголов НПА.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Частотный анализ глаголов 2х НТД по жилым многоквартирным домам приведён здесь: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"Приложения. Частотный анализ НТД. Глаголы"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ilet.zan.kz/rus/docs/Z1800000183" TargetMode="External"/><Relationship Id="rId20" Type="http://schemas.openxmlformats.org/officeDocument/2006/relationships/hyperlink" Target="http://adilet.zan.kz/rus/docs/Z1400000194" TargetMode="External"/><Relationship Id="rId41" Type="http://schemas.openxmlformats.org/officeDocument/2006/relationships/hyperlink" Target="http://adilet.zan.kz/rus/docs/P1000001202" TargetMode="External"/><Relationship Id="rId22" Type="http://schemas.openxmlformats.org/officeDocument/2006/relationships/hyperlink" Target="http://adilet.zan.kz/rus/docs/Z940007000_" TargetMode="External"/><Relationship Id="rId21" Type="http://schemas.openxmlformats.org/officeDocument/2006/relationships/hyperlink" Target="http://adilet.zan.kz/rus/docs/Z030000476_" TargetMode="External"/><Relationship Id="rId24" Type="http://schemas.openxmlformats.org/officeDocument/2006/relationships/hyperlink" Target="http://adilet.zan.kz/rus/docs/Z1200000020" TargetMode="External"/><Relationship Id="rId23" Type="http://schemas.openxmlformats.org/officeDocument/2006/relationships/hyperlink" Target="http://adilet.zan.kz/rus/docs/Z010000245_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adilet.zan.kz/rus/docs/Z010000242_" TargetMode="External"/><Relationship Id="rId26" Type="http://schemas.openxmlformats.org/officeDocument/2006/relationships/hyperlink" Target="http://adilet.zan.kz/rus/docs/Z1200000532" TargetMode="External"/><Relationship Id="rId25" Type="http://schemas.openxmlformats.org/officeDocument/2006/relationships/hyperlink" Target="http://adilet.zan.kz/rus/docs/K030000481_" TargetMode="External"/><Relationship Id="rId28" Type="http://schemas.openxmlformats.org/officeDocument/2006/relationships/hyperlink" Target="http://adilet.zan.kz/rus/docs/Z090000165_" TargetMode="External"/><Relationship Id="rId27" Type="http://schemas.openxmlformats.org/officeDocument/2006/relationships/hyperlink" Target="http://adilet.zan.kz/rus/docs/Z040000588_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://adilet.zan.kz/rus/docs/Z1400000202" TargetMode="External"/><Relationship Id="rId7" Type="http://schemas.openxmlformats.org/officeDocument/2006/relationships/hyperlink" Target="http://adilet.zan.kz/rus/docs/K940001000_" TargetMode="External"/><Relationship Id="rId8" Type="http://schemas.openxmlformats.org/officeDocument/2006/relationships/hyperlink" Target="http://adilet.zan.kz/rus/docs/K090000193_" TargetMode="External"/><Relationship Id="rId31" Type="http://schemas.openxmlformats.org/officeDocument/2006/relationships/hyperlink" Target="http://adilet.zan.kz/rus/docs/K1400000235" TargetMode="External"/><Relationship Id="rId30" Type="http://schemas.openxmlformats.org/officeDocument/2006/relationships/hyperlink" Target="http://adilet.zan.kz/rus/docs/Z1600000486" TargetMode="External"/><Relationship Id="rId11" Type="http://schemas.openxmlformats.org/officeDocument/2006/relationships/hyperlink" Target="http://adilet.zan.kz/rus/docs/Z000000053_" TargetMode="External"/><Relationship Id="rId33" Type="http://schemas.openxmlformats.org/officeDocument/2006/relationships/hyperlink" Target="http://adilet.zan.kz/rus/docs/Z1500000434" TargetMode="External"/><Relationship Id="rId10" Type="http://schemas.openxmlformats.org/officeDocument/2006/relationships/hyperlink" Target="http://adilet.zan.kz/rus/docs/Z040000603_" TargetMode="External"/><Relationship Id="rId32" Type="http://schemas.openxmlformats.org/officeDocument/2006/relationships/hyperlink" Target="http://adilet.zan.kz/rus/docs/K990000409_" TargetMode="External"/><Relationship Id="rId13" Type="http://schemas.openxmlformats.org/officeDocument/2006/relationships/hyperlink" Target="http://adilet.zan.kz/rus/docs/K030000442_" TargetMode="External"/><Relationship Id="rId35" Type="http://schemas.openxmlformats.org/officeDocument/2006/relationships/hyperlink" Target="http://adilet.zan.kz/rus/docs/K1500000414" TargetMode="External"/><Relationship Id="rId12" Type="http://schemas.openxmlformats.org/officeDocument/2006/relationships/hyperlink" Target="http://adilet.zan.kz/rus/docs/Z1600000480" TargetMode="External"/><Relationship Id="rId34" Type="http://schemas.openxmlformats.org/officeDocument/2006/relationships/hyperlink" Target="http://adilet.zan.kz/rus/docs/K1500000375" TargetMode="External"/><Relationship Id="rId15" Type="http://schemas.openxmlformats.org/officeDocument/2006/relationships/hyperlink" Target="http://adilet.zan.kz/rus/docs/K1700000125" TargetMode="External"/><Relationship Id="rId37" Type="http://schemas.openxmlformats.org/officeDocument/2006/relationships/hyperlink" Target="http://adilet.zan.kz/rus/docs/Z960000006_" TargetMode="External"/><Relationship Id="rId14" Type="http://schemas.openxmlformats.org/officeDocument/2006/relationships/hyperlink" Target="http://adilet.zan.kz/rus/docs/K070000212_" TargetMode="External"/><Relationship Id="rId36" Type="http://schemas.openxmlformats.org/officeDocument/2006/relationships/hyperlink" Target="http://adilet.zan.kz/rus/docs/Z1100000469" TargetMode="External"/><Relationship Id="rId17" Type="http://schemas.openxmlformats.org/officeDocument/2006/relationships/hyperlink" Target="http://adilet.zan.kz/rus/docs/Z1200000541" TargetMode="External"/><Relationship Id="rId39" Type="http://schemas.openxmlformats.org/officeDocument/2006/relationships/hyperlink" Target="http://adilet.zan.kz/rus/docs/Z1400000188" TargetMode="External"/><Relationship Id="rId16" Type="http://schemas.openxmlformats.org/officeDocument/2006/relationships/hyperlink" Target="http://adilet.zan.kz/rus/docs/Z020000332_" TargetMode="External"/><Relationship Id="rId38" Type="http://schemas.openxmlformats.org/officeDocument/2006/relationships/hyperlink" Target="http://adilet.zan.kz/rus/docs/Z920002900_" TargetMode="External"/><Relationship Id="rId19" Type="http://schemas.openxmlformats.org/officeDocument/2006/relationships/hyperlink" Target="http://adilet.zan.kz/rus/docs/Z040000567_" TargetMode="External"/><Relationship Id="rId18" Type="http://schemas.openxmlformats.org/officeDocument/2006/relationships/hyperlink" Target="http://adilet.zan.kz/rus/docs/Z060000175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