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Spécification produit détaillée</w:t>
        <w:br/>
        <w:t>Application d’aide à l’investissement par analyse de patterns</w:t>
      </w:r>
    </w:p>
    <w:p>
      <w:pPr>
        <w:pStyle w:val="Subtitle"/>
      </w:pPr>
      <w:r>
        <w:t>Version de cadrage produit — fondée sur les besoins métier exprimés et les décisions de conception déjà validées.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• Produit cible : application pédagogique d’aide à l’investissement pour particulier débutant.</w:t>
            </w:r>
          </w:p>
          <w:p>
            <w:pPr>
              <w:spacing w:after="40"/>
            </w:pPr>
            <w:r>
              <w:rPr>
                <w:sz w:val="21"/>
              </w:rPr>
              <w:t>• Portée V1 : actions françaises, analyse journalière, moteur déterministe explicable, sans IA obligatoire.</w:t>
            </w:r>
          </w:p>
          <w:p>
            <w:pPr>
              <w:spacing w:after="40"/>
            </w:pPr>
            <w:r>
              <w:rPr>
                <w:sz w:val="21"/>
              </w:rPr>
              <w:t>• Principe directeur : l’API est la source de vérité métier ; l’IA reste facultative et périphérique.</w:t>
            </w:r>
          </w:p>
          <w:p>
            <w:pPr>
              <w:spacing w:after="40"/>
            </w:pPr>
            <w:r>
              <w:rPr>
                <w:sz w:val="21"/>
              </w:rPr>
              <w:t>• Objectif de conception : architecture ouverte pour ajouter facilement de nouveaux actifs, marchés, patterns et règles.</w:t>
            </w:r>
          </w:p>
        </w:tc>
      </w:tr>
    </w:tbl>
    <w:p/>
    <w:p>
      <w:pPr>
        <w:pStyle w:val="Heading1"/>
      </w:pPr>
      <w:r>
        <w:t>1. Résumé exécutif</w:t>
      </w:r>
    </w:p>
    <w:p>
      <w:r>
        <w:t>Le produit vise à aider un investisseur particulier débutant à suivre son portefeuille et sa watchlist, à comprendre l’état technique d’une valeur, et à recevoir une aide pédagogique à la décision d’achat, d’attente, de conservation, d’allègement ou de vente.</w:t>
      </w:r>
    </w:p>
    <w:p>
      <w:r>
        <w:t>Le produit ne passe aucun ordre et n’accède pas aux comptes bancaires. Il fournit des analyses, des recommandations pédagogiques et des alertes contextuelles basées sur des règles déterministes auditées.</w:t>
      </w:r>
    </w:p>
    <w:p>
      <w:r>
        <w:t>Le cœur du système est un moteur d’analyse versionné, explicable et historisé. Chaque analyse doit pouvoir être rejouée, comprise et comparée dans le temps.</w:t>
      </w:r>
    </w:p>
    <w:p>
      <w:pPr>
        <w:pStyle w:val="Heading1"/>
      </w:pPr>
      <w:r>
        <w:t>2. Vision produit</w:t>
      </w:r>
    </w:p>
    <w:p>
      <w:r>
        <w:t>Transformer des données de marché complexes en conclusions compréhensibles, pédagogiques et traçables pour un utilisateur non expert.</w:t>
      </w:r>
    </w:p>
    <w:p>
      <w:r>
        <w:t>Permettre à l’utilisateur de suivre les valeurs qui l’intéressent, de contextualiser les signaux au regard de son portefeuille, et de capitaliser sur un historique d’analyses pour apprendre et progresser.</w:t>
      </w:r>
    </w:p>
    <w:p>
      <w:r>
        <w:t>Construire un socle technique durable, extensible et maintenable, capable d’évoluer sans refonte majeure lors de l’ajout de nouvelles familles d’actifs, de nouveaux marchés ou de nouveaux patterns.</w:t>
      </w:r>
    </w:p>
    <w:p>
      <w:pPr>
        <w:pStyle w:val="Heading1"/>
      </w:pPr>
      <w:r>
        <w:t>3. Problème métier adressé</w:t>
      </w:r>
    </w:p>
    <w:p>
      <w:r>
        <w:t>Un particulier débutant manque souvent de méthode pour lire un graphique, identifier des configurations techniques crédibles et relier ces observations à une décision d’investissement prudente.</w:t>
      </w:r>
    </w:p>
    <w:p>
      <w:r>
        <w:t>Les informations disponibles sur le marché sont abondantes, hétérogènes et souvent difficiles à interpréter sans expérience. Le produit doit réduire cette complexité sans promettre de résultat financier.</w:t>
      </w:r>
    </w:p>
    <w:p>
      <w:r>
        <w:t>Le besoin n’est pas d’automatiser le trading mais de fournir un cadre d’analyse pédagogique, cohérent et traçable.</w:t>
      </w:r>
    </w:p>
    <w:p>
      <w:pPr>
        <w:pStyle w:val="Heading1"/>
      </w:pPr>
      <w:r>
        <w:t>4. Positionnement produit</w:t>
      </w:r>
    </w:p>
    <w:p>
      <w:r>
        <w:t>Outil d’aide pédagogique à l’investissement.</w:t>
      </w:r>
    </w:p>
    <w:p>
      <w:r>
        <w:t>Outil d’analyse technique centrée patterns.</w:t>
      </w:r>
    </w:p>
    <w:p>
      <w:r>
        <w:t>Outil de recommandation pédagogique et contextualisée.</w:t>
      </w:r>
    </w:p>
    <w:p>
      <w:r>
        <w:t>Le produit n’est pas un robot d’exécution ni un système de trading haute fréquence.</w:t>
      </w:r>
    </w:p>
    <w:p>
      <w:pPr>
        <w:pStyle w:val="Heading1"/>
      </w:pPr>
      <w:r>
        <w:t>5. Parties prenantes et personas</w:t>
      </w:r>
    </w:p>
    <w:p>
      <w:pPr>
        <w:pStyle w:val="Heading2"/>
      </w:pPr>
      <w:r>
        <w:t>5.1 Persona principal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Champ</w:t>
            </w:r>
          </w:p>
        </w:tc>
        <w:tc>
          <w:tcPr>
            <w:tcW w:type="dxa" w:w="6520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Spécification</w:t>
            </w:r>
          </w:p>
        </w:tc>
      </w:tr>
      <w:tr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Type d’utilisateur</w:t>
            </w:r>
          </w:p>
        </w:tc>
        <w:tc>
          <w:tcPr>
            <w:tcW w:type="dxa" w:w="6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Particulier débutant</w:t>
            </w:r>
          </w:p>
        </w:tc>
      </w:tr>
      <w:tr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Motivation</w:t>
            </w:r>
          </w:p>
        </w:tc>
        <w:tc>
          <w:tcPr>
            <w:tcW w:type="dxa" w:w="6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Comprendre quand surveiller, acheter, attendre, conserver ou vendre une valeur sans devoir maîtriser seul l’analyse technique.</w:t>
            </w:r>
          </w:p>
        </w:tc>
      </w:tr>
      <w:tr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Niveau d’expertise</w:t>
            </w:r>
          </w:p>
        </w:tc>
        <w:tc>
          <w:tcPr>
            <w:tcW w:type="dxa" w:w="6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Faible à intermédiaire en lecture de graphique et gestion du risque.</w:t>
            </w:r>
          </w:p>
        </w:tc>
      </w:tr>
      <w:tr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Attentes clés</w:t>
            </w:r>
          </w:p>
        </w:tc>
        <w:tc>
          <w:tcPr>
            <w:tcW w:type="dxa" w:w="6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Clarté, pédagogie, justification explicite, conservation de l’historique, simplicité de navigation.</w:t>
            </w:r>
          </w:p>
        </w:tc>
      </w:tr>
      <w:tr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Tolérance au risque</w:t>
            </w:r>
          </w:p>
        </w:tc>
        <w:tc>
          <w:tcPr>
            <w:tcW w:type="dxa" w:w="6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Variable, mais non personnalisée en V1 ; les recommandations sont d’abord issues de l’analyse marché.</w:t>
            </w:r>
          </w:p>
        </w:tc>
      </w:tr>
    </w:tbl>
    <w:p/>
    <w:p>
      <w:pPr>
        <w:pStyle w:val="Heading2"/>
      </w:pPr>
      <w:r>
        <w:t>5.2 Parties prenantes secondaires</w:t>
      </w:r>
    </w:p>
    <w:p>
      <w:pPr>
        <w:spacing w:after="40"/>
        <w:ind w:left="0"/>
      </w:pPr>
      <w:r>
        <w:t>• Équipe produit : définit les règles métier, les priorités de version et les garde-fous de communication.</w:t>
      </w:r>
    </w:p>
    <w:p>
      <w:pPr>
        <w:spacing w:after="40"/>
        <w:ind w:left="0"/>
      </w:pPr>
      <w:r>
        <w:t>• Équipe technique : implémente le moteur d’analyse, l’historisation, le front et les interfaces d’administration/monitoring.</w:t>
      </w:r>
    </w:p>
    <w:p>
      <w:pPr>
        <w:spacing w:after="40"/>
        <w:ind w:left="0"/>
      </w:pPr>
      <w:r>
        <w:t>• Équipe contenu / métier : formalise les patterns à partir de sources de référence et rédige les descriptions pédagogiques.</w:t>
      </w:r>
    </w:p>
    <w:p>
      <w:pPr>
        <w:pStyle w:val="Heading1"/>
      </w:pPr>
      <w:r>
        <w:t>6. Objectifs produit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098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Catégorie</w:t>
            </w:r>
          </w:p>
        </w:tc>
        <w:tc>
          <w:tcPr>
            <w:tcW w:type="dxa" w:w="6690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Objectif détaillé</w:t>
            </w:r>
          </w:p>
        </w:tc>
      </w:tr>
      <w:tr>
        <w:tc>
          <w:tcPr>
            <w:tcW w:type="dxa" w:w="209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Compréhension</w:t>
            </w:r>
          </w:p>
        </w:tc>
        <w:tc>
          <w:tcPr>
            <w:tcW w:type="dxa" w:w="66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Rendre l’analyse technique lisible par un débutant sans simplifier à l’excès ni masquer les incertitudes.</w:t>
            </w:r>
          </w:p>
        </w:tc>
      </w:tr>
      <w:tr>
        <w:tc>
          <w:tcPr>
            <w:tcW w:type="dxa" w:w="209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Décision</w:t>
            </w:r>
          </w:p>
        </w:tc>
        <w:tc>
          <w:tcPr>
            <w:tcW w:type="dxa" w:w="66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Fournir une recommandation pédagogique contextualisée, séparée de la détection technique et de l’évaluation du risque.</w:t>
            </w:r>
          </w:p>
        </w:tc>
      </w:tr>
      <w:tr>
        <w:tc>
          <w:tcPr>
            <w:tcW w:type="dxa" w:w="209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Traçabilité</w:t>
            </w:r>
          </w:p>
        </w:tc>
        <w:tc>
          <w:tcPr>
            <w:tcW w:type="dxa" w:w="66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Conserver chaque analyse, ses hypothèses, ses scores, sa recommandation et sa performance ex post.</w:t>
            </w:r>
          </w:p>
        </w:tc>
      </w:tr>
      <w:tr>
        <w:tc>
          <w:tcPr>
            <w:tcW w:type="dxa" w:w="209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Extensibilité</w:t>
            </w:r>
          </w:p>
        </w:tc>
        <w:tc>
          <w:tcPr>
            <w:tcW w:type="dxa" w:w="66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Permettre l’ajout de nouveaux patterns, nouveaux actifs et nouveaux marchés sans refonte du noyau.</w:t>
            </w:r>
          </w:p>
        </w:tc>
      </w:tr>
      <w:tr>
        <w:tc>
          <w:tcPr>
            <w:tcW w:type="dxa" w:w="209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Confiance</w:t>
            </w:r>
          </w:p>
        </w:tc>
        <w:tc>
          <w:tcPr>
            <w:tcW w:type="dxa" w:w="66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Assurer l’explicabilité de tous les résultats présentés et rendre auditable la chaîne de calcul.</w:t>
            </w:r>
          </w:p>
        </w:tc>
      </w:tr>
    </w:tbl>
    <w:p/>
    <w:p>
      <w:pPr>
        <w:pStyle w:val="Heading1"/>
      </w:pPr>
      <w:r>
        <w:t>7. Périmètre fonctionnel</w:t>
      </w:r>
    </w:p>
    <w:p>
      <w:pPr>
        <w:pStyle w:val="Heading2"/>
      </w:pPr>
      <w:r>
        <w:t>7.1 Inclus en cible V1</w:t>
      </w:r>
    </w:p>
    <w:p>
      <w:pPr>
        <w:spacing w:after="40"/>
        <w:ind w:left="0"/>
      </w:pPr>
      <w:r>
        <w:t>• Création de compte et espace utilisateur.</w:t>
      </w:r>
    </w:p>
    <w:p>
      <w:pPr>
        <w:spacing w:after="40"/>
        <w:ind w:left="0"/>
      </w:pPr>
      <w:r>
        <w:t>• Gestion d’une watchlist de valeurs suivies.</w:t>
      </w:r>
    </w:p>
    <w:p>
      <w:pPr>
        <w:spacing w:after="40"/>
        <w:ind w:left="0"/>
      </w:pPr>
      <w:r>
        <w:t>• Gestion d’un portefeuille avec plusieurs lignes d’achat par actif.</w:t>
      </w:r>
    </w:p>
    <w:p>
      <w:pPr>
        <w:spacing w:after="40"/>
        <w:ind w:left="0"/>
      </w:pPr>
      <w:r>
        <w:t>• Stockage des attributs de position : quantité, prix d’achat, date d’achat, PRU, frais, devise.</w:t>
      </w:r>
    </w:p>
    <w:p>
      <w:pPr>
        <w:spacing w:after="40"/>
        <w:ind w:left="0"/>
      </w:pPr>
      <w:r>
        <w:t>• Analyse journalière à la demande dans un espace dédié.</w:t>
      </w:r>
    </w:p>
    <w:p>
      <w:pPr>
        <w:spacing w:after="40"/>
        <w:ind w:left="0"/>
      </w:pPr>
      <w:r>
        <w:t>• Historisation complète des analyses.</w:t>
      </w:r>
    </w:p>
    <w:p>
      <w:pPr>
        <w:spacing w:after="40"/>
        <w:ind w:left="0"/>
      </w:pPr>
      <w:r>
        <w:t>• Détection déterministe de patterns extensibles.</w:t>
      </w:r>
    </w:p>
    <w:p>
      <w:pPr>
        <w:spacing w:after="40"/>
        <w:ind w:left="0"/>
      </w:pPr>
      <w:r>
        <w:t>• Évaluation du risque : invalidation, stop loss, take profit, ratio risque/rendement, volatilité, drawdown potentiel si applicable.</w:t>
      </w:r>
    </w:p>
    <w:p>
      <w:pPr>
        <w:spacing w:after="40"/>
        <w:ind w:left="0"/>
      </w:pPr>
      <w:r>
        <w:t>• Affichage du pattern principal et des patterns alternatifs compatibles.</w:t>
      </w:r>
    </w:p>
    <w:p>
      <w:pPr>
        <w:spacing w:after="40"/>
        <w:ind w:left="0"/>
      </w:pPr>
      <w:r>
        <w:t>• Résumé pédagogique expliquant le résultat.</w:t>
      </w:r>
    </w:p>
    <w:p>
      <w:pPr>
        <w:pStyle w:val="Heading2"/>
      </w:pPr>
      <w:r>
        <w:t>7.2 Hors scope explicite V1</w:t>
      </w:r>
    </w:p>
    <w:p>
      <w:pPr>
        <w:spacing w:after="40"/>
        <w:ind w:left="0"/>
      </w:pPr>
      <w:r>
        <w:t>• Passage d’ordres.</w:t>
      </w:r>
    </w:p>
    <w:p>
      <w:pPr>
        <w:spacing w:after="40"/>
        <w:ind w:left="0"/>
      </w:pPr>
      <w:r>
        <w:t>• Accès direct aux comptes bancaires.</w:t>
      </w:r>
    </w:p>
    <w:p>
      <w:pPr>
        <w:spacing w:after="40"/>
        <w:ind w:left="0"/>
      </w:pPr>
      <w:r>
        <w:t>• Trading temps réel tick par tick.</w:t>
      </w:r>
    </w:p>
    <w:p>
      <w:pPr>
        <w:spacing w:after="40"/>
        <w:ind w:left="0"/>
      </w:pPr>
      <w:r>
        <w:t>• Fiscalité et gestion détaillée PEA/CTO.</w:t>
      </w:r>
    </w:p>
    <w:p>
      <w:pPr>
        <w:spacing w:after="40"/>
        <w:ind w:left="0"/>
      </w:pPr>
      <w:r>
        <w:t>• Personnalisation avancée par profil investisseur.</w:t>
      </w:r>
    </w:p>
    <w:p>
      <w:pPr>
        <w:spacing w:after="40"/>
        <w:ind w:left="0"/>
      </w:pPr>
      <w:r>
        <w:t>• IA générative comme source primaire de vérité.</w:t>
      </w:r>
    </w:p>
    <w:p>
      <w:pPr>
        <w:pStyle w:val="Heading1"/>
      </w:pPr>
      <w:r>
        <w:t>8. Couverture marché et actifs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438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Dimension</w:t>
            </w:r>
          </w:p>
        </w:tc>
        <w:tc>
          <w:tcPr>
            <w:tcW w:type="dxa" w:w="6350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Décision produit</w:t>
            </w:r>
          </w:p>
        </w:tc>
      </w:tr>
      <w:tr>
        <w:tc>
          <w:tcPr>
            <w:tcW w:type="dxa" w:w="243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Actifs V1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Actions françaises</w:t>
            </w:r>
          </w:p>
        </w:tc>
      </w:tr>
      <w:tr>
        <w:tc>
          <w:tcPr>
            <w:tcW w:type="dxa" w:w="243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Vision long terme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Architecture compatible avec l’ajout d’ETF, autres actions, puis autres familles d’actifs.</w:t>
            </w:r>
          </w:p>
        </w:tc>
      </w:tr>
      <w:tr>
        <w:tc>
          <w:tcPr>
            <w:tcW w:type="dxa" w:w="243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Granularité V1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Journalière</w:t>
            </w:r>
          </w:p>
        </w:tc>
      </w:tr>
      <w:tr>
        <w:tc>
          <w:tcPr>
            <w:tcW w:type="dxa" w:w="243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Élargissement futur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Ajout de nouveaux marchés et nouvelles devises sans casser le modèle métier central.</w:t>
            </w:r>
          </w:p>
        </w:tc>
      </w:tr>
    </w:tbl>
    <w:p/>
    <w:p>
      <w:pPr>
        <w:pStyle w:val="Heading1"/>
      </w:pPr>
      <w:r>
        <w:t>9. Modèle métier central</w:t>
      </w:r>
    </w:p>
    <w:p>
      <w:pPr>
        <w:spacing w:after="40"/>
        <w:ind w:left="0"/>
      </w:pPr>
      <w:r>
        <w:t>• Surveiller un portefeuille et une watchlist.</w:t>
      </w:r>
    </w:p>
    <w:p>
      <w:pPr>
        <w:spacing w:after="40"/>
        <w:ind w:left="0"/>
      </w:pPr>
      <w:r>
        <w:t>• Analyser une valeur sur données journalières.</w:t>
      </w:r>
    </w:p>
    <w:p>
      <w:pPr>
        <w:spacing w:after="40"/>
        <w:ind w:left="0"/>
      </w:pPr>
      <w:r>
        <w:t>• Détecter plusieurs patterns compatibles si le marché le justifie.</w:t>
      </w:r>
    </w:p>
    <w:p>
      <w:pPr>
        <w:spacing w:after="40"/>
        <w:ind w:left="0"/>
      </w:pPr>
      <w:r>
        <w:t>• Séparer trois couches métier : détection technique, évaluation du risque, recommandation pédagogique.</w:t>
      </w:r>
    </w:p>
    <w:p>
      <w:pPr>
        <w:spacing w:after="40"/>
        <w:ind w:left="0"/>
      </w:pPr>
      <w:r>
        <w:t>• Conserver une trace versionnée de chaque analyse et mesurer sa performance ex post.</w:t>
      </w:r>
    </w:p>
    <w:p>
      <w:pPr>
        <w:pStyle w:val="Heading1"/>
      </w:pPr>
      <w:r>
        <w:t>10. Règles métier structurantes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247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Règle</w:t>
            </w:r>
          </w:p>
        </w:tc>
        <w:tc>
          <w:tcPr>
            <w:tcW w:type="dxa" w:w="7540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Description détaillée</w:t>
            </w:r>
          </w:p>
        </w:tc>
      </w:tr>
      <w:tr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R1</w:t>
            </w:r>
          </w:p>
        </w:tc>
        <w:tc>
          <w:tcPr>
            <w:tcW w:type="dxa" w:w="75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L’API porte la vérité métier : données de marché normalisées, détection, scoring, risque, historique et traçabilité.</w:t>
            </w:r>
          </w:p>
        </w:tc>
      </w:tr>
      <w:tr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R2</w:t>
            </w:r>
          </w:p>
        </w:tc>
        <w:tc>
          <w:tcPr>
            <w:tcW w:type="dxa" w:w="75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L’IA n’est pas nécessaire en V1 ; si elle est ajoutée plus tard, elle reste une couche d’assistance pédagogique et interprétative.</w:t>
            </w:r>
          </w:p>
        </w:tc>
      </w:tr>
      <w:tr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R3</w:t>
            </w:r>
          </w:p>
        </w:tc>
        <w:tc>
          <w:tcPr>
            <w:tcW w:type="dxa" w:w="75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Chaque pattern déclare son propre contrat : prérequis, fenêtre d’analyse minimale, règles de détection, validation, invalidation et scoring.</w:t>
            </w:r>
          </w:p>
        </w:tc>
      </w:tr>
      <w:tr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R4</w:t>
            </w:r>
          </w:p>
        </w:tc>
        <w:tc>
          <w:tcPr>
            <w:tcW w:type="dxa" w:w="75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Si aucun pattern n’est fiable, le système doit l’indiquer explicitement au lieu de forcer un faux 100 %.</w:t>
            </w:r>
          </w:p>
        </w:tc>
      </w:tr>
      <w:tr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R5</w:t>
            </w:r>
          </w:p>
        </w:tc>
        <w:tc>
          <w:tcPr>
            <w:tcW w:type="dxa" w:w="75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Si plusieurs patterns sont compatibles, ils sont tous affichés avec leurs informations et l’explication de cette coexistence.</w:t>
            </w:r>
          </w:p>
        </w:tc>
      </w:tr>
      <w:tr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R6</w:t>
            </w:r>
          </w:p>
        </w:tc>
        <w:tc>
          <w:tcPr>
            <w:tcW w:type="dxa" w:w="75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La recommandation dépend de l’analyse marché et du contexte de détention utilisateur.</w:t>
            </w:r>
          </w:p>
        </w:tc>
      </w:tr>
      <w:tr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R7</w:t>
            </w:r>
          </w:p>
        </w:tc>
        <w:tc>
          <w:tcPr>
            <w:tcW w:type="dxa" w:w="75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Tous les résultats affichés doivent être explicables, auditables et historisés.</w:t>
            </w:r>
          </w:p>
        </w:tc>
      </w:tr>
    </w:tbl>
    <w:p/>
    <w:p>
      <w:pPr>
        <w:pStyle w:val="Heading1"/>
      </w:pPr>
      <w:r>
        <w:t>11. Contrat de sortie d’une analyse</w:t>
      </w:r>
    </w:p>
    <w:p>
      <w:pPr/>
      <w:r>
        <w:t>Chaque analyse doit fournir au minimum les éléments suivants.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984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Bloc</w:t>
            </w:r>
          </w:p>
        </w:tc>
        <w:tc>
          <w:tcPr>
            <w:tcW w:type="dxa" w:w="6803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Contenu attendu</w:t>
            </w:r>
          </w:p>
        </w:tc>
      </w:tr>
      <w:tr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Identification</w:t>
            </w:r>
          </w:p>
        </w:tc>
        <w:tc>
          <w:tcPr>
            <w:tcW w:type="dxa" w:w="680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Actif, marché, date/heure d’analyse, version du moteur, fenêtre réellement utilisée.</w:t>
            </w:r>
          </w:p>
        </w:tc>
      </w:tr>
      <w:tr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Patterns</w:t>
            </w:r>
          </w:p>
        </w:tc>
        <w:tc>
          <w:tcPr>
            <w:tcW w:type="dxa" w:w="680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Pattern principal, patterns alternatifs compatibles, niveau de confiance par pattern, justification.</w:t>
            </w:r>
          </w:p>
        </w:tc>
      </w:tr>
      <w:tr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État</w:t>
            </w:r>
          </w:p>
        </w:tc>
        <w:tc>
          <w:tcPr>
            <w:tcW w:type="dxa" w:w="680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État d’avancement du pattern dans un vocabulaire lisible par un débutant.</w:t>
            </w:r>
          </w:p>
        </w:tc>
      </w:tr>
      <w:tr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Recommandation</w:t>
            </w:r>
          </w:p>
        </w:tc>
        <w:tc>
          <w:tcPr>
            <w:tcW w:type="dxa" w:w="680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Acheter / surveiller / attendre confirmation / conserver / renforcer / alléger / vendre selon le cas.</w:t>
            </w:r>
          </w:p>
        </w:tc>
      </w:tr>
      <w:tr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Risque</w:t>
            </w:r>
          </w:p>
        </w:tc>
        <w:tc>
          <w:tcPr>
            <w:tcW w:type="dxa" w:w="680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Niveau d’invalidation, stop loss suggéré, take profit suggéré, ratio risque/rendement, volatilité, drawdown potentiel si disponible.</w:t>
            </w:r>
          </w:p>
        </w:tc>
      </w:tr>
      <w:tr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Explication</w:t>
            </w:r>
          </w:p>
        </w:tc>
        <w:tc>
          <w:tcPr>
            <w:tcW w:type="dxa" w:w="680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Résumé pédagogique clair, sans jargon non expliqué, explicitant le raisonnement.</w:t>
            </w:r>
          </w:p>
        </w:tc>
      </w:tr>
      <w:tr>
        <w:tc>
          <w:tcPr>
            <w:tcW w:type="dxa" w:w="19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Contexte portefeuille</w:t>
            </w:r>
          </w:p>
        </w:tc>
        <w:tc>
          <w:tcPr>
            <w:tcW w:type="dxa" w:w="680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Présence ou non d’une position, synthèse des lignes détenues utiles à la contextualisation.</w:t>
            </w:r>
          </w:p>
        </w:tc>
      </w:tr>
    </w:tbl>
    <w:p/>
    <w:p>
      <w:pPr>
        <w:pStyle w:val="Heading1"/>
      </w:pPr>
      <w:r>
        <w:t>12. États recommandés pour l’état d’avancement du pattern</w:t>
      </w:r>
    </w:p>
    <w:p>
      <w:pPr/>
      <w:r>
        <w:t>Pour rester compréhensible par un débutant, l’état d’avancement doit utiliser une taxonomie finie et stable.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551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État</w:t>
            </w:r>
          </w:p>
        </w:tc>
        <w:tc>
          <w:tcPr>
            <w:tcW w:type="dxa" w:w="6236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Signification produit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Pattern envisagé</w:t>
            </w:r>
          </w:p>
        </w:tc>
        <w:tc>
          <w:tcPr>
            <w:tcW w:type="dxa" w:w="62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Des éléments précurseurs existent mais la configuration reste préliminaire.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En formation</w:t>
            </w:r>
          </w:p>
        </w:tc>
        <w:tc>
          <w:tcPr>
            <w:tcW w:type="dxa" w:w="62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Le pattern se structure avec suffisamment d’indices pour être suivi.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Proche de validation</w:t>
            </w:r>
          </w:p>
        </w:tc>
        <w:tc>
          <w:tcPr>
            <w:tcW w:type="dxa" w:w="62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Le pattern est avancé mais pas encore confirmé.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Confirmé</w:t>
            </w:r>
          </w:p>
        </w:tc>
        <w:tc>
          <w:tcPr>
            <w:tcW w:type="dxa" w:w="62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Les critères de validation définis par le pattern sont atteints.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Invalidé</w:t>
            </w:r>
          </w:p>
        </w:tc>
        <w:tc>
          <w:tcPr>
            <w:tcW w:type="dxa" w:w="62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Les conditions rendent le pattern non exploitable ou contredisent sa lecture.</w:t>
            </w:r>
          </w:p>
        </w:tc>
      </w:tr>
    </w:tbl>
    <w:p/>
    <w:p>
      <w:pPr>
        <w:pStyle w:val="Heading1"/>
      </w:pPr>
      <w:r>
        <w:t>13. Taxonomie de recommandations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438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Recommandation</w:t>
            </w:r>
          </w:p>
        </w:tc>
        <w:tc>
          <w:tcPr>
            <w:tcW w:type="dxa" w:w="6350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Usage métier</w:t>
            </w:r>
          </w:p>
        </w:tc>
      </w:tr>
      <w:tr>
        <w:tc>
          <w:tcPr>
            <w:tcW w:type="dxa" w:w="243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Surveiller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L’actif mérite un suivi mais le signal est insuffisant pour agir.</w:t>
            </w:r>
          </w:p>
        </w:tc>
      </w:tr>
      <w:tr>
        <w:tc>
          <w:tcPr>
            <w:tcW w:type="dxa" w:w="243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Attendre confirmation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La thèse est intéressante mais une validation objective manque encore.</w:t>
            </w:r>
          </w:p>
        </w:tc>
      </w:tr>
      <w:tr>
        <w:tc>
          <w:tcPr>
            <w:tcW w:type="dxa" w:w="243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Acheter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Le cadre de marché et de risque soutient une entrée pédagogique.</w:t>
            </w:r>
          </w:p>
        </w:tc>
      </w:tr>
      <w:tr>
        <w:tc>
          <w:tcPr>
            <w:tcW w:type="dxa" w:w="243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Conserver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Le détenteur en portefeuille peut maintenir sa position selon les paramètres actuels.</w:t>
            </w:r>
          </w:p>
        </w:tc>
      </w:tr>
      <w:tr>
        <w:tc>
          <w:tcPr>
            <w:tcW w:type="dxa" w:w="243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Renforcer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Le détenteur peut envisager une augmentation de position dans un cadre jugé cohérent.</w:t>
            </w:r>
          </w:p>
        </w:tc>
      </w:tr>
      <w:tr>
        <w:tc>
          <w:tcPr>
            <w:tcW w:type="dxa" w:w="243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Alléger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Le détenteur peut réduire son exposition au regard du risque ou du potentiel résiduel.</w:t>
            </w:r>
          </w:p>
        </w:tc>
      </w:tr>
      <w:tr>
        <w:tc>
          <w:tcPr>
            <w:tcW w:type="dxa" w:w="243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Vendre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Le contexte invalide ou dégrade suffisamment la situation pour justifier une sortie pédagogique.</w:t>
            </w:r>
          </w:p>
        </w:tc>
      </w:tr>
    </w:tbl>
    <w:p/>
    <w:p>
      <w:pPr>
        <w:pStyle w:val="Heading1"/>
      </w:pPr>
      <w:r>
        <w:t>14. Portefeuille utilisateur</w:t>
      </w:r>
    </w:p>
    <w:p>
      <w:pPr>
        <w:pStyle w:val="Heading2"/>
      </w:pPr>
      <w:r>
        <w:t>14.1 Données minimales par ligne d’achat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381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Champ</w:t>
            </w:r>
          </w:p>
        </w:tc>
        <w:tc>
          <w:tcPr>
            <w:tcW w:type="dxa" w:w="1474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Obligatoire</w:t>
            </w:r>
          </w:p>
        </w:tc>
        <w:tc>
          <w:tcPr>
            <w:tcW w:type="dxa" w:w="4932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Commentaire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Actif / valeur</w:t>
            </w:r>
          </w:p>
        </w:tc>
        <w:tc>
          <w:tcPr>
            <w:tcW w:type="dxa" w:w="147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Oui</w:t>
            </w:r>
          </w:p>
        </w:tc>
        <w:tc>
          <w:tcPr>
            <w:tcW w:type="dxa" w:w="49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Référence de l’instrument suivi ou détenu.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Quantité</w:t>
            </w:r>
          </w:p>
        </w:tc>
        <w:tc>
          <w:tcPr>
            <w:tcW w:type="dxa" w:w="147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Oui</w:t>
            </w:r>
          </w:p>
        </w:tc>
        <w:tc>
          <w:tcPr>
            <w:tcW w:type="dxa" w:w="49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Nombre d’actions détenues.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Prix d’achat</w:t>
            </w:r>
          </w:p>
        </w:tc>
        <w:tc>
          <w:tcPr>
            <w:tcW w:type="dxa" w:w="147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Oui</w:t>
            </w:r>
          </w:p>
        </w:tc>
        <w:tc>
          <w:tcPr>
            <w:tcW w:type="dxa" w:w="49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Prix unitaire d’exécution.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Date d’achat</w:t>
            </w:r>
          </w:p>
        </w:tc>
        <w:tc>
          <w:tcPr>
            <w:tcW w:type="dxa" w:w="147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Oui</w:t>
            </w:r>
          </w:p>
        </w:tc>
        <w:tc>
          <w:tcPr>
            <w:tcW w:type="dxa" w:w="49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Date de la ligne d’achat.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PRU</w:t>
            </w:r>
          </w:p>
        </w:tc>
        <w:tc>
          <w:tcPr>
            <w:tcW w:type="dxa" w:w="147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Oui</w:t>
            </w:r>
          </w:p>
        </w:tc>
        <w:tc>
          <w:tcPr>
            <w:tcW w:type="dxa" w:w="49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Peut être dérivé mais reste affichable et historisable.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Frais</w:t>
            </w:r>
          </w:p>
        </w:tc>
        <w:tc>
          <w:tcPr>
            <w:tcW w:type="dxa" w:w="147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Oui</w:t>
            </w:r>
          </w:p>
        </w:tc>
        <w:tc>
          <w:tcPr>
            <w:tcW w:type="dxa" w:w="49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Intégrés au coût de revient.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Devise</w:t>
            </w:r>
          </w:p>
        </w:tc>
        <w:tc>
          <w:tcPr>
            <w:tcW w:type="dxa" w:w="147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Oui</w:t>
            </w:r>
          </w:p>
        </w:tc>
        <w:tc>
          <w:tcPr>
            <w:tcW w:type="dxa" w:w="49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Permet la cohérence future multi-marchés.</w:t>
            </w:r>
          </w:p>
        </w:tc>
      </w:tr>
    </w:tbl>
    <w:p/>
    <w:p>
      <w:pPr>
        <w:pStyle w:val="Heading2"/>
      </w:pPr>
      <w:r>
        <w:t>14.2 Règle de contextualisation</w:t>
      </w:r>
    </w:p>
    <w:p>
      <w:pPr>
        <w:spacing w:after="40"/>
        <w:ind w:left="0"/>
      </w:pPr>
      <w:r>
        <w:t>• Un utilisateur non exposé peut recevoir une recommandation de type surveiller, attendre confirmation ou acheter.</w:t>
      </w:r>
    </w:p>
    <w:p>
      <w:pPr>
        <w:spacing w:after="40"/>
        <w:ind w:left="0"/>
      </w:pPr>
      <w:r>
        <w:t>• Un utilisateur déjà exposé peut recevoir une recommandation de type conserver, renforcer, alléger ou vendre.</w:t>
      </w:r>
    </w:p>
    <w:p>
      <w:pPr>
        <w:spacing w:after="40"/>
        <w:ind w:left="0"/>
      </w:pPr>
      <w:r>
        <w:t>• La détection du pattern et l’évaluation du risque restent identiques pour tous ; seule la formulation finale de la recommandation est contextualisée par la position.</w:t>
      </w:r>
    </w:p>
    <w:p>
      <w:pPr>
        <w:pStyle w:val="Heading1"/>
      </w:pPr>
      <w:r>
        <w:t>15. Analyse journalière et déclenchement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551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Mode</w:t>
            </w:r>
          </w:p>
        </w:tc>
        <w:tc>
          <w:tcPr>
            <w:tcW w:type="dxa" w:w="6236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À la demande</w:t>
            </w:r>
          </w:p>
        </w:tc>
        <w:tc>
          <w:tcPr>
            <w:tcW w:type="dxa" w:w="62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Mode prioritaire V1 ; l’utilisateur lance une analyse depuis un espace dédié.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Batch nocturne</w:t>
            </w:r>
          </w:p>
        </w:tc>
        <w:tc>
          <w:tcPr>
            <w:tcW w:type="dxa" w:w="62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Mode prévu à moyen terme ; permet de pré-calculer des analyses consultables le lendemain.</w:t>
            </w:r>
          </w:p>
        </w:tc>
      </w:tr>
    </w:tbl>
    <w:p/>
    <w:p>
      <w:pPr/>
      <w:r>
        <w:t>Le système doit être conçu pour supporter les deux modes sans dupliquer la logique métier.</w:t>
      </w:r>
    </w:p>
    <w:p>
      <w:pPr>
        <w:pStyle w:val="Heading1"/>
      </w:pPr>
      <w:r>
        <w:t>16. Historisation, versionnage et auditabilité</w:t>
      </w:r>
    </w:p>
    <w:p>
      <w:pPr>
        <w:spacing w:after="40"/>
        <w:ind w:left="0"/>
      </w:pPr>
      <w:r>
        <w:t>• Chaque analyse est un snapshot versionné.</w:t>
      </w:r>
    </w:p>
    <w:p>
      <w:pPr>
        <w:spacing w:after="40"/>
        <w:ind w:left="0"/>
      </w:pPr>
      <w:r>
        <w:t>• Le snapshot doit référencer l’actif, la date/heure, la source de données, la fenêtre d’analyse, la version du moteur, les patterns détectés, les scores, la recommandation et le contexte portefeuille.</w:t>
      </w:r>
    </w:p>
    <w:p>
      <w:pPr>
        <w:spacing w:after="40"/>
        <w:ind w:left="0"/>
      </w:pPr>
      <w:r>
        <w:t>• Les modifications futures du moteur ne doivent pas altérer rétroactivement les analyses déjà produites sans trace explicite.</w:t>
      </w:r>
    </w:p>
    <w:p>
      <w:pPr>
        <w:spacing w:after="40"/>
        <w:ind w:left="0"/>
      </w:pPr>
      <w:r>
        <w:t>• L’historique doit permettre des comparaisons inter-temporelles et des diagnostics de régression fonctionnelle.</w:t>
      </w:r>
    </w:p>
    <w:p>
      <w:pPr>
        <w:pStyle w:val="Heading1"/>
      </w:pPr>
      <w:r>
        <w:t>17. Performance ex post des signaux</w:t>
      </w:r>
    </w:p>
    <w:p>
      <w:pPr/>
      <w:r>
        <w:t>Le produit doit mesurer la qualité des signaux avec un protocole stable et comparable dans le temps.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551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Mesure</w:t>
            </w:r>
          </w:p>
        </w:tc>
        <w:tc>
          <w:tcPr>
            <w:tcW w:type="dxa" w:w="6236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Principe V1 recommandé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Performance à J+5</w:t>
            </w:r>
          </w:p>
        </w:tc>
        <w:tc>
          <w:tcPr>
            <w:tcW w:type="dxa" w:w="62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Variation observée par rapport au prix de référence de l’analyse.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Performance à J+20</w:t>
            </w:r>
          </w:p>
        </w:tc>
        <w:tc>
          <w:tcPr>
            <w:tcW w:type="dxa" w:w="62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Mesure de prolongement moyen terme du signal.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Stop / invalidation</w:t>
            </w:r>
          </w:p>
        </w:tc>
        <w:tc>
          <w:tcPr>
            <w:tcW w:type="dxa" w:w="62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Indicateur binaire et date d’atteinte si le niveau d’invalidation a été touché.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Take profit</w:t>
            </w:r>
          </w:p>
        </w:tc>
        <w:tc>
          <w:tcPr>
            <w:tcW w:type="dxa" w:w="62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Indicateur binaire et date d’atteinte si l’objectif a été touché.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Drawdown max</w:t>
            </w:r>
          </w:p>
        </w:tc>
        <w:tc>
          <w:tcPr>
            <w:tcW w:type="dxa" w:w="62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Pire excursion défavorable observée sur la période de suivi.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Confirmation du pattern</w:t>
            </w:r>
          </w:p>
        </w:tc>
        <w:tc>
          <w:tcPr>
            <w:tcW w:type="dxa" w:w="62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Évaluation ex post selon les règles de validation du pattern.</w:t>
            </w:r>
          </w:p>
        </w:tc>
      </w:tr>
    </w:tbl>
    <w:p/>
    <w:p>
      <w:pPr>
        <w:pStyle w:val="Heading1"/>
      </w:pPr>
      <w:r>
        <w:t>18. Explicabilité</w:t>
      </w:r>
    </w:p>
    <w:p>
      <w:pPr>
        <w:spacing w:after="40"/>
        <w:ind w:left="0"/>
      </w:pPr>
      <w:r>
        <w:t>• Tout résultat présenté doit être relié à des règles identifiables.</w:t>
      </w:r>
    </w:p>
    <w:p>
      <w:pPr>
        <w:spacing w:after="40"/>
        <w:ind w:left="0"/>
      </w:pPr>
      <w:r>
        <w:t>• Le produit doit pouvoir expliquer pourquoi un pattern est proposé, pourquoi plusieurs patterns coexistent et pourquoi une recommandation est retenue.</w:t>
      </w:r>
    </w:p>
    <w:p>
      <w:pPr>
        <w:spacing w:after="40"/>
        <w:ind w:left="0"/>
      </w:pPr>
      <w:r>
        <w:t>• Le résumé pédagogique doit rester aligné avec la vérité calculée et ne pas inventer de causalité non prouvée.</w:t>
      </w:r>
    </w:p>
    <w:p>
      <w:pPr>
        <w:pStyle w:val="Heading1"/>
      </w:pPr>
      <w:r>
        <w:t>19. Place de l’IA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891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Périmètre</w:t>
            </w:r>
          </w:p>
        </w:tc>
        <w:tc>
          <w:tcPr>
            <w:tcW w:type="dxa" w:w="5896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Décision</w:t>
            </w:r>
          </w:p>
        </w:tc>
      </w:tr>
      <w:tr>
        <w:tc>
          <w:tcPr>
            <w:tcW w:type="dxa" w:w="289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V1</w:t>
            </w:r>
          </w:p>
        </w:tc>
        <w:tc>
          <w:tcPr>
            <w:tcW w:type="dxa" w:w="58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Aucune IA obligatoire. La V1 peut être entièrement déterministe.</w:t>
            </w:r>
          </w:p>
        </w:tc>
      </w:tr>
      <w:tr>
        <w:tc>
          <w:tcPr>
            <w:tcW w:type="dxa" w:w="289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Rôle possible futur</w:t>
            </w:r>
          </w:p>
        </w:tc>
        <w:tc>
          <w:tcPr>
            <w:tcW w:type="dxa" w:w="58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Reformulation pédagogique, synthèse textuelle, aide à la compréhension.</w:t>
            </w:r>
          </w:p>
        </w:tc>
      </w:tr>
      <w:tr>
        <w:tc>
          <w:tcPr>
            <w:tcW w:type="dxa" w:w="289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Rôle explicitement exclu comme vérité primaire</w:t>
            </w:r>
          </w:p>
        </w:tc>
        <w:tc>
          <w:tcPr>
            <w:tcW w:type="dxa" w:w="58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Détection seule de pattern, scoring seul, recommandation seule, niveaux de risque seuls.</w:t>
            </w:r>
          </w:p>
        </w:tc>
      </w:tr>
    </w:tbl>
    <w:p/>
    <w:p>
      <w:pPr>
        <w:pStyle w:val="Heading1"/>
      </w:pPr>
      <w:r>
        <w:t>20. Exigences non fonctionnelles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Axe</w:t>
            </w:r>
          </w:p>
        </w:tc>
        <w:tc>
          <w:tcPr>
            <w:tcW w:type="dxa" w:w="6406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Exigence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Maintenabilité</w:t>
            </w:r>
          </w:p>
        </w:tc>
        <w:tc>
          <w:tcPr>
            <w:tcW w:type="dxa" w:w="640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Ajout simple de nouveaux patterns, nouvelles valeurs et nouvelles sources de données.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Traçabilité</w:t>
            </w:r>
          </w:p>
        </w:tc>
        <w:tc>
          <w:tcPr>
            <w:tcW w:type="dxa" w:w="640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Journalisation et historisation suffisantes pour auditer un résultat.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Testabilité</w:t>
            </w:r>
          </w:p>
        </w:tc>
        <w:tc>
          <w:tcPr>
            <w:tcW w:type="dxa" w:w="640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Règles déterministes testables unitairement et fonctionnellement.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Sécurité</w:t>
            </w:r>
          </w:p>
        </w:tc>
        <w:tc>
          <w:tcPr>
            <w:tcW w:type="dxa" w:w="640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Protection des comptes utilisateurs et des données de portefeuille.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Performance</w:t>
            </w:r>
          </w:p>
        </w:tc>
        <w:tc>
          <w:tcPr>
            <w:tcW w:type="dxa" w:w="640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Réponse acceptable sur analyse journalière à la demande et support futur des batchs nocturnes.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sz w:val="19"/>
              </w:rPr>
              <w:t>Clarté UX</w:t>
            </w:r>
          </w:p>
        </w:tc>
        <w:tc>
          <w:tcPr>
            <w:tcW w:type="dxa" w:w="640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9"/>
              </w:rPr>
              <w:t>Résultats compréhensibles par un débutant sans sacrifier la rigueur.</w:t>
            </w:r>
          </w:p>
        </w:tc>
      </w:tr>
    </w:tbl>
    <w:p/>
    <w:p>
      <w:pPr>
        <w:pStyle w:val="Heading1"/>
      </w:pPr>
      <w:r>
        <w:t>21. Critères d’acceptation produit V1</w:t>
      </w:r>
    </w:p>
    <w:p>
      <w:pPr>
        <w:spacing w:after="40"/>
        <w:ind w:left="0"/>
      </w:pPr>
      <w:r>
        <w:t>• Un utilisateur peut créer et maintenir son portefeuille avec plusieurs lignes par actif.</w:t>
      </w:r>
    </w:p>
    <w:p>
      <w:pPr>
        <w:spacing w:after="40"/>
        <w:ind w:left="0"/>
      </w:pPr>
      <w:r>
        <w:t>• Une analyse journalière à la demande peut être déclenchée sur une valeur prise en charge.</w:t>
      </w:r>
    </w:p>
    <w:p>
      <w:pPr>
        <w:spacing w:after="40"/>
        <w:ind w:left="0"/>
      </w:pPr>
      <w:r>
        <w:t>• Le système affiche un pattern principal et, si nécessaire, plusieurs patterns alternatifs compatibles.</w:t>
      </w:r>
    </w:p>
    <w:p>
      <w:pPr>
        <w:spacing w:after="40"/>
        <w:ind w:left="0"/>
      </w:pPr>
      <w:r>
        <w:t>• Chaque résultat inclut confiance, état d’avancement, recommandation, invalidation, stop loss, take profit, ratio risque/rendement et résumé pédagogique.</w:t>
      </w:r>
    </w:p>
    <w:p>
      <w:pPr>
        <w:spacing w:after="40"/>
        <w:ind w:left="0"/>
      </w:pPr>
      <w:r>
        <w:t>• L’explication des résultats est alignée sur des règles auditées.</w:t>
      </w:r>
    </w:p>
    <w:p>
      <w:pPr>
        <w:spacing w:after="40"/>
        <w:ind w:left="0"/>
      </w:pPr>
      <w:r>
        <w:t>• Chaque analyse est historisée et versionnée.</w:t>
      </w:r>
    </w:p>
    <w:p>
      <w:pPr>
        <w:spacing w:after="40"/>
        <w:ind w:left="0"/>
      </w:pPr>
      <w:r>
        <w:t>• Le modèle est ouvert à l’ajout de nouveaux patterns sans recoder le noyau de toute l’application.</w:t>
      </w:r>
    </w:p>
    <w:p>
      <w:pPr>
        <w:pStyle w:val="Heading1"/>
      </w:pPr>
      <w:r>
        <w:t>22. Questions encore ouvertes à affiner en spécification détaillée de conception</w:t>
      </w:r>
    </w:p>
    <w:p>
      <w:pPr>
        <w:spacing w:after="40"/>
        <w:ind w:left="0"/>
      </w:pPr>
      <w:r>
        <w:t>• Liste priorisée des patterns à implémenter en premier.</w:t>
      </w:r>
    </w:p>
    <w:p>
      <w:pPr>
        <w:spacing w:after="40"/>
        <w:ind w:left="0"/>
      </w:pPr>
      <w:r>
        <w:t>• Description formelle et sources de référence pour chaque pattern.</w:t>
      </w:r>
    </w:p>
    <w:p>
      <w:pPr>
        <w:spacing w:after="40"/>
        <w:ind w:left="0"/>
      </w:pPr>
      <w:r>
        <w:t>• Choix précis des fournisseurs de données de marché.</w:t>
      </w:r>
    </w:p>
    <w:p>
      <w:pPr>
        <w:spacing w:after="40"/>
        <w:ind w:left="0"/>
      </w:pPr>
      <w:r>
        <w:t>• Format exact du snapshot d’analyse et de l’évaluation ex post.</w:t>
      </w:r>
    </w:p>
    <w:p>
      <w:pPr>
        <w:spacing w:after="40"/>
        <w:ind w:left="0"/>
      </w:pPr>
      <w:r>
        <w:t>• Règles fines de calcul du niveau de confiance.</w:t>
      </w:r>
    </w:p>
    <w:p>
      <w:pPr>
        <w:spacing w:after="40"/>
        <w:ind w:left="0"/>
      </w:pPr>
      <w:r>
        <w:t>• Stratégie d’ouverture à d’autres actifs et marchés après la V1.</w:t>
      </w:r>
    </w:p>
    <w:sectPr w:rsidR="00FC693F" w:rsidRPr="0006063C" w:rsidSect="00034616"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6609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9595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