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aps/>
          <w:color w:val="888888"/>
          <w:sz w:val="20"/>
          <w:szCs w:val="20"/>
        </w:rPr>
        <w:t xml:space="preserve">MÉMO D'INVESTISSEMENT</w:t>
      </w:r>
    </w:p>
    <w:p>
      <w:pPr>
        <w:spacing w:after="80" w:before="0"/>
      </w:pPr>
      <w:r>
        <w:rPr>
          <w:rFonts w:ascii="Arial" w:cs="Arial" w:eastAsia="Arial" w:hAnsi="Arial"/>
          <w:b/>
          <w:bCs/>
          <w:color w:val="1F3864"/>
          <w:sz w:val="52"/>
          <w:szCs w:val="52"/>
        </w:rPr>
        <w:t xml:space="preserve">PredictFinance</w:t>
      </w:r>
    </w:p>
    <w:p>
      <w:pPr>
        <w:spacing w:after="200" w:before="0"/>
      </w:pPr>
      <w:r>
        <w:rPr>
          <w:rFonts w:ascii="Arial" w:cs="Arial" w:eastAsia="Arial" w:hAnsi="Arial"/>
          <w:i/>
          <w:iCs/>
          <w:color w:val="666666"/>
          <w:sz w:val="18"/>
          <w:szCs w:val="18"/>
        </w:rPr>
        <w:t xml:space="preserve">Fintech pédagogique | Actions françaises | Pré-lancement | Startup privée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caps/>
                <w:color w:val="AAAAAA"/>
                <w:sz w:val="14"/>
                <w:szCs w:val="14"/>
              </w:rPr>
              <w:t xml:space="preserve">RECOMMANDATION</w:t>
            </w:r>
          </w:p>
          <w:p>
            <w:pPr>
              <w:jc w:val="center"/>
            </w:pPr>
            <w:r>
              <w:rPr>
                <w:rFonts w:ascii="Arial" w:cs="Arial" w:eastAsia="Arial" w:hAnsi="Arial"/>
                <w:b/>
                <w:bCs/>
                <w:color w:val="FFFFFF"/>
                <w:sz w:val="24"/>
                <w:szCs w:val="24"/>
              </w:rPr>
              <w:t xml:space="preserve">Construire</w:t>
            </w:r>
          </w:p>
        </w:tc>
        <w:tc>
          <w:tcPr>
            <w:tcW w:type="dxa" w:w="3009"/>
            <w:tcBorders>
              <w:top w:val="single" w:color="1F3864" w:sz="1"/>
              <w:left w:val="single" w:color="1F3864" w:sz="1"/>
              <w:bottom w:val="single" w:color="1F3864" w:sz="1"/>
              <w:right w:val="single" w:color="1F3864" w:sz="1"/>
            </w:tcBorders>
            <w:shd w:fill="D9E2F3" w:val="clear"/>
            <w:tcMar>
              <w:top w:type="dxa" w:w="80"/>
              <w:left w:type="dxa" w:w="140"/>
              <w:bottom w:type="dxa" w:w="80"/>
              <w:right w:type="dxa" w:w="140"/>
            </w:tcMar>
          </w:tcPr>
          <w:p>
            <w:pPr>
              <w:jc w:val="center"/>
            </w:pPr>
            <w:r>
              <w:rPr>
                <w:rFonts w:ascii="Arial" w:cs="Arial" w:eastAsia="Arial" w:hAnsi="Arial"/>
                <w:caps/>
                <w:color w:val="888888"/>
                <w:sz w:val="14"/>
                <w:szCs w:val="14"/>
              </w:rPr>
              <w:t xml:space="preserve">CONVICTION</w:t>
            </w:r>
          </w:p>
          <w:p>
            <w:pPr>
              <w:jc w:val="center"/>
            </w:pPr>
            <w:r>
              <w:rPr>
                <w:rFonts w:ascii="Arial" w:cs="Arial" w:eastAsia="Arial" w:hAnsi="Arial"/>
                <w:b/>
                <w:bCs/>
                <w:color w:val="1F3864"/>
                <w:sz w:val="24"/>
                <w:szCs w:val="24"/>
              </w:rPr>
              <w:t xml:space="preserve">3 / 5</w:t>
            </w:r>
          </w:p>
        </w:tc>
        <w:tc>
          <w:tcPr>
            <w:tcW w:type="dxa" w:w="3009"/>
            <w:tcBorders>
              <w:top w:val="single" w:color="1F3864" w:sz="1"/>
              <w:left w:val="single" w:color="1F3864" w:sz="1"/>
              <w:bottom w:val="single" w:color="1F3864" w:sz="1"/>
              <w:right w:val="single" w:color="1F3864" w:sz="1"/>
            </w:tcBorders>
            <w:shd w:fill="E2EFDA" w:val="clear"/>
            <w:tcMar>
              <w:top w:type="dxa" w:w="80"/>
              <w:left w:type="dxa" w:w="140"/>
              <w:bottom w:type="dxa" w:w="80"/>
              <w:right w:type="dxa" w:w="140"/>
            </w:tcMar>
          </w:tcPr>
          <w:p>
            <w:pPr>
              <w:jc w:val="center"/>
            </w:pPr>
            <w:r>
              <w:rPr>
                <w:rFonts w:ascii="Arial" w:cs="Arial" w:eastAsia="Arial" w:hAnsi="Arial"/>
                <w:caps/>
                <w:color w:val="888888"/>
                <w:sz w:val="14"/>
                <w:szCs w:val="14"/>
              </w:rPr>
              <w:t xml:space="preserve">VALEUR INDICATIVE</w:t>
            </w:r>
          </w:p>
          <w:p>
            <w:pPr>
              <w:jc w:val="center"/>
            </w:pPr>
            <w:r>
              <w:rPr>
                <w:rFonts w:ascii="Arial" w:cs="Arial" w:eastAsia="Arial" w:hAnsi="Arial"/>
                <w:b/>
                <w:bCs/>
                <w:color w:val="375623"/>
                <w:sz w:val="24"/>
                <w:szCs w:val="24"/>
              </w:rPr>
              <w:t xml:space="preserve">€500k – €3M</w:t>
            </w:r>
          </w:p>
        </w:tc>
      </w:tr>
    </w:tbl>
    <w:p>
      <w:pPr>
        <w:spacing w:before="80"/>
      </w:pPr>
      <w:r>
        <w:rPr>
          <w:rFonts w:ascii="Arial" w:cs="Arial" w:eastAsia="Arial" w:hAnsi="Arial"/>
          <w:i/>
          <w:iCs/>
          <w:color w:val="666666"/>
          <w:sz w:val="18"/>
          <w:szCs w:val="18"/>
        </w:rPr>
        <w:t xml:space="preserve">Valorisation post-achèvement produit, scénario base 1 000 abonnés × €4,90/mois HT × 3× ARR</w:t>
      </w:r>
    </w:p>
    <w:p>
      <w:pPr>
        <w:pBdr>
          <w:bottom w:val="single" w:color="2E75B6" w:sz="6" w:space="4"/>
        </w:pBdr>
        <w:spacing w:after="80" w:before="280"/>
      </w:pPr>
    </w:p>
    <w:p>
      <w:pPr>
        <w:pStyle w:val="Heading1"/>
        <w:spacing w:after="100" w:before="360"/>
      </w:pPr>
      <w:r>
        <w:rPr>
          <w:rFonts w:ascii="Arial" w:cs="Arial" w:eastAsia="Arial" w:hAnsi="Arial"/>
          <w:b/>
          <w:bCs/>
          <w:color w:val="1F3864"/>
          <w:sz w:val="36"/>
          <w:szCs w:val="36"/>
        </w:rPr>
        <w:t xml:space="preserve">Résumé exécutif</w:t>
      </w:r>
    </w:p>
    <w:p>
      <w:pPr>
        <w:spacing w:after="120" w:before="60"/>
      </w:pPr>
      <w:r>
        <w:rPr>
          <w:rFonts w:ascii="Arial" w:cs="Arial" w:eastAsia="Arial" w:hAnsi="Arial"/>
          <w:color w:val="222222"/>
          <w:sz w:val="20"/>
          <w:szCs w:val="20"/>
        </w:rPr>
        <w:t xml:space="preserve">PredictFinance cible une niche réelle et non couverte : l'éducation à l'investissement pour particuliers français débutants, en combinant analyse technique déterministe, éligibilité PEA, et contextualisation par le portefeuille personnel de l'utilisateur. La fondation technique est remarquablement solide pour un projet de petite équipe. Cependant, les trois piliers qui créent le fossé concurrentiel (Plan d'Action, Décomposition de la Confiance, boucle ex post) sont à zéro en développement, et un risque réglementaire existentiel — la requalification AMF en CIF — bloque la commercialisation. L'asymétrie risque/rendement est favorable si l'équipe exécute les jalons critiques dans les 6–18 mois et obtient un avis juridique AMF favorable avant le lancement.</w:t>
      </w:r>
    </w:p>
    <w:p>
      <w:pPr>
        <w:pBdr>
          <w:bottom w:val="single" w:color="2E75B6" w:sz="6" w:space="4"/>
        </w:pBdr>
        <w:spacing w:after="80" w:before="280"/>
      </w:pPr>
    </w:p>
    <w:p>
      <w:pPr>
        <w:pStyle w:val="Heading1"/>
        <w:spacing w:after="100" w:before="360"/>
      </w:pPr>
      <w:r>
        <w:rPr>
          <w:rFonts w:ascii="Arial" w:cs="Arial" w:eastAsia="Arial" w:hAnsi="Arial"/>
          <w:b/>
          <w:bCs/>
          <w:color w:val="1F3864"/>
          <w:sz w:val="36"/>
          <w:szCs w:val="36"/>
        </w:rPr>
        <w:t xml:space="preserve">Métriques clés (adapté startup SaaS pré-revenus)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1863"/>
        <w:gridCol w:w="1863"/>
      </w:tblGrid>
      <w:t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Métrique</w:t>
            </w:r>
          </w:p>
        </w:tc>
        <w:tc>
          <w:tcPr>
            <w:tcW w:type="dxa" w:w="21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Valeur actuelle</w:t>
            </w:r>
          </w:p>
        </w:tc>
        <w:tc>
          <w:tcPr>
            <w:tcW w:type="dxa" w:w="1863"/>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Scénario base</w:t>
            </w:r>
          </w:p>
        </w:tc>
        <w:tc>
          <w:tcPr>
            <w:tcW w:type="dxa" w:w="1863"/>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Scénario bull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Stade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Pré-revenus, pré-lancement</w:t>
            </w:r>
          </w:p>
        </w:tc>
        <w:tc>
          <w:tcPr>
            <w:tcW w:type="dxa" w:w="186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w:t>
            </w:r>
          </w:p>
        </w:tc>
        <w:tc>
          <w:tcPr>
            <w:tcW w:type="dxa" w:w="186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ARR cible (abonnés × prix)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€0</w:t>
            </w:r>
          </w:p>
        </w:tc>
        <w:tc>
          <w:tcPr>
            <w:tcW w:type="dxa" w:w="186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1 000 × €4,90 × 12 = €58,8k</w:t>
            </w:r>
          </w:p>
        </w:tc>
        <w:tc>
          <w:tcPr>
            <w:tcW w:type="dxa" w:w="186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5 000 × €4,90 × 12 = €294k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Multiple SaaS niche fintech</w:t>
            </w:r>
          </w:p>
        </w:tc>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N/A</w:t>
            </w:r>
          </w:p>
        </w:tc>
        <w:tc>
          <w:tcPr>
            <w:tcW w:type="dxa" w:w="186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3× ARR</w:t>
            </w:r>
          </w:p>
        </w:tc>
        <w:tc>
          <w:tcPr>
            <w:tcW w:type="dxa" w:w="186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5× ARR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Valorisation indicative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~€100k (valeur tech)</w:t>
            </w:r>
          </w:p>
        </w:tc>
        <w:tc>
          <w:tcPr>
            <w:tcW w:type="dxa" w:w="186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E75B6"/>
                <w:sz w:val="18"/>
                <w:szCs w:val="18"/>
              </w:rPr>
              <w:t xml:space="preserve">~€176k</w:t>
            </w:r>
          </w:p>
        </w:tc>
        <w:tc>
          <w:tcPr>
            <w:tcW w:type="dxa" w:w="186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75623"/>
                <w:sz w:val="18"/>
                <w:szCs w:val="18"/>
              </w:rPr>
              <w:t xml:space="preserve">~€1,47M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Seuil de viabilité opérationnelle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w:t>
            </w:r>
          </w:p>
        </w:tc>
        <w:tc>
          <w:tcPr>
            <w:tcW w:type="dxa" w:w="186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~500 abonnés payants</w:t>
            </w:r>
          </w:p>
        </w:tc>
        <w:tc>
          <w:tcPr>
            <w:tcW w:type="dxa" w:w="186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Complétion produit estimée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~60% (core OK)</w:t>
            </w:r>
          </w:p>
        </w:tc>
        <w:tc>
          <w:tcPr>
            <w:tcW w:type="dxa" w:w="186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6–12 mois pour P0</w:t>
            </w:r>
          </w:p>
        </w:tc>
        <w:tc>
          <w:tcPr>
            <w:tcW w:type="dxa" w:w="186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Risque réglementaire (CIF/AMF)</w:t>
            </w:r>
          </w:p>
        </w:tc>
        <w:tc>
          <w:tcPr>
            <w:tcW w:type="dxa" w:w="21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bCs/>
                <w:color w:val="C00000"/>
                <w:sz w:val="18"/>
                <w:szCs w:val="18"/>
              </w:rPr>
              <w:t xml:space="preserve">CRITIQUE</w:t>
            </w:r>
          </w:p>
        </w:tc>
        <w:tc>
          <w:tcPr>
            <w:tcW w:type="dxa" w:w="1863"/>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À lever avant lancement</w:t>
            </w:r>
          </w:p>
        </w:tc>
        <w:tc>
          <w:tcPr>
            <w:tcW w:type="dxa" w:w="1863"/>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Consultation avocat 1–3 mois</w:t>
            </w:r>
          </w:p>
        </w:tc>
      </w:tr>
    </w:tbl>
    <w:p>
      <w:pPr>
        <w:pBdr>
          <w:bottom w:val="single" w:color="2E75B6" w:sz="6" w:space="4"/>
        </w:pBdr>
        <w:spacing w:after="80" w:before="280"/>
      </w:pPr>
    </w:p>
    <w:p>
      <w:pPr>
        <w:pStyle w:val="Heading1"/>
        <w:spacing w:after="100" w:before="360"/>
      </w:pPr>
      <w:r>
        <w:rPr>
          <w:rFonts w:ascii="Arial" w:cs="Arial" w:eastAsia="Arial" w:hAnsi="Arial"/>
          <w:b/>
          <w:bCs/>
          <w:color w:val="1F3864"/>
          <w:sz w:val="36"/>
          <w:szCs w:val="36"/>
        </w:rPr>
        <w:t xml:space="preserve">Thèse d'investissement</w:t>
      </w:r>
    </w:p>
    <w:p>
      <w:pPr>
        <w:spacing w:after="80" w:before="240"/>
      </w:pPr>
      <w:r>
        <w:rPr>
          <w:rFonts w:ascii="Arial" w:cs="Arial" w:eastAsia="Arial" w:hAnsi="Arial"/>
          <w:b/>
          <w:bCs/>
          <w:color w:val="1F3864"/>
          <w:sz w:val="24"/>
          <w:szCs w:val="24"/>
        </w:rPr>
        <w:t xml:space="preserve">L'opportunité</w:t>
      </w:r>
    </w:p>
    <w:p>
      <w:pPr>
        <w:spacing w:after="60" w:before="60"/>
      </w:pPr>
      <w:r>
        <w:rPr>
          <w:rFonts w:ascii="Arial" w:cs="Arial" w:eastAsia="Arial" w:hAnsi="Arial"/>
          <w:sz w:val="19"/>
          <w:szCs w:val="19"/>
        </w:rPr>
        <w:t xml:space="preserve">Le marché de l'investissement retail français a connu un boom post-COVID : environ 3 millions de nouveaux investisseurs ont ouvert un compte-titres ou PEA entre 2020 et 2023. Cette cohorte est majoritairement débutante, peu équipée, et confrontée à une offre d'outils d'analyse conçus pour des praticiens (TradingView, Bloomberg Anywhere, screeners) ou à des contenus pédagogiques sans outil intégré (YouTube, newsletters).</w:t>
      </w:r>
    </w:p>
    <w:p>
      <w:pPr>
        <w:spacing w:after="60" w:before="60"/>
      </w:pPr>
      <w:r>
        <w:rPr>
          <w:rFonts w:ascii="Arial" w:cs="Arial" w:eastAsia="Arial" w:hAnsi="Arial"/>
          <w:sz w:val="19"/>
          <w:szCs w:val="19"/>
        </w:rPr>
        <w:t xml:space="preserve">PredictFinance occupe l'espace entre les deux : un outil d'analyse qui explique ce qu'il fait, contextualisé par le portefeuille réel de l'utilisateur, avec une éligibilité PEA intégrée. Aucun acteur existant ne couvre cette combinaison pour le marché français.</w:t>
      </w:r>
    </w:p>
    <w:p>
      <w:pPr>
        <w:spacing w:after="80" w:before="240"/>
      </w:pPr>
      <w:r>
        <w:rPr>
          <w:rFonts w:ascii="Arial" w:cs="Arial" w:eastAsia="Arial" w:hAnsi="Arial"/>
          <w:b/>
          <w:bCs/>
          <w:color w:val="1F3864"/>
          <w:sz w:val="24"/>
          <w:szCs w:val="24"/>
        </w:rPr>
        <w:t xml:space="preserve">Perception différenciée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Axe</w:t>
            </w:r>
          </w:p>
        </w:tc>
        <w:tc>
          <w:tcPr>
            <w:tcW w:type="dxa" w:w="3613"/>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Vue consensus</w:t>
            </w:r>
          </w:p>
        </w:tc>
        <w:tc>
          <w:tcPr>
            <w:tcW w:type="dxa" w:w="3613"/>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Notre vue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Positionnement</w:t>
            </w:r>
          </w:p>
        </w:tc>
        <w:tc>
          <w:tcPr>
            <w:tcW w:type="dxa" w:w="36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Screener technique avec filtres France — remplaçable par TradingView gratuit</w:t>
            </w:r>
          </w:p>
        </w:tc>
        <w:tc>
          <w:tcPr>
            <w:tcW w:type="dxa" w:w="36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Plateforme pédagogique déterministe unique SI les différenciateurs sont construits — non remplaçable sur le segment débutant FR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Risque légal</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Produit pédagogique = immunisé AMF</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Risque de requalification CIF réel (prob. 40–60%) — consultation avocat obligatoire avant lancement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Maturité produit</w:t>
            </w:r>
          </w:p>
        </w:tc>
        <w:tc>
          <w:tcPr>
            <w:tcW w:type="dxa" w:w="36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Backend solide = produit prêt</w:t>
            </w:r>
          </w:p>
        </w:tc>
        <w:tc>
          <w:tcPr>
            <w:tcW w:type="dxa" w:w="36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Core engine solide ≠ produit prêt : 3 surfaces P0 manquantes + cadre légal incomplet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Moat</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4 patterns de continuation = barrière technique</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Moat réel = Plan d'Action + ex post loop + pédagogie inline ; aucun de ces éléments n'est construit</w:t>
            </w:r>
          </w:p>
        </w:tc>
      </w:tr>
    </w:tbl>
    <w:p>
      <w:pPr>
        <w:spacing w:after="80" w:before="240"/>
      </w:pPr>
      <w:r>
        <w:rPr>
          <w:rFonts w:ascii="Arial" w:cs="Arial" w:eastAsia="Arial" w:hAnsi="Arial"/>
          <w:b/>
          <w:bCs/>
          <w:color w:val="1F3864"/>
          <w:sz w:val="24"/>
          <w:szCs w:val="24"/>
        </w:rPr>
        <w:t xml:space="preserve">Facteurs de création de valeur</w:t>
      </w:r>
    </w:p>
    <w:p>
      <w:pPr>
        <w:spacing w:after="60" w:before="60"/>
      </w:pPr>
      <w:r>
        <w:rPr>
          <w:rFonts w:ascii="Arial" w:cs="Arial" w:eastAsia="Arial" w:hAnsi="Arial"/>
          <w:b/>
          <w:bCs/>
          <w:sz w:val="19"/>
          <w:szCs w:val="19"/>
        </w:rPr>
        <w:t xml:space="preserve">1. Pédagogie déterministe (C-08/C-09) :</w:t>
      </w:r>
      <w:r>
        <w:rPr>
          <w:rFonts w:ascii="Arial" w:cs="Arial" w:eastAsia="Arial" w:hAnsi="Arial"/>
          <w:sz w:val="19"/>
          <w:szCs w:val="19"/>
        </w:rPr>
        <w:t xml:space="preserve"> Plan d'Action + Décomposition de la Confiance sont les deux fonctionnalités qui transforment PredictFinance d'un screener en outil d'éducation. Ce sont également les principales barrières à l'imitation (contenu versioned, non-halluciné).</w:t>
      </w:r>
    </w:p>
    <w:p>
      <w:pPr>
        <w:spacing w:after="60" w:before="60"/>
      </w:pPr>
      <w:r>
        <w:rPr>
          <w:rFonts w:ascii="Arial" w:cs="Arial" w:eastAsia="Arial" w:hAnsi="Arial"/>
          <w:b/>
          <w:bCs/>
          <w:sz w:val="19"/>
          <w:szCs w:val="19"/>
        </w:rPr>
        <w:t xml:space="preserve">2. Boucle ex post (C-11) :</w:t>
      </w:r>
      <w:r>
        <w:rPr>
          <w:rFonts w:ascii="Arial" w:cs="Arial" w:eastAsia="Arial" w:hAnsi="Arial"/>
          <w:sz w:val="19"/>
          <w:szCs w:val="19"/>
        </w:rPr>
        <w:t xml:space="preserve"> Le mécanisme TARGET_HIT / INVALIDATION_HIT sur les analyses passées est le principal vecteur de rétention et de confiance. Il crée une preuve vérifiable de la valeur du produit — rare dans le secteur.</w:t>
      </w:r>
    </w:p>
    <w:p>
      <w:pPr>
        <w:spacing w:after="60" w:before="60"/>
      </w:pPr>
      <w:r>
        <w:rPr>
          <w:rFonts w:ascii="Arial" w:cs="Arial" w:eastAsia="Arial" w:hAnsi="Arial"/>
          <w:b/>
          <w:bCs/>
          <w:sz w:val="19"/>
          <w:szCs w:val="19"/>
        </w:rPr>
        <w:t xml:space="preserve">3. PEA + actions françaises :</w:t>
      </w:r>
      <w:r>
        <w:rPr>
          <w:rFonts w:ascii="Arial" w:cs="Arial" w:eastAsia="Arial" w:hAnsi="Arial"/>
          <w:sz w:val="19"/>
          <w:szCs w:val="19"/>
        </w:rPr>
        <w:t xml:space="preserve"> L'éligibilité PEA est un différenciateur fort pour l'investisseur retail français — l'enveloppe PEA représente ~100 milliards d'euros d'encours. Aucun outil d'analyse ne l'intègre nativement.</w:t>
      </w:r>
    </w:p>
    <w:p>
      <w:pPr>
        <w:pBdr>
          <w:bottom w:val="single" w:color="2E75B6" w:sz="6" w:space="4"/>
        </w:pBdr>
        <w:spacing w:after="80" w:before="280"/>
      </w:pPr>
    </w:p>
    <w:p>
      <w:pPr>
        <w:pStyle w:val="Heading1"/>
        <w:spacing w:after="100" w:before="360"/>
      </w:pPr>
      <w:r>
        <w:rPr>
          <w:rFonts w:ascii="Arial" w:cs="Arial" w:eastAsia="Arial" w:hAnsi="Arial"/>
          <w:b/>
          <w:bCs/>
          <w:color w:val="1F3864"/>
          <w:sz w:val="36"/>
          <w:szCs w:val="36"/>
        </w:rPr>
        <w:t xml:space="preserve">Présentation du produit</w:t>
      </w:r>
    </w:p>
    <w:p>
      <w:pPr>
        <w:spacing w:after="80" w:before="240"/>
      </w:pPr>
      <w:r>
        <w:rPr>
          <w:rFonts w:ascii="Arial" w:cs="Arial" w:eastAsia="Arial" w:hAnsi="Arial"/>
          <w:b/>
          <w:bCs/>
          <w:color w:val="1F3864"/>
          <w:sz w:val="24"/>
          <w:szCs w:val="24"/>
        </w:rPr>
        <w:t xml:space="preserve">Description</w:t>
      </w:r>
    </w:p>
    <w:p>
      <w:pPr>
        <w:spacing w:after="60" w:before="60"/>
      </w:pPr>
      <w:r>
        <w:rPr>
          <w:rFonts w:ascii="Arial" w:cs="Arial" w:eastAsia="Arial" w:hAnsi="Arial"/>
          <w:sz w:val="19"/>
          <w:szCs w:val="19"/>
        </w:rPr>
        <w:t xml:space="preserve">PredictFinance est une application web (Angular 21 / .NET 10) d'aide à la décision pédagogique sur les actions françaises cotées. V1 couvre : watchlist, portefeuille (FIFO), analyse technique (4 patterns de continuation), scoring fondamental, éligibilité PEA, historique des analyses avec snapshots versionnés, simulation, et gouvernance admin complète.</w:t>
      </w:r>
    </w:p>
    <w:p>
      <w:pPr>
        <w:spacing w:after="60" w:before="60"/>
      </w:pPr>
      <w:r>
        <w:rPr>
          <w:rFonts w:ascii="Arial" w:cs="Arial" w:eastAsia="Arial" w:hAnsi="Arial"/>
          <w:sz w:val="19"/>
          <w:szCs w:val="19"/>
        </w:rPr>
        <w:t xml:space="preserve">Le produit n'exécute pas d'ordres, n'accède pas aux comptes bancaires et ne fournit pas de données tick temps réel. Il est explicitement pédagogique — chaque output comprend une explication déterministe, pas une recommandation probabiliste.</w:t>
      </w:r>
    </w:p>
    <w:p>
      <w:pPr>
        <w:spacing w:after="80" w:before="240"/>
      </w:pPr>
      <w:r>
        <w:rPr>
          <w:rFonts w:ascii="Arial" w:cs="Arial" w:eastAsia="Arial" w:hAnsi="Arial"/>
          <w:b/>
          <w:bCs/>
          <w:color w:val="1F3864"/>
          <w:sz w:val="24"/>
          <w:szCs w:val="24"/>
        </w:rPr>
        <w:t xml:space="preserve">Position concurrentielle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13"/>
        <w:gridCol w:w="1713"/>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Concurrent</w:t>
            </w:r>
          </w:p>
        </w:tc>
        <w:tc>
          <w:tcPr>
            <w:tcW w:type="dxa" w:w="1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Actions FR</w:t>
            </w:r>
          </w:p>
        </w:tc>
        <w:tc>
          <w:tcPr>
            <w:tcW w:type="dxa" w:w="1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PEA intégré</w:t>
            </w:r>
          </w:p>
        </w:tc>
        <w:tc>
          <w:tcPr>
            <w:tcW w:type="dxa" w:w="1713"/>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Pédagogie inline</w:t>
            </w:r>
          </w:p>
        </w:tc>
        <w:tc>
          <w:tcPr>
            <w:tcW w:type="dxa" w:w="1713"/>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Débutants ciblés</w:t>
            </w:r>
          </w:p>
        </w:tc>
      </w:tr>
      <w:tr>
        <w:tc>
          <w:tcPr>
            <w:tcW w:type="dxa" w:w="22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sz w:val="18"/>
                <w:szCs w:val="18"/>
              </w:rPr>
              <w:t xml:space="preserve">PredictFinance</w:t>
            </w:r>
          </w:p>
        </w:tc>
        <w:tc>
          <w:tcPr>
            <w:tcW w:type="dxa" w:w="17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sz w:val="18"/>
                <w:szCs w:val="18"/>
              </w:rPr>
              <w:t xml:space="preserve">✓ Uniquement</w:t>
            </w:r>
          </w:p>
        </w:tc>
        <w:tc>
          <w:tcPr>
            <w:tcW w:type="dxa" w:w="17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sz w:val="18"/>
                <w:szCs w:val="18"/>
              </w:rPr>
              <w:t xml:space="preserve">✓ Oui</w:t>
            </w:r>
          </w:p>
        </w:tc>
        <w:tc>
          <w:tcPr>
            <w:tcW w:type="dxa" w:w="1713"/>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sz w:val="18"/>
                <w:szCs w:val="18"/>
              </w:rPr>
              <w:t xml:space="preserve">✓ Déterministe</w:t>
            </w:r>
          </w:p>
        </w:tc>
        <w:tc>
          <w:tcPr>
            <w:tcW w:type="dxa" w:w="1713"/>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sz w:val="18"/>
                <w:szCs w:val="18"/>
              </w:rPr>
              <w:t xml:space="preserve">✓ Segment core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TradingView</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 Parmi d'autres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 Non</w:t>
            </w:r>
          </w:p>
        </w:tc>
        <w:tc>
          <w:tcPr>
            <w:tcW w:type="dxa" w:w="17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 Signal brut</w:t>
            </w:r>
          </w:p>
        </w:tc>
        <w:tc>
          <w:tcPr>
            <w:tcW w:type="dxa" w:w="17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 Praticiens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Boursorama Research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 Focus FR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 Indirect</w:t>
            </w:r>
          </w:p>
        </w:tc>
        <w:tc>
          <w:tcPr>
            <w:tcW w:type="dxa" w:w="17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 Contenu éditorial</w:t>
            </w:r>
          </w:p>
        </w:tc>
        <w:tc>
          <w:tcPr>
            <w:tcW w:type="dxa" w:w="17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Partial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BNP My Invest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Partial</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Partial</w:t>
            </w:r>
          </w:p>
        </w:tc>
        <w:tc>
          <w:tcPr>
            <w:tcW w:type="dxa" w:w="17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 Non</w:t>
            </w:r>
          </w:p>
        </w:tc>
        <w:tc>
          <w:tcPr>
            <w:tcW w:type="dxa" w:w="17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Partial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Investir.fr / Capital.fr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 FR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 Non</w:t>
            </w:r>
          </w:p>
        </w:tc>
        <w:tc>
          <w:tcPr>
            <w:tcW w:type="dxa" w:w="17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Contenu (pas outil)</w:t>
            </w:r>
          </w:p>
        </w:tc>
        <w:tc>
          <w:tcPr>
            <w:tcW w:type="dxa" w:w="17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Partial</w:t>
            </w:r>
          </w:p>
        </w:tc>
      </w:tr>
    </w:tbl>
    <w:p>
      <w:pPr>
        <w:spacing w:after="60" w:before="80"/>
      </w:pPr>
      <w:r>
        <w:rPr>
          <w:rFonts w:ascii="Arial" w:cs="Arial" w:eastAsia="Arial" w:hAnsi="Arial"/>
          <w:b/>
          <w:bCs/>
          <w:sz w:val="19"/>
          <w:szCs w:val="19"/>
        </w:rPr>
        <w:t xml:space="preserve">Type de moat : </w:t>
      </w:r>
      <w:r>
        <w:rPr>
          <w:rFonts w:ascii="Arial" w:cs="Arial" w:eastAsia="Arial" w:hAnsi="Arial"/>
          <w:sz w:val="19"/>
          <w:szCs w:val="19"/>
        </w:rPr>
        <w:t xml:space="preserve">Intangibles (pédagogie déterministe versionnée) + switching costs (snapshots auditables, historique personnel)</w:t>
      </w:r>
    </w:p>
    <w:p>
      <w:pPr>
        <w:spacing w:after="60" w:before="40"/>
      </w:pPr>
      <w:r>
        <w:rPr>
          <w:rFonts w:ascii="Arial" w:cs="Arial" w:eastAsia="Arial" w:hAnsi="Arial"/>
          <w:b/>
          <w:bCs/>
          <w:sz w:val="19"/>
          <w:szCs w:val="19"/>
        </w:rPr>
        <w:t xml:space="preserve">Force du moat : </w:t>
      </w:r>
      <w:r>
        <w:rPr>
          <w:rFonts w:ascii="Arial" w:cs="Arial" w:eastAsia="Arial" w:hAnsi="Arial"/>
          <w:color w:val="C00000"/>
          <w:sz w:val="19"/>
          <w:szCs w:val="19"/>
        </w:rPr>
        <w:t xml:space="preserve">Étroite (potentielle) — dépend de la livraison des différenciateurs C-08/C-09/C-11</w:t>
      </w:r>
    </w:p>
    <w:p>
      <w:pPr>
        <w:spacing w:after="80" w:before="240"/>
      </w:pPr>
      <w:r>
        <w:rPr>
          <w:rFonts w:ascii="Arial" w:cs="Arial" w:eastAsia="Arial" w:hAnsi="Arial"/>
          <w:b/>
          <w:bCs/>
          <w:color w:val="1F3864"/>
          <w:sz w:val="24"/>
          <w:szCs w:val="24"/>
        </w:rPr>
        <w:t xml:space="preserve">Évaluation du management / équipe</w:t>
      </w:r>
    </w:p>
    <w:p>
      <w:pPr>
        <w:spacing w:after="60" w:before="60"/>
      </w:pPr>
      <w:r>
        <w:rPr>
          <w:rFonts w:ascii="Arial" w:cs="Arial" w:eastAsia="Arial" w:hAnsi="Arial"/>
          <w:color w:val="333333"/>
          <w:sz w:val="19"/>
          <w:szCs w:val="19"/>
        </w:rPr>
        <w:t xml:space="preserve">Projet solo/petite équipe (non divulgué publiquement). Signaux positifs : architecture technique disciplinée (.NET 10, layering clean, séparation API-first), documentation canonique complète (9 fichiers), dette tech identifiée et tracée (T-01 à T-05), risques légaux auto-diagnostiqués. Signaux à surveiller : aucun track record de lancement, modèle économique décidé (abonnement €4,90/mois HT), arbitrations ouvertes (A-01 à A-11) indiquant des décisions non prises.</w:t>
      </w:r>
    </w:p>
    <w:p>
      <w:pPr>
        <w:pBdr>
          <w:bottom w:val="single" w:color="2E75B6" w:sz="6" w:space="4"/>
        </w:pBdr>
        <w:spacing w:after="80" w:before="280"/>
      </w:pPr>
    </w:p>
    <w:p>
      <w:pPr>
        <w:pStyle w:val="Heading1"/>
        <w:spacing w:after="100" w:before="360"/>
      </w:pPr>
      <w:r>
        <w:rPr>
          <w:rFonts w:ascii="Arial" w:cs="Arial" w:eastAsia="Arial" w:hAnsi="Arial"/>
          <w:b/>
          <w:bCs/>
          <w:color w:val="1F3864"/>
          <w:sz w:val="36"/>
          <w:szCs w:val="36"/>
        </w:rPr>
        <w:t xml:space="preserve">Analyse financière (adapté startup pré-revenus)</w:t>
      </w:r>
    </w:p>
    <w:p>
      <w:pPr>
        <w:spacing w:after="80" w:before="240"/>
      </w:pPr>
      <w:r>
        <w:rPr>
          <w:rFonts w:ascii="Arial" w:cs="Arial" w:eastAsia="Arial" w:hAnsi="Arial"/>
          <w:b/>
          <w:bCs/>
          <w:color w:val="1F3864"/>
          <w:sz w:val="24"/>
          <w:szCs w:val="24"/>
        </w:rPr>
        <w:t xml:space="preserve">Qualité de l'exécution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426"/>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Critère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Évaluation</w:t>
            </w:r>
          </w:p>
        </w:tc>
        <w:tc>
          <w:tcPr>
            <w:tcW w:type="dxa" w:w="342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Note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Moteur d'analyse (4 patterns)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Élevée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Orchestration, persistence, résultats auditables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Auth/Sécurité</w:t>
            </w:r>
          </w:p>
        </w:tc>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Élevée</w:t>
            </w:r>
          </w:p>
        </w:tc>
        <w:tc>
          <w:tcPr>
            <w:tcW w:type="dxa" w:w="3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JWT, BCrypt, rate limit, lockout, rôles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Admin/Gouvernance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Élevée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8 surfaces, plus avancé que la spec</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Tests (xUnit, WebApplicationFactory)</w:t>
            </w:r>
          </w:p>
        </w:tc>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sz w:val="18"/>
                <w:szCs w:val="18"/>
              </w:rPr>
              <w:t xml:space="preserve">Moyenne</w:t>
            </w:r>
          </w:p>
        </w:tc>
        <w:tc>
          <w:tcPr>
            <w:tcW w:type="dxa" w:w="3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Intégration présente ; coverage à évaluer</w:t>
            </w:r>
          </w:p>
        </w:tc>
      </w:tr>
      <w:tr>
        <w:tc>
          <w:tcPr>
            <w:tcW w:type="dxa" w:w="36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Plan d'Action (C-09)</w:t>
            </w:r>
          </w:p>
        </w:tc>
        <w:tc>
          <w:tcPr>
            <w:tcW w:type="dxa" w:w="20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bCs/>
                <w:color w:val="C00000"/>
                <w:sz w:val="18"/>
                <w:szCs w:val="18"/>
              </w:rPr>
              <w:t xml:space="preserve">Zéro</w:t>
            </w:r>
          </w:p>
        </w:tc>
        <w:tc>
          <w:tcPr>
            <w:tcW w:type="dxa" w:w="3426"/>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Donnée source prête ; surface + générateur manquants</w:t>
            </w:r>
          </w:p>
        </w:tc>
      </w:tr>
      <w:tr>
        <w:tc>
          <w:tcPr>
            <w:tcW w:type="dxa" w:w="36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Confidence Breakdown (C-08)</w:t>
            </w:r>
          </w:p>
        </w:tc>
        <w:tc>
          <w:tcPr>
            <w:tcW w:type="dxa" w:w="20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bCs/>
                <w:color w:val="C00000"/>
                <w:sz w:val="18"/>
                <w:szCs w:val="18"/>
              </w:rPr>
              <w:t xml:space="preserve">Zéro</w:t>
            </w:r>
          </w:p>
        </w:tc>
        <w:tc>
          <w:tcPr>
            <w:tcW w:type="dxa" w:w="3426"/>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Sous-objets présents ; UI + exposition manquantes</w:t>
            </w:r>
          </w:p>
        </w:tc>
      </w:tr>
      <w:tr>
        <w:tc>
          <w:tcPr>
            <w:tcW w:type="dxa" w:w="36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Boucle ex post (C-11)</w:t>
            </w:r>
          </w:p>
        </w:tc>
        <w:tc>
          <w:tcPr>
            <w:tcW w:type="dxa" w:w="20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bCs/>
                <w:color w:val="C00000"/>
                <w:sz w:val="18"/>
                <w:szCs w:val="18"/>
              </w:rPr>
              <w:t xml:space="preserve">Zéro</w:t>
            </w:r>
          </w:p>
        </w:tc>
        <w:tc>
          <w:tcPr>
            <w:tcW w:type="dxa" w:w="3426"/>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Infrastructure DB présente ; batch job inexistant</w:t>
            </w:r>
          </w:p>
        </w:tc>
      </w:tr>
      <w:tr>
        <w:tc>
          <w:tcPr>
            <w:tcW w:type="dxa" w:w="3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sz w:val="18"/>
                <w:szCs w:val="18"/>
              </w:rPr>
              <w:t xml:space="preserve">Dette tech (T-01 : Services → ViewModels)</w:t>
            </w:r>
          </w:p>
        </w:tc>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sz w:val="18"/>
                <w:szCs w:val="18"/>
              </w:rPr>
              <w:t xml:space="preserve">Connue</w:t>
            </w:r>
          </w:p>
        </w:tc>
        <w:tc>
          <w:tcPr>
            <w:tcW w:type="dxa" w:w="3426"/>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sz w:val="18"/>
                <w:szCs w:val="18"/>
              </w:rPr>
              <w:t xml:space="preserve">Ne pas étendre ; prévoir refactor contrats</w:t>
            </w:r>
          </w:p>
        </w:tc>
      </w:tr>
    </w:tbl>
    <w:p>
      <w:pPr>
        <w:spacing w:after="80" w:before="240"/>
      </w:pPr>
      <w:r>
        <w:rPr>
          <w:rFonts w:ascii="Arial" w:cs="Arial" w:eastAsia="Arial" w:hAnsi="Arial"/>
          <w:b/>
          <w:bCs/>
          <w:color w:val="1F3864"/>
          <w:sz w:val="24"/>
          <w:szCs w:val="24"/>
        </w:rPr>
        <w:t xml:space="preserve">Signaux d'alerte identifiés</w:t>
      </w:r>
    </w:p>
    <w:p>
      <w:pPr>
        <w:pStyle w:val="ListParagraph"/>
        <w:numPr>
          <w:ilvl w:val="0"/>
          <w:numId w:val="2"/>
        </w:numPr>
        <w:spacing w:after="40" w:before="40"/>
      </w:pPr>
      <w:r>
        <w:rPr>
          <w:rFonts w:ascii="Arial" w:cs="Arial" w:eastAsia="Arial" w:hAnsi="Arial"/>
          <w:b/>
          <w:bCs/>
          <w:sz w:val="19"/>
          <w:szCs w:val="19"/>
        </w:rPr>
        <w:t xml:space="preserve">Fournisseur de données non nommé → droits de redistribution non validés</w:t>
      </w:r>
    </w:p>
    <w:p>
      <w:pPr>
        <w:pStyle w:val="ListParagraph"/>
        <w:numPr>
          <w:ilvl w:val="0"/>
          <w:numId w:val="2"/>
        </w:numPr>
        <w:spacing w:after="40" w:before="40"/>
      </w:pPr>
      <w:r>
        <w:rPr>
          <w:rFonts w:ascii="Arial" w:cs="Arial" w:eastAsia="Arial" w:hAnsi="Arial"/>
          <w:b w:val="false"/>
          <w:bCs w:val="false"/>
          <w:sz w:val="19"/>
          <w:szCs w:val="19"/>
        </w:rPr>
        <w:t xml:space="preserve">Modèle économique décidé : abonnement €4,90/mois HT (2026-05-28) — LTV ~€98 sans ex post (churn ~5%/mois), ~€245 avec ex post (churn ~2%/mois)</w:t>
      </w:r>
    </w:p>
    <w:p>
      <w:pPr>
        <w:pStyle w:val="ListParagraph"/>
        <w:numPr>
          <w:ilvl w:val="0"/>
          <w:numId w:val="2"/>
        </w:numPr>
        <w:spacing w:after="40" w:before="40"/>
      </w:pPr>
      <w:r>
        <w:rPr>
          <w:rFonts w:ascii="Arial" w:cs="Arial" w:eastAsia="Arial" w:hAnsi="Arial"/>
          <w:b w:val="false"/>
          <w:bCs w:val="false"/>
          <w:sz w:val="19"/>
          <w:szCs w:val="19"/>
        </w:rPr>
        <w:t xml:space="preserve">Stratégie d'acquisition utilisateurs absente de la spec</w:t>
      </w:r>
    </w:p>
    <w:p>
      <w:pPr>
        <w:pStyle w:val="ListParagraph"/>
        <w:numPr>
          <w:ilvl w:val="0"/>
          <w:numId w:val="2"/>
        </w:numPr>
        <w:spacing w:after="40" w:before="40"/>
      </w:pPr>
      <w:r>
        <w:rPr>
          <w:rFonts w:ascii="Arial" w:cs="Arial" w:eastAsia="Arial" w:hAnsi="Arial"/>
          <w:b w:val="false"/>
          <w:bCs w:val="false"/>
          <w:sz w:val="19"/>
          <w:szCs w:val="19"/>
        </w:rPr>
        <w:t xml:space="preserve">RGPD : suppression de compte absente (Art. 17) — obligation légale non respectée</w:t>
      </w:r>
    </w:p>
    <w:p>
      <w:pPr>
        <w:pStyle w:val="ListParagraph"/>
        <w:numPr>
          <w:ilvl w:val="0"/>
          <w:numId w:val="2"/>
        </w:numPr>
        <w:spacing w:after="40" w:before="40"/>
      </w:pPr>
      <w:r>
        <w:rPr>
          <w:rFonts w:ascii="Arial" w:cs="Arial" w:eastAsia="Arial" w:hAnsi="Arial"/>
          <w:b w:val="false"/>
          <w:bCs w:val="false"/>
          <w:sz w:val="19"/>
          <w:szCs w:val="19"/>
        </w:rPr>
        <w:t xml:space="preserve">Logs Analytic non anonymisés au-delà de 13 mois — obligation CNIL</w:t>
      </w:r>
    </w:p>
    <w:p>
      <w:pPr>
        <w:pBdr>
          <w:bottom w:val="single" w:color="2E75B6" w:sz="6" w:space="4"/>
        </w:pBdr>
        <w:spacing w:after="80" w:before="280"/>
      </w:pPr>
    </w:p>
    <w:p>
      <w:pPr>
        <w:pStyle w:val="Heading1"/>
        <w:spacing w:after="100" w:before="360"/>
      </w:pPr>
      <w:r>
        <w:rPr>
          <w:rFonts w:ascii="Arial" w:cs="Arial" w:eastAsia="Arial" w:hAnsi="Arial"/>
          <w:b/>
          <w:bCs/>
          <w:color w:val="1F3864"/>
          <w:sz w:val="36"/>
          <w:szCs w:val="36"/>
        </w:rPr>
        <w:t xml:space="preserve">Valorisation</w:t>
      </w:r>
    </w:p>
    <w:p>
      <w:pPr>
        <w:spacing w:after="80" w:before="240"/>
      </w:pPr>
      <w:r>
        <w:rPr>
          <w:rFonts w:ascii="Arial" w:cs="Arial" w:eastAsia="Arial" w:hAnsi="Arial"/>
          <w:b/>
          <w:bCs/>
          <w:color w:val="1F3864"/>
          <w:sz w:val="24"/>
          <w:szCs w:val="24"/>
        </w:rPr>
        <w:t xml:space="preserve">Analyse de scénarios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600"/>
        <w:gridCol w:w="1600"/>
        <w:gridCol w:w="1200"/>
        <w:gridCol w:w="2526"/>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Scénario</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Prob.</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ARR cible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Multiple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Valeur</w:t>
            </w:r>
          </w:p>
        </w:tc>
        <w:tc>
          <w:tcPr>
            <w:tcW w:type="dxa" w:w="252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Hypothèses clés</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18"/>
                <w:szCs w:val="18"/>
              </w:rPr>
              <w:t xml:space="preserve">Bull</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25%</w:t>
            </w:r>
          </w:p>
        </w:tc>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5 000 abonnés × €4,90 × 12 = €294k</w:t>
            </w:r>
          </w:p>
        </w:tc>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5× ARR</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18"/>
                <w:szCs w:val="18"/>
              </w:rPr>
              <w:t xml:space="preserve">€1,47M</w:t>
            </w:r>
          </w:p>
        </w:tc>
        <w:tc>
          <w:tcPr>
            <w:tcW w:type="dxa" w:w="2526"/>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Différenciateurs livrés, CIF dégagé, boucle ex post active, adoption rapide</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color w:val="2E75B6"/>
                <w:sz w:val="18"/>
                <w:szCs w:val="18"/>
              </w:rPr>
              <w:t xml:space="preserve">Base</w:t>
            </w:r>
          </w:p>
        </w:tc>
        <w:tc>
          <w:tcPr>
            <w:tcW w:type="dxa" w:w="9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sz w:val="18"/>
                <w:szCs w:val="18"/>
              </w:rPr>
              <w:t xml:space="preserve">50%</w:t>
            </w:r>
          </w:p>
        </w:tc>
        <w:tc>
          <w:tcPr>
            <w:tcW w:type="dxa" w:w="1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sz w:val="18"/>
                <w:szCs w:val="18"/>
              </w:rPr>
              <w:t xml:space="preserve">1 000 abonnés × €4,90 × 12 = €58,8k</w:t>
            </w:r>
          </w:p>
        </w:tc>
        <w:tc>
          <w:tcPr>
            <w:tcW w:type="dxa" w:w="1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sz w:val="18"/>
                <w:szCs w:val="18"/>
              </w:rPr>
              <w:t xml:space="preserve">3× ARR</w:t>
            </w:r>
          </w:p>
        </w:tc>
        <w:tc>
          <w:tcPr>
            <w:tcW w:type="dxa" w:w="12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color w:val="2E75B6"/>
                <w:sz w:val="18"/>
                <w:szCs w:val="18"/>
              </w:rPr>
              <w:t xml:space="preserve">€176k</w:t>
            </w:r>
          </w:p>
        </w:tc>
        <w:tc>
          <w:tcPr>
            <w:tcW w:type="dxa" w:w="2526"/>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sz w:val="18"/>
                <w:szCs w:val="18"/>
              </w:rPr>
              <w:t xml:space="preserve">C-08/C-09 livrés, CIF dégagé, croissance modérée, ex post partiel</w:t>
            </w:r>
          </w:p>
        </w:tc>
      </w:tr>
      <w:tr>
        <w:tc>
          <w:tcPr>
            <w:tcW w:type="dxa" w:w="1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bCs/>
                <w:color w:val="C00000"/>
                <w:sz w:val="18"/>
                <w:szCs w:val="18"/>
              </w:rPr>
              <w:t xml:space="preserve">Bear</w:t>
            </w:r>
          </w:p>
        </w:tc>
        <w:tc>
          <w:tcPr>
            <w:tcW w:type="dxa" w:w="9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25%</w:t>
            </w:r>
          </w:p>
        </w:tc>
        <w:tc>
          <w:tcPr>
            <w:tcW w:type="dxa" w:w="16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&lt; 200 abonnés ou pivot requis</w:t>
            </w:r>
          </w:p>
        </w:tc>
        <w:tc>
          <w:tcPr>
            <w:tcW w:type="dxa" w:w="16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1× ARR (valeur tech)</w:t>
            </w:r>
          </w:p>
        </w:tc>
        <w:tc>
          <w:tcPr>
            <w:tcW w:type="dxa" w:w="1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bCs/>
                <w:color w:val="C00000"/>
                <w:sz w:val="18"/>
                <w:szCs w:val="18"/>
              </w:rPr>
              <w:t xml:space="preserve">€30k</w:t>
            </w:r>
          </w:p>
        </w:tc>
        <w:tc>
          <w:tcPr>
            <w:tcW w:type="dxa" w:w="2526"/>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CIF requalifié → pivot, différenciateurs non livrés, adoption échoue</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Valeur attendue</w:t>
            </w:r>
          </w:p>
        </w:tc>
        <w:tc>
          <w:tcPr>
            <w:tcW w:type="dxa" w:w="9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100%</w:t>
            </w:r>
          </w:p>
        </w:tc>
        <w:tc>
          <w:tcPr>
            <w:tcW w:type="dxa" w:w="1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color w:val="1F3864"/>
                <w:sz w:val="18"/>
                <w:szCs w:val="18"/>
              </w:rPr>
              <w:t xml:space="preserve">~€460k</w:t>
            </w:r>
          </w:p>
        </w:tc>
        <w:tc>
          <w:tcPr>
            <w:tcW w:type="dxa" w:w="2526"/>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sz w:val="18"/>
                <w:szCs w:val="18"/>
              </w:rPr>
              <w:t xml:space="preserve">0,25×1,47 + 0,50×0,176 + 0,25×0,030 = €463k</w:t>
            </w:r>
          </w:p>
        </w:tc>
      </w:tr>
    </w:tbl>
    <w:p>
      <w:pPr>
        <w:spacing w:after="80" w:before="240"/>
      </w:pPr>
      <w:r>
        <w:rPr>
          <w:rFonts w:ascii="Arial" w:cs="Arial" w:eastAsia="Arial" w:hAnsi="Arial"/>
          <w:b/>
          <w:bCs/>
          <w:color w:val="1F3864"/>
          <w:sz w:val="24"/>
          <w:szCs w:val="24"/>
        </w:rPr>
        <w:t xml:space="preserve">Hypothèses scénario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Hypothèse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Valeur</w:t>
            </w:r>
          </w:p>
        </w:tc>
        <w:tc>
          <w:tcPr>
            <w:tcW w:type="dxa" w:w="322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Justification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Prix abonnement mensuel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€4,90/mois HT (décidé 2026-05-28)</w:t>
            </w:r>
          </w:p>
        </w:tc>
        <w:tc>
          <w:tcPr>
            <w:tcW w:type="dxa" w:w="3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Décidé 2026-05-28 — prix d'entrée accessible retail FR ; options freemium/annuel/essai non encore décidées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Abonnés an 2 post-lancement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1 000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Hypothèse conservatrice, ~0,03% du marché cible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Churn mensuel estimé</w:t>
            </w:r>
          </w:p>
        </w:tc>
        <w:tc>
          <w:tcPr>
            <w:tcW w:type="dxa" w:w="2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sz w:val="18"/>
                <w:szCs w:val="18"/>
              </w:rPr>
              <w:t xml:space="preserve">5–8%</w:t>
            </w:r>
          </w:p>
        </w:tc>
        <w:tc>
          <w:tcPr>
            <w:tcW w:type="dxa" w:w="3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Élevé sans ex post loop (~5%/mois) ; réduit à ~2%/mois si C-11 actif — LTV ~€98 sans / ~€245 avec ex post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Multiple ARR (SaaS niche)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3×</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Comparable outils fintech spécialisés non-institutionnels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Horizon de valorisation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18–24 mois post-lancement</w:t>
            </w:r>
          </w:p>
        </w:tc>
        <w:tc>
          <w:tcPr>
            <w:tcW w:type="dxa" w:w="3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Temps d'atteindre product-market fit validé</w:t>
            </w:r>
          </w:p>
        </w:tc>
      </w:tr>
    </w:tbl>
    <w:p>
      <w:pPr>
        <w:spacing w:after="80" w:before="240"/>
      </w:pPr>
      <w:r>
        <w:rPr>
          <w:rFonts w:ascii="Arial" w:cs="Arial" w:eastAsia="Arial" w:hAnsi="Arial"/>
          <w:b/>
          <w:bCs/>
          <w:color w:val="1F3864"/>
          <w:sz w:val="24"/>
          <w:szCs w:val="24"/>
        </w:rPr>
        <w:t xml:space="preserve">Analyse de sensibilité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6"/>
        <w:gridCol w:w="1445"/>
        <w:gridCol w:w="1445"/>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Abonnés \ Multiple ARR</w:t>
            </w:r>
          </w:p>
        </w:tc>
        <w:tc>
          <w:tcPr>
            <w:tcW w:type="dxa" w:w="1445"/>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1×</w:t>
            </w:r>
          </w:p>
        </w:tc>
        <w:tc>
          <w:tcPr>
            <w:tcW w:type="dxa" w:w="1445"/>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2×</w:t>
            </w:r>
          </w:p>
        </w:tc>
        <w:tc>
          <w:tcPr>
            <w:tcW w:type="dxa" w:w="144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3× (base)</w:t>
            </w:r>
          </w:p>
        </w:tc>
        <w:tc>
          <w:tcPr>
            <w:tcW w:type="dxa" w:w="1445"/>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4×</w:t>
            </w:r>
          </w:p>
        </w:tc>
        <w:tc>
          <w:tcPr>
            <w:tcW w:type="dxa" w:w="1445"/>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200 @ €4,90</w:t>
            </w:r>
          </w:p>
        </w:tc>
        <w:tc>
          <w:tcPr>
            <w:tcW w:type="dxa" w:w="1445"/>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€11,8k</w:t>
            </w:r>
          </w:p>
        </w:tc>
        <w:tc>
          <w:tcPr>
            <w:tcW w:type="dxa" w:w="1445"/>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€23,5k</w:t>
            </w:r>
          </w:p>
        </w:tc>
        <w:tc>
          <w:tcPr>
            <w:tcW w:type="dxa" w:w="1446"/>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€35,3k</w:t>
            </w:r>
          </w:p>
        </w:tc>
        <w:tc>
          <w:tcPr>
            <w:tcW w:type="dxa" w:w="1445"/>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sz w:val="18"/>
                <w:szCs w:val="18"/>
              </w:rPr>
              <w:t xml:space="preserve">€47k</w:t>
            </w:r>
          </w:p>
        </w:tc>
        <w:tc>
          <w:tcPr>
            <w:tcW w:type="dxa" w:w="1445"/>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sz w:val="18"/>
                <w:szCs w:val="18"/>
              </w:rPr>
              <w:t xml:space="preserve">€58,8k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500 @ €4,90</w:t>
            </w:r>
          </w:p>
        </w:tc>
        <w:tc>
          <w:tcPr>
            <w:tcW w:type="dxa" w:w="144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€29,4k</w:t>
            </w:r>
          </w:p>
        </w:tc>
        <w:tc>
          <w:tcPr>
            <w:tcW w:type="dxa" w:w="144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€58,8k</w:t>
            </w:r>
          </w:p>
        </w:tc>
        <w:tc>
          <w:tcPr>
            <w:tcW w:type="dxa" w:w="144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€88,2k</w:t>
            </w:r>
          </w:p>
        </w:tc>
        <w:tc>
          <w:tcPr>
            <w:tcW w:type="dxa" w:w="144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€118k</w:t>
            </w:r>
          </w:p>
        </w:tc>
        <w:tc>
          <w:tcPr>
            <w:tcW w:type="dxa" w:w="144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€147k</w:t>
            </w:r>
          </w:p>
        </w:tc>
      </w:tr>
      <w:tr>
        <w:tc>
          <w:tcPr>
            <w:tcW w:type="dxa" w:w="18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sz w:val="18"/>
                <w:szCs w:val="18"/>
              </w:rPr>
              <w:t xml:space="preserve">1 000 @ €4,90</w:t>
            </w:r>
          </w:p>
        </w:tc>
        <w:tc>
          <w:tcPr>
            <w:tcW w:type="dxa" w:w="1445"/>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sz w:val="18"/>
                <w:szCs w:val="18"/>
              </w:rPr>
              <w:t xml:space="preserve">€58,8k</w:t>
            </w:r>
          </w:p>
        </w:tc>
        <w:tc>
          <w:tcPr>
            <w:tcW w:type="dxa" w:w="1445"/>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sz w:val="18"/>
                <w:szCs w:val="18"/>
              </w:rPr>
              <w:t xml:space="preserve">€118k</w:t>
            </w:r>
          </w:p>
        </w:tc>
        <w:tc>
          <w:tcPr>
            <w:tcW w:type="dxa" w:w="1446"/>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color w:val="2E75B6"/>
                <w:sz w:val="18"/>
                <w:szCs w:val="18"/>
              </w:rPr>
              <w:t xml:space="preserve">€176k ✓</w:t>
            </w:r>
          </w:p>
        </w:tc>
        <w:tc>
          <w:tcPr>
            <w:tcW w:type="dxa" w:w="1445"/>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sz w:val="18"/>
                <w:szCs w:val="18"/>
              </w:rPr>
              <w:t xml:space="preserve">€235k</w:t>
            </w:r>
          </w:p>
        </w:tc>
        <w:tc>
          <w:tcPr>
            <w:tcW w:type="dxa" w:w="1445"/>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sz w:val="18"/>
                <w:szCs w:val="18"/>
              </w:rPr>
              <w:t xml:space="preserve">€294k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2 000 @ €4,90</w:t>
            </w:r>
          </w:p>
        </w:tc>
        <w:tc>
          <w:tcPr>
            <w:tcW w:type="dxa" w:w="1445"/>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€118k</w:t>
            </w:r>
          </w:p>
        </w:tc>
        <w:tc>
          <w:tcPr>
            <w:tcW w:type="dxa" w:w="1445"/>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€235k</w:t>
            </w:r>
          </w:p>
        </w:tc>
        <w:tc>
          <w:tcPr>
            <w:tcW w:type="dxa" w:w="144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€353k</w:t>
            </w:r>
          </w:p>
        </w:tc>
        <w:tc>
          <w:tcPr>
            <w:tcW w:type="dxa" w:w="1445"/>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€470k</w:t>
            </w:r>
          </w:p>
        </w:tc>
        <w:tc>
          <w:tcPr>
            <w:tcW w:type="dxa" w:w="1445"/>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€588k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5 000 @ €4,90</w:t>
            </w:r>
          </w:p>
        </w:tc>
        <w:tc>
          <w:tcPr>
            <w:tcW w:type="dxa" w:w="144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€294k</w:t>
            </w:r>
          </w:p>
        </w:tc>
        <w:tc>
          <w:tcPr>
            <w:tcW w:type="dxa" w:w="144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€588k</w:t>
            </w:r>
          </w:p>
        </w:tc>
        <w:tc>
          <w:tcPr>
            <w:tcW w:type="dxa" w:w="1446"/>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€882k</w:t>
            </w:r>
          </w:p>
        </w:tc>
        <w:tc>
          <w:tcPr>
            <w:tcW w:type="dxa" w:w="1445"/>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€1,18M</w:t>
            </w:r>
          </w:p>
        </w:tc>
        <w:tc>
          <w:tcPr>
            <w:tcW w:type="dxa" w:w="1445"/>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18"/>
                <w:szCs w:val="18"/>
              </w:rPr>
              <w:t xml:space="preserve">€1,47M ✓</w:t>
            </w:r>
          </w:p>
        </w:tc>
      </w:tr>
    </w:tbl>
    <w:p>
      <w:pPr>
        <w:pBdr>
          <w:bottom w:val="single" w:color="2E75B6" w:sz="6" w:space="4"/>
        </w:pBdr>
        <w:spacing w:after="80" w:before="280"/>
      </w:pPr>
    </w:p>
    <w:p>
      <w:pPr>
        <w:pStyle w:val="Heading1"/>
        <w:spacing w:after="100" w:before="360"/>
      </w:pPr>
      <w:r>
        <w:rPr>
          <w:rFonts w:ascii="Arial" w:cs="Arial" w:eastAsia="Arial" w:hAnsi="Arial"/>
          <w:b/>
          <w:bCs/>
          <w:color w:val="1F3864"/>
          <w:sz w:val="36"/>
          <w:szCs w:val="36"/>
        </w:rPr>
        <w:t xml:space="preserve">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4426"/>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Risque</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Prob.</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Impact</w:t>
            </w:r>
          </w:p>
        </w:tc>
        <w:tc>
          <w:tcPr>
            <w:tcW w:type="dxa" w:w="442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Action de mitigation</w:t>
            </w:r>
          </w:p>
        </w:tc>
      </w:tr>
      <w:tr>
        <w:tc>
          <w:tcPr>
            <w:tcW w:type="dxa" w:w="28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bCs/>
                <w:color w:val="C00000"/>
                <w:sz w:val="18"/>
                <w:szCs w:val="18"/>
              </w:rPr>
              <w:t xml:space="preserve">Requalification AMF en CIF</w:t>
            </w:r>
          </w:p>
        </w:tc>
        <w:tc>
          <w:tcPr>
            <w:tcW w:type="dxa" w:w="9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Moy.</w:t>
            </w:r>
          </w:p>
        </w:tc>
        <w:tc>
          <w:tcPr>
            <w:tcW w:type="dxa" w:w="9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bCs/>
                <w:color w:val="C00000"/>
                <w:sz w:val="18"/>
                <w:szCs w:val="18"/>
              </w:rPr>
              <w:t xml:space="preserve">CRIT.</w:t>
            </w:r>
          </w:p>
        </w:tc>
        <w:tc>
          <w:tcPr>
            <w:tcW w:type="dxa" w:w="4426"/>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Consulter avocat AMF/MIF 2 avant lancement — reformuler les verbes d'action si nécessaire</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sz w:val="18"/>
                <w:szCs w:val="18"/>
              </w:rPr>
              <w:t xml:space="preserve">RGPD Art. 17 : suppression de compte absente</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sz w:val="18"/>
                <w:szCs w:val="18"/>
              </w:rPr>
              <w:t xml:space="preserve">Élevée</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sz w:val="18"/>
                <w:szCs w:val="18"/>
              </w:rPr>
              <w:t xml:space="preserve">Élevé</w:t>
            </w:r>
          </w:p>
        </w:tc>
        <w:tc>
          <w:tcPr>
            <w:tcW w:type="dxa" w:w="4426"/>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sz w:val="18"/>
                <w:szCs w:val="18"/>
              </w:rPr>
              <w:t xml:space="preserve">Implémenter le flux de suppression (auto-service ou admin) avant lancement</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sz w:val="18"/>
                <w:szCs w:val="18"/>
              </w:rPr>
              <w:t xml:space="preserve">Fournisseur données non nommé</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sz w:val="18"/>
                <w:szCs w:val="18"/>
              </w:rPr>
              <w:t xml:space="preserve">Incon.</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sz w:val="18"/>
                <w:szCs w:val="18"/>
              </w:rPr>
              <w:t xml:space="preserve">Élevé</w:t>
            </w:r>
          </w:p>
        </w:tc>
        <w:tc>
          <w:tcPr>
            <w:tcW w:type="dxa" w:w="4426"/>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sz w:val="18"/>
                <w:szCs w:val="18"/>
              </w:rPr>
              <w:t xml:space="preserve">Nommer et contractualiser le fournisseur ; valider droits de redistribution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Différenciateurs non livrés avant croissance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Moy.</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Élevé</w:t>
            </w:r>
          </w:p>
        </w:tc>
        <w:tc>
          <w:tcPr>
            <w:tcW w:type="dxa" w:w="4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Séquencer P0 avant acquisition : C-08/C-09/C-11 d'abord, croissance ensuite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Logs Analytic non anonymisés &gt; 13 mois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Élevée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Moyen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Job d'anonymisation mensuel (A-10) — obligation CNIL, pas optionnel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Churn élevé sans ex post loop</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Élevée</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Moyen</w:t>
            </w:r>
          </w:p>
        </w:tc>
        <w:tc>
          <w:tcPr>
            <w:tcW w:type="dxa" w:w="4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Prioritiser C-11 pour rétention ; mesurer churn dès beta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Adoption échouée (pas de PMF)</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Incon.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Élevé</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Beta privée avant lancement public ; NPS + retention semaine 4 comme indicateurs</w:t>
            </w:r>
          </w:p>
        </w:tc>
      </w:tr>
    </w:tbl>
    <w:p>
      <w:pPr>
        <w:pBdr>
          <w:bottom w:val="single" w:color="2E75B6" w:sz="6" w:space="4"/>
        </w:pBdr>
        <w:spacing w:after="80" w:before="280"/>
      </w:pPr>
    </w:p>
    <w:p>
      <w:pPr>
        <w:pStyle w:val="Heading1"/>
        <w:spacing w:after="100" w:before="360"/>
      </w:pPr>
      <w:r>
        <w:rPr>
          <w:rFonts w:ascii="Arial" w:cs="Arial" w:eastAsia="Arial" w:hAnsi="Arial"/>
          <w:b/>
          <w:bCs/>
          <w:color w:val="1F3864"/>
          <w:sz w:val="36"/>
          <w:szCs w:val="36"/>
        </w:rPr>
        <w:t xml:space="preserve">Catalyseurs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900"/>
        <w:gridCol w:w="900"/>
        <w:gridCol w:w="2126"/>
      </w:tblGrid>
      <w:tr>
        <w:tc>
          <w:tcPr>
            <w:tcW w:type="dxa" w:w="3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Catalyseur</w:t>
            </w:r>
          </w:p>
        </w:tc>
        <w:tc>
          <w:tcPr>
            <w:tcW w:type="dxa" w:w="1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Horizon</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Impact</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Prob.</w:t>
            </w:r>
          </w:p>
        </w:tc>
        <w:tc>
          <w:tcPr>
            <w:tcW w:type="dxa" w:w="212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Commentaire</w:t>
            </w:r>
          </w:p>
        </w:tc>
      </w:tr>
      <w:tr>
        <w:tc>
          <w:tcPr>
            <w:tcW w:type="dxa" w:w="3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Consultation avocat AMF + avis favorable</w:t>
            </w:r>
          </w:p>
        </w:tc>
        <w:tc>
          <w:tcPr>
            <w:tcW w:type="dxa" w:w="17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1–3 mois</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Critique</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Élevée</w:t>
            </w:r>
          </w:p>
        </w:tc>
        <w:tc>
          <w:tcPr>
            <w:tcW w:type="dxa" w:w="2126"/>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Débloque la commercialisation</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Fournisseur données contractualisé</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1–2 mois</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Élevé</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Élevée</w:t>
            </w:r>
          </w:p>
        </w:tc>
        <w:tc>
          <w:tcPr>
            <w:tcW w:type="dxa" w:w="21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Valide la continuité de service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Livraison Plan d'Action + Confidence Breakdown (C-08/C-09)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3–6 mois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Élevé</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Moy.</w:t>
            </w:r>
          </w:p>
        </w:tc>
        <w:tc>
          <w:tcPr>
            <w:tcW w:type="dxa" w:w="2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Crée le fossé concurrentiel</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Flux RGPD complet (suppression, export, droits)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2–4 mois</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Élevé</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Élevée</w:t>
            </w:r>
          </w:p>
        </w:tc>
        <w:tc>
          <w:tcPr>
            <w:tcW w:type="dxa" w:w="21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Obligation légale avant lancement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Beta privée 50–100 utilisateurs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6–9 mois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Élevé</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Moy.</w:t>
            </w:r>
          </w:p>
        </w:tc>
        <w:tc>
          <w:tcPr>
            <w:tcW w:type="dxa" w:w="2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Valide PMF, mesure churn réel</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Boucle ex post activée (C-11) : premiers résultats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6–12 mois post-lancement</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Élevé</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Moy.</w:t>
            </w:r>
          </w:p>
        </w:tc>
        <w:tc>
          <w:tcPr>
            <w:tcW w:type="dxa" w:w="21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Rétention + confiance utilisateurs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100 premiers abonnés payants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Post-lancement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Moyen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Cond.</w:t>
            </w:r>
          </w:p>
        </w:tc>
        <w:tc>
          <w:tcPr>
            <w:tcW w:type="dxa" w:w="2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Conditionné au lancement réussi</w:t>
            </w:r>
          </w:p>
        </w:tc>
      </w:tr>
    </w:tbl>
    <w:p>
      <w:pPr>
        <w:pBdr>
          <w:bottom w:val="single" w:color="2E75B6" w:sz="6" w:space="4"/>
        </w:pBdr>
        <w:spacing w:after="80" w:before="280"/>
      </w:pPr>
    </w:p>
    <w:p>
      <w:pPr>
        <w:pStyle w:val="Heading1"/>
        <w:spacing w:after="100" w:before="360"/>
      </w:pPr>
      <w:r>
        <w:rPr>
          <w:rFonts w:ascii="Arial" w:cs="Arial" w:eastAsia="Arial" w:hAnsi="Arial"/>
          <w:b/>
          <w:bCs/>
          <w:color w:val="1F3864"/>
          <w:sz w:val="36"/>
          <w:szCs w:val="36"/>
        </w:rPr>
        <w:t xml:space="preserve">Ce qui changerait notre analyse</w:t>
      </w:r>
    </w:p>
    <w:p>
      <w:pPr>
        <w:spacing w:after="80" w:before="240"/>
      </w:pPr>
      <w:r>
        <w:rPr>
          <w:rFonts w:ascii="Arial" w:cs="Arial" w:eastAsia="Arial" w:hAnsi="Arial"/>
          <w:b/>
          <w:bCs/>
          <w:color w:val="1F3864"/>
          <w:sz w:val="24"/>
          <w:szCs w:val="24"/>
        </w:rPr>
        <w:t xml:space="preserve">Thèse bull invalidée si</w:t>
      </w:r>
    </w:p>
    <w:p>
      <w:pPr>
        <w:pStyle w:val="ListParagraph"/>
        <w:numPr>
          <w:ilvl w:val="0"/>
          <w:numId w:val="2"/>
        </w:numPr>
        <w:spacing w:after="40" w:before="40"/>
      </w:pPr>
      <w:r>
        <w:rPr>
          <w:rFonts w:ascii="Arial" w:cs="Arial" w:eastAsia="Arial" w:hAnsi="Arial"/>
          <w:b w:val="false"/>
          <w:bCs w:val="false"/>
          <w:sz w:val="19"/>
          <w:szCs w:val="19"/>
        </w:rPr>
        <w:t xml:space="preserve">L'AMF requalifie PredictFinance en CIF sans possibilité de reformulation → pivot produit profond requis</w:t>
      </w:r>
    </w:p>
    <w:p>
      <w:pPr>
        <w:pStyle w:val="ListParagraph"/>
        <w:numPr>
          <w:ilvl w:val="0"/>
          <w:numId w:val="2"/>
        </w:numPr>
        <w:spacing w:after="40" w:before="40"/>
      </w:pPr>
      <w:r>
        <w:rPr>
          <w:rFonts w:ascii="Arial" w:cs="Arial" w:eastAsia="Arial" w:hAnsi="Arial"/>
          <w:b w:val="false"/>
          <w:bCs w:val="false"/>
          <w:sz w:val="19"/>
          <w:szCs w:val="19"/>
        </w:rPr>
        <w:t xml:space="preserve">Plan d'Action et Confidence Breakdown ne sont pas livrés avant la croissance → moat absent au moment de l'acquisition</w:t>
      </w:r>
    </w:p>
    <w:p>
      <w:pPr>
        <w:pStyle w:val="ListParagraph"/>
        <w:numPr>
          <w:ilvl w:val="0"/>
          <w:numId w:val="2"/>
        </w:numPr>
        <w:spacing w:after="40" w:before="40"/>
      </w:pPr>
      <w:r>
        <w:rPr>
          <w:rFonts w:ascii="Arial" w:cs="Arial" w:eastAsia="Arial" w:hAnsi="Arial"/>
          <w:b w:val="false"/>
          <w:bCs w:val="false"/>
          <w:sz w:val="19"/>
          <w:szCs w:val="19"/>
        </w:rPr>
        <w:t xml:space="preserve">Le fournisseur de données n'est pas contractualisé → risque de continuité de service pré-lancement</w:t>
      </w:r>
    </w:p>
    <w:p>
      <w:pPr>
        <w:pStyle w:val="ListParagraph"/>
        <w:numPr>
          <w:ilvl w:val="0"/>
          <w:numId w:val="2"/>
        </w:numPr>
        <w:spacing w:after="40" w:before="40"/>
      </w:pPr>
      <w:r>
        <w:rPr>
          <w:rFonts w:ascii="Arial" w:cs="Arial" w:eastAsia="Arial" w:hAnsi="Arial"/>
          <w:b w:val="false"/>
          <w:bCs w:val="false"/>
          <w:sz w:val="19"/>
          <w:szCs w:val="19"/>
        </w:rPr>
        <w:t xml:space="preserve">Le churn beta &gt; 15%/mois → pas de product-market fit, révision du positionnement nécessaire</w:t>
      </w:r>
    </w:p>
    <w:p>
      <w:pPr>
        <w:spacing w:after="80" w:before="240"/>
      </w:pPr>
      <w:r>
        <w:rPr>
          <w:rFonts w:ascii="Arial" w:cs="Arial" w:eastAsia="Arial" w:hAnsi="Arial"/>
          <w:b/>
          <w:bCs/>
          <w:color w:val="1F3864"/>
          <w:sz w:val="24"/>
          <w:szCs w:val="24"/>
        </w:rPr>
        <w:t xml:space="preserve">Points de surveillance clés</w:t>
      </w:r>
    </w:p>
    <w:p>
      <w:pPr>
        <w:pStyle w:val="ListParagraph"/>
        <w:numPr>
          <w:ilvl w:val="0"/>
          <w:numId w:val="2"/>
        </w:numPr>
        <w:spacing w:after="40" w:before="40"/>
      </w:pPr>
      <w:r>
        <w:rPr>
          <w:rFonts w:ascii="Arial" w:cs="Arial" w:eastAsia="Arial" w:hAnsi="Arial"/>
          <w:b w:val="false"/>
          <w:bCs w:val="false"/>
          <w:sz w:val="19"/>
          <w:szCs w:val="19"/>
        </w:rPr>
        <w:t xml:space="preserve">Avis juridique AMF/MIF 2 : favorable ou défavorable ? (3 mois)</w:t>
      </w:r>
    </w:p>
    <w:p>
      <w:pPr>
        <w:pStyle w:val="ListParagraph"/>
        <w:numPr>
          <w:ilvl w:val="0"/>
          <w:numId w:val="2"/>
        </w:numPr>
        <w:spacing w:after="40" w:before="40"/>
      </w:pPr>
      <w:r>
        <w:rPr>
          <w:rFonts w:ascii="Arial" w:cs="Arial" w:eastAsia="Arial" w:hAnsi="Arial"/>
          <w:b w:val="false"/>
          <w:bCs w:val="false"/>
          <w:sz w:val="19"/>
          <w:szCs w:val="19"/>
        </w:rPr>
        <w:t xml:space="preserve">Séquençage P0 : C-08/C-09 livrés avant toute acquisition utilisateurs</w:t>
      </w:r>
    </w:p>
    <w:p>
      <w:pPr>
        <w:pStyle w:val="ListParagraph"/>
        <w:numPr>
          <w:ilvl w:val="0"/>
          <w:numId w:val="2"/>
        </w:numPr>
        <w:spacing w:after="40" w:before="40"/>
      </w:pPr>
      <w:r>
        <w:rPr>
          <w:rFonts w:ascii="Arial" w:cs="Arial" w:eastAsia="Arial" w:hAnsi="Arial"/>
          <w:b w:val="false"/>
          <w:bCs w:val="false"/>
          <w:sz w:val="19"/>
          <w:szCs w:val="19"/>
        </w:rPr>
        <w:t xml:space="preserve">Résultats beta : rétention semaine 4 &gt; 60%, NPS &gt; 30</w:t>
      </w:r>
    </w:p>
    <w:p>
      <w:pPr>
        <w:pStyle w:val="ListParagraph"/>
        <w:numPr>
          <w:ilvl w:val="0"/>
          <w:numId w:val="2"/>
        </w:numPr>
        <w:spacing w:after="40" w:before="40"/>
      </w:pPr>
      <w:r>
        <w:rPr>
          <w:rFonts w:ascii="Arial" w:cs="Arial" w:eastAsia="Arial" w:hAnsi="Arial"/>
          <w:b w:val="false"/>
          <w:bCs w:val="false"/>
          <w:sz w:val="19"/>
          <w:szCs w:val="19"/>
        </w:rPr>
        <w:t xml:space="preserve">Premier TARGET_HIT ou INVALIDATION_HIT ex post : preuve de valeur vérifiable</w:t>
      </w:r>
    </w:p>
    <w:p>
      <w:pPr>
        <w:pStyle w:val="ListParagraph"/>
        <w:numPr>
          <w:ilvl w:val="0"/>
          <w:numId w:val="2"/>
        </w:numPr>
        <w:spacing w:after="40" w:before="40"/>
      </w:pPr>
      <w:r>
        <w:rPr>
          <w:rFonts w:ascii="Arial" w:cs="Arial" w:eastAsia="Arial" w:hAnsi="Arial"/>
          <w:b w:val="false"/>
          <w:bCs w:val="false"/>
          <w:sz w:val="19"/>
          <w:szCs w:val="19"/>
        </w:rPr>
        <w:t xml:space="preserve">Définition du modèle économique : abonnement €4,90/mois HT décidé (2026-05-28) — options freemium/annuel/essai restent ouvertes</w:t>
      </w:r>
    </w:p>
    <w:p>
      <w:pPr>
        <w:pBdr>
          <w:bottom w:val="single" w:color="2E75B6" w:sz="6" w:space="4"/>
        </w:pBdr>
        <w:spacing w:after="80" w:before="280"/>
      </w:pPr>
    </w:p>
    <w:p>
      <w:pPr>
        <w:pStyle w:val="Heading1"/>
        <w:spacing w:after="100" w:before="360"/>
      </w:pPr>
      <w:r>
        <w:rPr>
          <w:rFonts w:ascii="Arial" w:cs="Arial" w:eastAsia="Arial" w:hAnsi="Arial"/>
          <w:b/>
          <w:bCs/>
          <w:color w:val="1F3864"/>
          <w:sz w:val="36"/>
          <w:szCs w:val="36"/>
        </w:rPr>
        <w:t xml:space="preserve">Sources</w:t>
      </w:r>
    </w:p>
    <w:p>
      <w:pPr>
        <w:pStyle w:val="ListParagraph"/>
        <w:numPr>
          <w:ilvl w:val="0"/>
          <w:numId w:val="2"/>
        </w:numPr>
        <w:spacing w:after="40" w:before="40"/>
      </w:pPr>
      <w:r>
        <w:rPr>
          <w:rFonts w:ascii="Arial" w:cs="Arial" w:eastAsia="Arial" w:hAnsi="Arial"/>
          <w:b w:val="false"/>
          <w:bCs w:val="false"/>
          <w:sz w:val="19"/>
          <w:szCs w:val="19"/>
        </w:rPr>
        <w:t xml:space="preserve">Documentation interne PredictFinance — Doc/v1/01_specification_produit.md (règles RM-01 à RM-29)</w:t>
      </w:r>
    </w:p>
    <w:p>
      <w:pPr>
        <w:pStyle w:val="ListParagraph"/>
        <w:numPr>
          <w:ilvl w:val="0"/>
          <w:numId w:val="2"/>
        </w:numPr>
        <w:spacing w:after="40" w:before="40"/>
      </w:pPr>
      <w:r>
        <w:rPr>
          <w:rFonts w:ascii="Arial" w:cs="Arial" w:eastAsia="Arial" w:hAnsi="Arial"/>
          <w:b w:val="false"/>
          <w:bCs w:val="false"/>
          <w:sz w:val="19"/>
          <w:szCs w:val="19"/>
        </w:rPr>
        <w:t xml:space="preserve">Documentation interne PredictFinance — Doc/v1/06_ecarts_doc_code.md (écarts, dette tech T-01 à T-05, À-CONSTRUIRE C-01 à C-13, À-ARBITRER A-01 à A-11)</w:t>
      </w:r>
    </w:p>
    <w:p>
      <w:pPr>
        <w:pStyle w:val="ListParagraph"/>
        <w:numPr>
          <w:ilvl w:val="0"/>
          <w:numId w:val="2"/>
        </w:numPr>
        <w:spacing w:after="40" w:before="40"/>
      </w:pPr>
      <w:r>
        <w:rPr>
          <w:rFonts w:ascii="Arial" w:cs="Arial" w:eastAsia="Arial" w:hAnsi="Arial"/>
          <w:b w:val="false"/>
          <w:bCs w:val="false"/>
          <w:sz w:val="19"/>
          <w:szCs w:val="19"/>
        </w:rPr>
        <w:t xml:space="preserve">Documentation interne PredictFinance — Doc/v1/08_analyse_critique_et_legal.md (analyse critique + cadre légal AMF/RGPD)</w:t>
      </w:r>
    </w:p>
    <w:p>
      <w:pPr>
        <w:pStyle w:val="ListParagraph"/>
        <w:numPr>
          <w:ilvl w:val="0"/>
          <w:numId w:val="2"/>
        </w:numPr>
        <w:spacing w:after="40" w:before="40"/>
      </w:pPr>
      <w:r>
        <w:rPr>
          <w:rFonts w:ascii="Arial" w:cs="Arial" w:eastAsia="Arial" w:hAnsi="Arial"/>
          <w:b w:val="false"/>
          <w:bCs w:val="false"/>
          <w:sz w:val="19"/>
          <w:szCs w:val="19"/>
        </w:rPr>
        <w:t xml:space="preserve">Analyse codebase FinanceBack (.NET 10) — session 2026-05-28</w:t>
      </w:r>
    </w:p>
    <w:p>
      <w:pPr>
        <w:pStyle w:val="ListParagraph"/>
        <w:numPr>
          <w:ilvl w:val="0"/>
          <w:numId w:val="2"/>
        </w:numPr>
        <w:spacing w:after="40" w:before="40"/>
      </w:pPr>
      <w:r>
        <w:rPr>
          <w:rFonts w:ascii="Arial" w:cs="Arial" w:eastAsia="Arial" w:hAnsi="Arial"/>
          <w:b w:val="false"/>
          <w:bCs w:val="false"/>
          <w:sz w:val="19"/>
          <w:szCs w:val="19"/>
        </w:rPr>
        <w:t xml:space="preserve">Directive MIF 2 (2014/65/UE), art. L541-1 Code monétaire et financier</w:t>
      </w:r>
    </w:p>
    <w:p>
      <w:pPr>
        <w:pStyle w:val="ListParagraph"/>
        <w:numPr>
          <w:ilvl w:val="0"/>
          <w:numId w:val="2"/>
        </w:numPr>
        <w:spacing w:after="40" w:before="40"/>
      </w:pPr>
      <w:r>
        <w:rPr>
          <w:rFonts w:ascii="Arial" w:cs="Arial" w:eastAsia="Arial" w:hAnsi="Arial"/>
          <w:b w:val="false"/>
          <w:bCs w:val="false"/>
          <w:sz w:val="19"/>
          <w:szCs w:val="19"/>
        </w:rPr>
        <w:t xml:space="preserve">RGPD (Règlement EU 2016/679), art. 15–21, délibérations CNIL</w:t>
      </w:r>
    </w:p>
    <w:p>
      <w:pPr>
        <w:spacing w:after="120" w:before="60"/>
      </w:pPr>
      <w:r>
        <w:rPr>
          <w:rFonts w:ascii="Arial" w:cs="Arial" w:eastAsia="Arial" w:hAnsi="Arial"/>
          <w:i/>
          <w:iCs/>
          <w:color w:val="666666"/>
          <w:sz w:val="18"/>
          <w:szCs w:val="18"/>
        </w:rPr>
        <w:t xml:space="preserve">Analyse réalisée sur la base de la documentation interne — session 2026-05-28.</w:t>
      </w:r>
    </w:p>
    <w:p>
      <w:pPr>
        <w:pBdr>
          <w:top w:val="single" w:color="CCCCCC" w:sz="2" w:space="4"/>
        </w:pBdr>
        <w:spacing w:after="60" w:before="200"/>
      </w:pPr>
      <w:hyperlink w:history="1" r:id="rIdihutgs60w-49rnubfjly2">
        <w:r>
          <w:rPr>
            <w:rStyle w:val="Hyperlink"/>
            <w:rFonts w:ascii="Arial" w:cs="Arial" w:eastAsia="Arial" w:hAnsi="Arial"/>
            <w:b/>
            <w:bCs/>
            <w:color w:val="2E75B6"/>
            <w:sz w:val="18"/>
            <w:szCs w:val="18"/>
          </w:rPr>
          <w:t xml:space="preserve">Powered by Bigdata.com</w:t>
        </w:r>
      </w:hyperlink>
      <w:r>
        <w:rPr>
          <w:rFonts w:ascii="Arial" w:cs="Arial" w:eastAsia="Arial" w:hAnsi="Arial"/>
          <w:color w:val="888888"/>
          <w:sz w:val="18"/>
          <w:szCs w:val="18"/>
        </w:rPr>
        <w:t xml:space="preserve"> — https://bigdata.com</w:t>
      </w:r>
    </w:p>
    <w:p>
      <w:pPr>
        <w:spacing w:after="80" w:before="240"/>
      </w:pPr>
      <w:r>
        <w:rPr>
          <w:rFonts w:ascii="Arial" w:cs="Arial" w:eastAsia="Arial" w:hAnsi="Arial"/>
          <w:b/>
          <w:bCs/>
          <w:color w:val="1F3864"/>
          <w:sz w:val="24"/>
          <w:szCs w:val="24"/>
        </w:rPr>
        <w:t xml:space="preserve">Disclaimer</w:t>
      </w:r>
    </w:p>
    <w:p>
      <w:pPr>
        <w:spacing w:after="60" w:before="60"/>
      </w:pPr>
      <w:r>
        <w:rPr>
          <w:rFonts w:ascii="Arial" w:cs="Arial" w:eastAsia="Arial" w:hAnsi="Arial"/>
          <w:color w:val="666666"/>
          <w:sz w:val="16"/>
          <w:szCs w:val="16"/>
        </w:rPr>
        <w:t xml:space="preserve">This output is for informational and research-assistance purposes only. It does not constitute investment, legal, tax, accounting, or other professional advice, and it is not a recommendation to buy, sell, or hold any security or instrument or to pursue any strategy. Information may be incomplete, estimated, delayed, or inaccurate. Past performance does not guarantee future results. Verify material facts independently and consult qualified advisors before making decisions.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60"/>
    </w:pPr>
    <w:r>
      <w:rPr>
        <w:rFonts w:ascii="Arial" w:cs="Arial" w:eastAsia="Arial" w:hAnsi="Arial"/>
        <w:color w:val="888888"/>
        <w:sz w:val="14"/>
        <w:szCs w:val="14"/>
      </w:rPr>
      <w:t xml:space="preserve">Powered by Bigdata.com — https://bigdata.com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60"/>
    </w:pPr>
    <w:r>
      <w:rPr>
        <w:rFonts w:ascii="Arial" w:cs="Arial" w:eastAsia="Arial" w:hAnsi="Arial"/>
        <w:b/>
        <w:bCs/>
        <w:color w:val="2E75B6"/>
        <w:sz w:val="18"/>
        <w:szCs w:val="18"/>
      </w:rPr>
      <w:t xml:space="preserve">PredictFinance — Investment Memo</w:t>
    </w:r>
    <w:r>
      <w:rPr>
        <w:rFonts w:ascii="Arial" w:cs="Arial" w:eastAsia="Arial" w:hAnsi="Arial"/>
        <w:color w:val="888888"/>
        <w:sz w:val="16"/>
        <w:szCs w:val="16"/>
      </w:rPr>
      <w:t xml:space="preserve">	28 mai 2026  |  Usage interne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360"/>
      <w:outlineLvl w:val="0"/>
    </w:pPr>
    <w:rPr>
      <w:rFonts w:ascii="Arial" w:cs="Arial" w:eastAsia="Arial" w:hAnsi="Arial"/>
      <w:b/>
      <w:bCs/>
      <w:color w:val="1F3864"/>
      <w:sz w:val="36"/>
      <w:szCs w:val="36"/>
    </w:rPr>
  </w:style>
  <w:style w:type="paragraph" w:styleId="Heading2">
    <w:name w:val="Heading 2"/>
    <w:basedOn w:val="Normal"/>
    <w:next w:val="Normal"/>
    <w:pPr>
      <w:spacing w:after="80" w:before="240"/>
      <w:outlineLvl w:val="1"/>
    </w:pPr>
    <w:rPr>
      <w:rFonts w:ascii="Arial" w:cs="Arial" w:eastAsia="Arial" w:hAnsi="Arial"/>
      <w:b/>
      <w:bCs/>
      <w:color w:val="1F3864"/>
      <w:sz w:val="24"/>
      <w:szCs w:val="24"/>
    </w:rPr>
  </w:style>
  <w:style w:type="paragraph" w:styleId="Heading3">
    <w:name w:val="Heading 3"/>
    <w:basedOn w:val="Normal"/>
    <w:next w:val="Normal"/>
    <w:pPr>
      <w:spacing w:after="60" w:before="160"/>
      <w:outlineLvl w:val="2"/>
    </w:pPr>
    <w:rPr>
      <w:rFonts w:ascii="Arial" w:cs="Arial" w:eastAsia="Arial" w:hAnsi="Arial"/>
      <w:b/>
      <w:bCs/>
      <w:color w:val="2E75B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hutgs60w-49rnubfjly2" Type="http://schemas.openxmlformats.org/officeDocument/2006/relationships/hyperlink" Target="https://bigdata.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2026-05-28T10:25:12.204Z</dcterms:created>
  <dcterms:modified xsi:type="dcterms:W3CDTF">2026-05-28T10:25:12.205Z</dcterms:modified>
</cp:coreProperties>
</file>

<file path=docProps/custom.xml><?xml version="1.0" encoding="utf-8"?>
<Properties xmlns="http://schemas.openxmlformats.org/officeDocument/2006/custom-properties" xmlns:vt="http://schemas.openxmlformats.org/officeDocument/2006/docPropsVTypes"/>
</file>