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20"/>
      </w:pPr>
      <w:r>
        <w:rPr>
          <w:rFonts w:ascii="Arial" w:cs="Arial" w:eastAsia="Arial" w:hAnsi="Arial"/>
          <w:b/>
          <w:bCs/>
          <w:color w:val="1F3864"/>
          <w:sz w:val="44"/>
          <w:szCs w:val="44"/>
        </w:rPr>
        <w:t xml:space="preserve">PredictFinance — Quick Take</w:t>
      </w:r>
    </w:p>
    <w:p>
      <w:pPr>
        <w:spacing w:after="60" w:before="0"/>
      </w:pPr>
      <w:r>
        <w:rPr>
          <w:rFonts w:ascii="Arial" w:cs="Arial" w:eastAsia="Arial" w:hAnsi="Arial"/>
          <w:i/>
          <w:iCs/>
          <w:color w:val="555555"/>
          <w:sz w:val="18"/>
          <w:szCs w:val="18"/>
        </w:rPr>
        <w:t xml:space="preserve">Fintech pédagogique | Actions françaises cotées | Pré-lancement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Vue d'ensemble : Positif conditionnel</w:t>
            </w:r>
          </w:p>
        </w:tc>
        <w:tc>
          <w:tcPr>
            <w:tcW w:type="dxa" w:w="4513"/>
            <w:tcBorders>
              <w:top w:val="single" w:color="2E75B6" w:sz="1"/>
              <w:left w:val="single" w:color="2E75B6" w:sz="1"/>
              <w:bottom w:val="single" w:color="2E75B6" w:sz="1"/>
              <w:right w:val="single" w:color="2E75B6" w:sz="1"/>
            </w:tcBorders>
            <w:shd w:fill="D9E2F3" w:val="clear"/>
            <w:tcMar>
              <w:top w:type="dxa" w:w="80"/>
              <w:left w:type="dxa" w:w="140"/>
              <w:bottom w:type="dxa" w:w="80"/>
              <w:right w:type="dxa" w:w="140"/>
            </w:tcMar>
          </w:tcPr>
          <w:p>
            <w:pPr>
              <w:jc w:val="center"/>
            </w:pPr>
            <w:r>
              <w:rPr>
                <w:rFonts w:ascii="Arial" w:cs="Arial" w:eastAsia="Arial" w:hAnsi="Arial"/>
                <w:b/>
                <w:bCs/>
                <w:color w:val="1F3864"/>
                <w:sz w:val="20"/>
                <w:szCs w:val="20"/>
              </w:rPr>
              <w:t xml:space="preserve">Conviction : Moyenne</w:t>
            </w:r>
          </w:p>
        </w:tc>
      </w:tr>
    </w:tbl>
    <w:p>
      <w:pPr>
        <w:spacing w:after="0" w:before="120"/>
      </w:pPr>
    </w:p>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En une phrase</w:t>
      </w:r>
    </w:p>
    <w:p>
      <w:pPr>
        <w:spacing w:after="120" w:before="80"/>
      </w:pPr>
      <w:r>
        <w:rPr>
          <w:rFonts w:ascii="Arial" w:cs="Arial" w:eastAsia="Arial" w:hAnsi="Arial"/>
          <w:i/>
          <w:iCs/>
          <w:color w:val="1F3864"/>
          <w:sz w:val="21"/>
          <w:szCs w:val="21"/>
        </w:rPr>
        <w:t xml:space="preserve">PredictFinance occupe un espace blanc réel sur le marché de l’éducation financière retail française, mais ses différenciateurs clés restent non construits et un risque réglementaire critique (AMF/CIF) représente un blocage existentiel avant commercialisation.</w:t>
      </w:r>
    </w:p>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Points clés</w:t>
      </w:r>
    </w:p>
    <w:p>
      <w:pPr>
        <w:spacing w:after="40" w:before="100"/>
      </w:pPr>
      <w:r>
        <w:rPr>
          <w:rFonts w:ascii="Arial" w:cs="Arial" w:eastAsia="Arial" w:hAnsi="Arial"/>
          <w:b/>
          <w:bCs/>
          <w:sz w:val="20"/>
          <w:szCs w:val="20"/>
        </w:rPr>
        <w:t xml:space="preserve">1. Niche réelle et non adressée</w:t>
      </w:r>
    </w:p>
    <w:p>
      <w:pPr>
        <w:spacing w:after="60" w:before="60"/>
      </w:pPr>
      <w:r>
        <w:rPr>
          <w:rFonts w:ascii="Arial" w:cs="Arial" w:eastAsia="Arial" w:hAnsi="Arial"/>
          <w:sz w:val="19"/>
          <w:szCs w:val="19"/>
        </w:rPr>
        <w:t xml:space="preserve">Aucun outil ne combine aujourd’hui actions françaises cotées + éligibilité PEA + analyse pédagogique déterministe dans une plateforme orientée débutants. Boursorama, TradingView et les screeners généralistes s’adressent à des investisseurs aguerris. PredictFinance cible explicitement le segment néophyte avec une proposition de valeur construite autour de l’explication, pas du signal brut.</w:t>
      </w:r>
    </w:p>
    <w:p>
      <w:pPr>
        <w:spacing w:after="40" w:before="100"/>
      </w:pPr>
      <w:r>
        <w:rPr>
          <w:rFonts w:ascii="Arial" w:cs="Arial" w:eastAsia="Arial" w:hAnsi="Arial"/>
          <w:b/>
          <w:bCs/>
          <w:color w:val="C00000"/>
          <w:sz w:val="20"/>
          <w:szCs w:val="20"/>
        </w:rPr>
        <w:t xml:space="preserve">2. Le fossé concurrentiel n’est pas encore construit</w:t>
      </w:r>
    </w:p>
    <w:p>
      <w:pPr>
        <w:spacing w:after="60" w:before="60"/>
      </w:pPr>
      <w:r>
        <w:rPr>
          <w:rFonts w:ascii="Arial" w:cs="Arial" w:eastAsia="Arial" w:hAnsi="Arial"/>
          <w:sz w:val="19"/>
          <w:szCs w:val="19"/>
        </w:rPr>
        <w:t xml:space="preserve">Les deux fonctionnalités qui distinguent PredictFinance d’un screener basique — le </w:t>
      </w:r>
      <w:r>
        <w:rPr>
          <w:rFonts w:ascii="Arial" w:cs="Arial" w:eastAsia="Arial" w:hAnsi="Arial"/>
          <w:b/>
          <w:bCs/>
          <w:sz w:val="19"/>
          <w:szCs w:val="19"/>
        </w:rPr>
        <w:t xml:space="preserve">Plan d’Action</w:t>
      </w:r>
      <w:r>
        <w:rPr>
          <w:rFonts w:ascii="Arial" w:cs="Arial" w:eastAsia="Arial" w:hAnsi="Arial"/>
          <w:sz w:val="19"/>
          <w:szCs w:val="19"/>
        </w:rPr>
        <w:t xml:space="preserve"> (C-09, reformulation déterministe en étapes actionnables) et la </w:t>
      </w:r>
      <w:r>
        <w:rPr>
          <w:rFonts w:ascii="Arial" w:cs="Arial" w:eastAsia="Arial" w:hAnsi="Arial"/>
          <w:b/>
          <w:bCs/>
          <w:sz w:val="19"/>
          <w:szCs w:val="19"/>
        </w:rPr>
        <w:t xml:space="preserve">Décomposition de la Confiance</w:t>
      </w:r>
      <w:r>
        <w:rPr>
          <w:rFonts w:ascii="Arial" w:cs="Arial" w:eastAsia="Arial" w:hAnsi="Arial"/>
          <w:sz w:val="19"/>
          <w:szCs w:val="19"/>
        </w:rPr>
        <w:t xml:space="preserve"> (C-08, critères de détection/validation/invalidation) — sont à zéro en développement. Sans elles, la valeur se réduit à « signaux techniques avec filtres France », indiscernable de l’offre gratuite de TradingView.</w:t>
      </w:r>
    </w:p>
    <w:p>
      <w:pPr>
        <w:spacing w:after="40" w:before="100"/>
      </w:pPr>
      <w:r>
        <w:rPr>
          <w:rFonts w:ascii="Arial" w:cs="Arial" w:eastAsia="Arial" w:hAnsi="Arial"/>
          <w:b/>
          <w:bCs/>
          <w:color w:val="C00000"/>
          <w:sz w:val="20"/>
          <w:szCs w:val="20"/>
        </w:rPr>
        <w:t xml:space="preserve">3. Le risque AMF/CIF est existentiel</w:t>
      </w:r>
    </w:p>
    <w:p>
      <w:pPr>
        <w:spacing w:after="60" w:before="60"/>
      </w:pPr>
      <w:r>
        <w:rPr>
          <w:rFonts w:ascii="Arial" w:cs="Arial" w:eastAsia="Arial" w:hAnsi="Arial"/>
          <w:sz w:val="19"/>
          <w:szCs w:val="19"/>
        </w:rPr>
        <w:t xml:space="preserve">La requalification en CIF (Conseiller en Investissement Financier) est de probabilité moyenne : les verbes d’action personnalisés contextualisés (</w:t>
      </w:r>
      <w:r>
        <w:rPr>
          <w:rFonts w:ascii="Arial" w:cs="Arial" w:eastAsia="Arial" w:hAnsi="Arial"/>
          <w:i/>
          <w:iCs/>
          <w:sz w:val="19"/>
          <w:szCs w:val="19"/>
        </w:rPr>
        <w:t xml:space="preserve">Acheter/Vendre</w:t>
      </w:r>
      <w:r>
        <w:rPr>
          <w:rFonts w:ascii="Arial" w:cs="Arial" w:eastAsia="Arial" w:hAnsi="Arial"/>
          <w:sz w:val="19"/>
          <w:szCs w:val="19"/>
        </w:rPr>
        <w:t xml:space="preserve"> selon que l’utilisateur détient ou non le titre) constituent des « recommandations personnalisées » au sens de MIF 2. Si ce risque se matérialise, une restructuration produit profonde est nécessaire avant tout lancement.</w:t>
      </w:r>
    </w:p>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Synthèse valorisation (adapté startup privée)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Critère</w:t>
            </w:r>
          </w:p>
        </w:tc>
        <w:tc>
          <w:tcPr>
            <w:tcW w:type="dxa" w:w="291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Situation actuelle</w:t>
            </w:r>
          </w:p>
        </w:tc>
        <w:tc>
          <w:tcPr>
            <w:tcW w:type="dxa" w:w="2913"/>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Potentiel cible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Stade</w:t>
            </w:r>
          </w:p>
        </w:tc>
        <w:tc>
          <w:tcPr>
            <w:tcW w:type="dxa" w:w="29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Pré-revenus, pré-lancement</w:t>
            </w:r>
          </w:p>
        </w:tc>
        <w:tc>
          <w:tcPr>
            <w:tcW w:type="dxa" w:w="29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Métrique cible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ARR mensuel</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€4,90/mois HT/abonné</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Seuil de viabilité</w:t>
            </w:r>
          </w:p>
        </w:tc>
        <w:tc>
          <w:tcPr>
            <w:tcW w:type="dxa" w:w="29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~1 000 abonnés payants</w:t>
            </w:r>
          </w:p>
        </w:tc>
        <w:tc>
          <w:tcPr>
            <w:tcW w:type="dxa" w:w="29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~€58,8k ARR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Multiple SaaS niche fintech</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c>
          <w:tcPr>
            <w:tcW w:type="dxa" w:w="29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2–5× ARR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Valeur indicative à maturité</w:t>
            </w:r>
          </w:p>
        </w:tc>
        <w:tc>
          <w:tcPr>
            <w:tcW w:type="dxa" w:w="29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w:t>
            </w:r>
          </w:p>
        </w:tc>
        <w:tc>
          <w:tcPr>
            <w:tcW w:type="dxa" w:w="2913"/>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€294k ARR → €588k–1,5M</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sz w:val="18"/>
                <w:szCs w:val="18"/>
              </w:rPr>
              <w:t xml:space="preserve">Condition</w:t>
            </w:r>
          </w:p>
        </w:tc>
        <w:tc>
          <w:tcPr>
            <w:tcW w:type="dxa" w:w="5826"/>
            <w:gridSpan w:val="2"/>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tcPr>
          <w:p>
            <w:r>
              <w:rPr>
                <w:rFonts w:ascii="Arial" w:cs="Arial" w:eastAsia="Arial" w:hAnsi="Arial"/>
                <w:b/>
                <w:bCs/>
                <w:color w:val="1F3864"/>
                <w:sz w:val="18"/>
                <w:szCs w:val="18"/>
              </w:rPr>
              <w:t xml:space="preserve">Différenciateurs construits + légal validé</w:t>
            </w:r>
          </w:p>
        </w:tc>
      </w:tr>
    </w:tbl>
    <w:p>
      <w:pPr>
        <w:spacing w:after="80" w:before="60"/>
      </w:pPr>
      <w:r>
        <w:rPr>
          <w:rFonts w:ascii="Arial" w:cs="Arial" w:eastAsia="Arial" w:hAnsi="Arial"/>
          <w:i/>
          <w:iCs/>
          <w:color w:val="555555"/>
          <w:sz w:val="18"/>
          <w:szCs w:val="18"/>
        </w:rPr>
        <w:t xml:space="preserve">Note : PredictFinance est une société privée. Ces estimations sont des ordres de grandeur comparatifs, non des valorisations formelles.</w:t>
      </w:r>
    </w:p>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Risque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
              <w:left w:val="single" w:color="C00000" w:sz="1"/>
              <w:bottom w:val="single" w:color="C00000" w:sz="1"/>
              <w:right w:val="single" w:color="C00000" w:sz="1"/>
            </w:tcBorders>
            <w:shd w:fill="FFE0E0" w:val="clear"/>
            <w:tcMar>
              <w:top w:type="dxa" w:w="80"/>
              <w:left w:type="dxa" w:w="140"/>
              <w:bottom w:type="dxa" w:w="80"/>
              <w:right w:type="dxa" w:w="140"/>
            </w:tcMar>
          </w:tcPr>
          <w:p>
            <w:pPr>
              <w:spacing w:after="40" w:before="40"/>
            </w:pPr>
            <w:r>
              <w:rPr>
                <w:rFonts w:ascii="Arial" w:cs="Arial" w:eastAsia="Arial" w:hAnsi="Arial"/>
                <w:b/>
                <w:bCs/>
                <w:color w:val="C00000"/>
                <w:sz w:val="19"/>
                <w:szCs w:val="19"/>
              </w:rPr>
              <w:t xml:space="preserve">Requalification AMF en CIF : </w:t>
            </w:r>
            <w:r>
              <w:rPr>
                <w:rFonts w:ascii="Arial" w:cs="Arial" w:eastAsia="Arial" w:hAnsi="Arial"/>
                <w:sz w:val="19"/>
                <w:szCs w:val="19"/>
              </w:rPr>
              <w:t xml:space="preserve">si l’AMF considère que les recommandations contextualisées (Acheter/Vendre tenant compte des positions déclarées) constituent un « conseil en investissement personnalisé à titre habituel » au sens de l’art. L541-1 CMF et de la directive MIF 2, le produit ne peut être commercialisé sans agrément. Probabilité estimée : </w:t>
            </w:r>
            <w:r>
              <w:rPr>
                <w:rFonts w:ascii="Arial" w:cs="Arial" w:eastAsia="Arial" w:hAnsi="Arial"/>
                <w:b/>
                <w:bCs/>
                <w:color w:val="C00000"/>
                <w:sz w:val="19"/>
                <w:szCs w:val="19"/>
              </w:rPr>
              <w:t xml:space="preserve">moyenne (40–60%)</w:t>
            </w:r>
            <w:r>
              <w:rPr>
                <w:rFonts w:ascii="Arial" w:cs="Arial" w:eastAsia="Arial" w:hAnsi="Arial"/>
                <w:sz w:val="19"/>
                <w:szCs w:val="19"/>
              </w:rPr>
              <w:t xml:space="preserve">. Impact : existentiel (pivot produit ou agrément requis).</w:t>
            </w:r>
          </w:p>
          <w:p>
            <w:pPr>
              <w:spacing w:after="40" w:before="40"/>
            </w:pPr>
            <w:r>
              <w:rPr>
                <w:rFonts w:ascii="Arial" w:cs="Arial" w:eastAsia="Arial" w:hAnsi="Arial"/>
                <w:b/>
                <w:bCs/>
                <w:sz w:val="19"/>
                <w:szCs w:val="19"/>
              </w:rPr>
              <w:t xml:space="preserve">Risque secondaire : </w:t>
            </w:r>
            <w:r>
              <w:rPr>
                <w:rFonts w:ascii="Arial" w:cs="Arial" w:eastAsia="Arial" w:hAnsi="Arial"/>
                <w:sz w:val="19"/>
                <w:szCs w:val="19"/>
              </w:rPr>
              <w:t xml:space="preserve">fournisseur de données non nommé → droits de redistribution non validés → continuité de service non garantie.</w:t>
            </w:r>
          </w:p>
        </w:tc>
      </w:tr>
    </w:tbl>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Catalyseurs (6–18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926"/>
        <w:gridCol w:w="1900"/>
      </w:tblGrid>
      <w:tr>
        <w:tc>
          <w:tcPr>
            <w:tcW w:type="dxa" w:w="4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Catalyseur</w:t>
            </w:r>
          </w:p>
        </w:tc>
        <w:tc>
          <w:tcPr>
            <w:tcW w:type="dxa" w:w="29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Impact</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Horizon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Livraison Plan d'Action + Décomposition Confiance (C-08/C-09)</w:t>
            </w:r>
          </w:p>
        </w:tc>
        <w:tc>
          <w:tcPr>
            <w:tcW w:type="dxa" w:w="2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Rend le produit défendable face aux screeners</w:t>
            </w:r>
          </w:p>
        </w:tc>
        <w:tc>
          <w:tcPr>
            <w:tcW w:type="dxa" w:w="1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3–6 mois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Consultation avocat AMF/MIF 2 + avis favorable</w:t>
            </w:r>
          </w:p>
        </w:tc>
        <w:tc>
          <w:tcPr>
            <w:tcW w:type="dxa" w:w="29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Lève le blocage réglementaire existentiel</w:t>
            </w:r>
          </w:p>
        </w:tc>
        <w:tc>
          <w:tcPr>
            <w:tcW w:type="dxa" w:w="1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1–3 mois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Nommer et contractualiser le fournisseur de données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Valide la continuité de service</w:t>
            </w:r>
          </w:p>
        </w:tc>
        <w:tc>
          <w:tcPr>
            <w:tcW w:type="dxa" w:w="1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sz w:val="18"/>
                <w:szCs w:val="18"/>
              </w:rPr>
              <w:t xml:space="preserve">1–2 mois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Boucle ex post activée (C-11) : premiers TARGET_HIT / INVALIDATION_HIT</w:t>
            </w:r>
          </w:p>
        </w:tc>
        <w:tc>
          <w:tcPr>
            <w:tcW w:type="dxa" w:w="29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Crée la preuve d'utilité → rétention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6–12 mois post-lancement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100 premiers utilisateurs payants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Valide l'adéquation produit-marché</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Post-lancement</w:t>
            </w:r>
          </w:p>
        </w:tc>
      </w:tr>
    </w:tbl>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Vérification qualité rapide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Critère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Évaluation</w:t>
            </w:r>
          </w:p>
        </w:tc>
        <w:tc>
          <w:tcPr>
            <w:tcW w:type="dxa" w:w="402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Maturité moteur d'analyse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Élevée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4 patterns, orchestration solide, snapshots versionnés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Maturité auth/sécurité</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Élevée</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JWT, BCrypt, rate limiting, lockout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Maturité admin/gouvernance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Élevée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8 surfaces, plus avancé que la doc</w:t>
            </w:r>
          </w:p>
        </w:tc>
      </w:tr>
      <w:tr>
        <w:tc>
          <w:tcPr>
            <w:tcW w:type="dxa" w:w="3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Différenciateurs pédagogiques</w:t>
            </w:r>
          </w:p>
        </w:tc>
        <w:tc>
          <w:tcPr>
            <w:tcW w:type="dxa" w:w="1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Faible</w:t>
            </w:r>
          </w:p>
        </w:tc>
        <w:tc>
          <w:tcPr>
            <w:tcW w:type="dxa" w:w="40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Plan d'Action + Confidence Breakdown = zéro</w:t>
            </w:r>
          </w:p>
        </w:tc>
      </w:tr>
      <w:tr>
        <w:tc>
          <w:tcPr>
            <w:tcW w:type="dxa" w:w="3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Boucle ex post / rétention</w:t>
            </w:r>
          </w:p>
        </w:tc>
        <w:tc>
          <w:tcPr>
            <w:tcW w:type="dxa" w:w="1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Nulle</w:t>
            </w:r>
          </w:p>
        </w:tc>
        <w:tc>
          <w:tcPr>
            <w:tcW w:type="dxa" w:w="40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Infrastructure présente ; surface = non construite</w:t>
            </w:r>
          </w:p>
        </w:tc>
      </w:tr>
      <w:tr>
        <w:tc>
          <w:tcPr>
            <w:tcW w:type="dxa" w:w="3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Cadre légal</w:t>
            </w:r>
          </w:p>
        </w:tc>
        <w:tc>
          <w:tcPr>
            <w:tcW w:type="dxa" w:w="18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8"/>
                <w:szCs w:val="18"/>
              </w:rPr>
              <w:t xml:space="preserve">Critique</w:t>
            </w:r>
          </w:p>
        </w:tc>
        <w:tc>
          <w:tcPr>
            <w:tcW w:type="dxa" w:w="402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CIF non tranché, RGPD Art. 17 absent, docs légaux inexistants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Fournisseur de données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Inconnu</w:t>
            </w:r>
          </w:p>
        </w:tc>
        <w:tc>
          <w:tcPr>
            <w:tcW w:type="dxa" w:w="40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Non nommé, droits non validés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Architecture technique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vAlign w:val="center"/>
          </w:tcPr>
          <w:p>
            <w:pPr>
              <w:jc w:val="left"/>
            </w:pPr>
            <w:r>
              <w:rPr>
                <w:rFonts w:ascii="Arial" w:cs="Arial" w:eastAsia="Arial" w:hAnsi="Arial"/>
                <w:b/>
                <w:bCs/>
                <w:color w:val="375623"/>
                <w:sz w:val="18"/>
                <w:szCs w:val="18"/>
              </w:rPr>
              <w:t xml:space="preserve">Solide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.NET 10, clean layering, extensible</w:t>
            </w:r>
          </w:p>
        </w:tc>
      </w:tr>
    </w:tbl>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Analyse EPIC — 3 facteurs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7"/>
        <w:gridCol w:w="1657"/>
        <w:gridCol w:w="1656"/>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Facteur</w:t>
            </w:r>
          </w:p>
        </w:tc>
        <w:tc>
          <w:tcPr>
            <w:tcW w:type="dxa" w:w="165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Effet matériel</w:t>
            </w:r>
          </w:p>
        </w:tc>
        <w:tc>
          <w:tcPr>
            <w:tcW w:type="dxa" w:w="1657"/>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Prévisible</w:t>
            </w:r>
          </w:p>
        </w:tc>
        <w:tc>
          <w:tcPr>
            <w:tcW w:type="dxa" w:w="1657"/>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Indépendant</w:t>
            </w:r>
          </w:p>
        </w:tc>
        <w:tc>
          <w:tcPr>
            <w:tcW w:type="dxa" w:w="1656"/>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Écart consensus</w:t>
            </w:r>
          </w:p>
        </w:tc>
      </w:tr>
      <w:tr>
        <w:tc>
          <w:tcPr>
            <w:tcW w:type="dxa" w:w="24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Différenciateurs non construits</w:t>
            </w:r>
          </w:p>
        </w:tc>
        <w:tc>
          <w:tcPr>
            <w:tcW w:type="dxa" w:w="165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 Définissent le moat</w:t>
            </w:r>
          </w:p>
        </w:tc>
        <w:tc>
          <w:tcPr>
            <w:tcW w:type="dxa" w:w="1657"/>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 Documenté (C-08/C-09)</w:t>
            </w:r>
          </w:p>
        </w:tc>
        <w:tc>
          <w:tcPr>
            <w:tcW w:type="dxa" w:w="1657"/>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 Builders sous-estiment pédagogie vs. signal</w:t>
            </w:r>
          </w:p>
        </w:tc>
        <w:tc>
          <w:tcPr>
            <w:tcW w:type="dxa" w:w="1656"/>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left"/>
            </w:pPr>
            <w:r>
              <w:rPr>
                <w:rFonts w:ascii="Arial" w:cs="Arial" w:eastAsia="Arial" w:hAnsi="Arial"/>
                <w:sz w:val="18"/>
                <w:szCs w:val="18"/>
              </w:rPr>
              <w:t xml:space="preserve">✓ Décision de séquençage critique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Risque AMF/CIF</w:t>
            </w:r>
          </w:p>
        </w:tc>
        <w:tc>
          <w:tcPr>
            <w:tcW w:type="dxa" w:w="165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Existentiel</w:t>
            </w:r>
          </w:p>
        </w:tc>
        <w:tc>
          <w:tcPr>
            <w:tcW w:type="dxa" w:w="165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Analyse légale complète</w:t>
            </w:r>
          </w:p>
        </w:tc>
        <w:tc>
          <w:tcPr>
            <w:tcW w:type="dxa" w:w="165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Fondateurs FR sous-estiment AMF</w:t>
            </w:r>
          </w:p>
        </w:tc>
        <w:tc>
          <w:tcPr>
            <w:tcW w:type="dxa" w:w="165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sz w:val="18"/>
                <w:szCs w:val="18"/>
              </w:rPr>
              <w:t xml:space="preserve">✓ Consultation préalable obligatoire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Boucle ex post absente (C-11)</w:t>
            </w:r>
          </w:p>
        </w:tc>
        <w:tc>
          <w:tcPr>
            <w:tcW w:type="dxa" w:w="16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Mécanisme rétention #1</w:t>
            </w:r>
          </w:p>
        </w:tc>
        <w:tc>
          <w:tcPr>
            <w:tcW w:type="dxa" w:w="16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Infrastructure présente</w:t>
            </w:r>
          </w:p>
        </w:tc>
        <w:tc>
          <w:tcPr>
            <w:tcW w:type="dxa" w:w="16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Déprioritisé vs. qualité output</w:t>
            </w:r>
          </w:p>
        </w:tc>
        <w:tc>
          <w:tcPr>
            <w:tcW w:type="dxa" w:w="16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18"/>
                <w:szCs w:val="18"/>
              </w:rPr>
              <w:t xml:space="preserve">✓ Activer avant la croissance</w:t>
            </w:r>
          </w:p>
        </w:tc>
      </w:tr>
    </w:tbl>
    <w:p>
      <w:pPr>
        <w:pBdr>
          <w:bottom w:val="single" w:color="2E75B6" w:sz="6" w:space="4"/>
        </w:pBdr>
        <w:spacing w:after="60" w:before="240"/>
      </w:pPr>
    </w:p>
    <w:p>
      <w:pPr>
        <w:spacing w:after="80" w:before="280"/>
      </w:pPr>
      <w:r>
        <w:rPr>
          <w:rFonts w:ascii="Arial" w:cs="Arial" w:eastAsia="Arial" w:hAnsi="Arial"/>
          <w:b/>
          <w:bCs/>
          <w:color w:val="1F3864"/>
          <w:sz w:val="24"/>
          <w:szCs w:val="24"/>
        </w:rPr>
        <w:t xml:space="preserve">Conclusion</w:t>
      </w:r>
    </w:p>
    <w:p>
      <w:pPr>
        <w:spacing w:after="60" w:before="60"/>
      </w:pPr>
      <w:r>
        <w:rPr>
          <w:rFonts w:ascii="Arial" w:cs="Arial" w:eastAsia="Arial" w:hAnsi="Arial"/>
          <w:sz w:val="19"/>
          <w:szCs w:val="19"/>
        </w:rPr>
        <w:t xml:space="preserve">PredictFinance dispose d’une fondation technique remarquablement solide pour un projet solo/petite équipe et adresse une niche réellement non couverte. Le chemin vers un produit défendable requiert trois portes séquentielles : </w:t>
      </w:r>
      <w:r>
        <w:rPr>
          <w:rFonts w:ascii="Arial" w:cs="Arial" w:eastAsia="Arial" w:hAnsi="Arial"/>
          <w:b/>
          <w:bCs/>
          <w:sz w:val="19"/>
          <w:szCs w:val="19"/>
        </w:rPr>
        <w:t xml:space="preserve">(1) construire Plan d’Action + boucle ex post</w:t>
      </w:r>
      <w:r>
        <w:rPr>
          <w:rFonts w:ascii="Arial" w:cs="Arial" w:eastAsia="Arial" w:hAnsi="Arial"/>
          <w:sz w:val="19"/>
          <w:szCs w:val="19"/>
        </w:rPr>
        <w:t xml:space="preserve">, </w:t>
      </w:r>
      <w:r>
        <w:rPr>
          <w:rFonts w:ascii="Arial" w:cs="Arial" w:eastAsia="Arial" w:hAnsi="Arial"/>
          <w:b/>
          <w:bCs/>
          <w:sz w:val="19"/>
          <w:szCs w:val="19"/>
        </w:rPr>
        <w:t xml:space="preserve">(2) trancher le risque AMF par consultation juridique</w:t>
      </w:r>
      <w:r>
        <w:rPr>
          <w:rFonts w:ascii="Arial" w:cs="Arial" w:eastAsia="Arial" w:hAnsi="Arial"/>
          <w:sz w:val="19"/>
          <w:szCs w:val="19"/>
        </w:rPr>
        <w:t xml:space="preserve">, </w:t>
      </w:r>
      <w:r>
        <w:rPr>
          <w:rFonts w:ascii="Arial" w:cs="Arial" w:eastAsia="Arial" w:hAnsi="Arial"/>
          <w:b/>
          <w:bCs/>
          <w:sz w:val="19"/>
          <w:szCs w:val="19"/>
        </w:rPr>
        <w:t xml:space="preserve">(3) nommer et contractualiser le fournisseur de données</w:t>
      </w:r>
      <w:r>
        <w:rPr>
          <w:rFonts w:ascii="Arial" w:cs="Arial" w:eastAsia="Arial" w:hAnsi="Arial"/>
          <w:sz w:val="19"/>
          <w:szCs w:val="19"/>
        </w:rPr>
        <w:t xml:space="preserve">. Sans ces trois portes franchies, le produit n’est pas prêt pour un lancement commercial.</w:t>
      </w:r>
    </w:p>
    <w:p>
      <w:pPr>
        <w:spacing w:after="80" w:before="100"/>
      </w:pPr>
      <w:r>
        <w:rPr>
          <w:rFonts w:ascii="Arial" w:cs="Arial" w:eastAsia="Arial" w:hAnsi="Arial"/>
          <w:b/>
          <w:bCs/>
          <w:sz w:val="19"/>
          <w:szCs w:val="19"/>
        </w:rPr>
        <w:t xml:space="preserve">Vue : </w:t>
      </w:r>
      <w:r>
        <w:rPr>
          <w:rFonts w:ascii="Arial" w:cs="Arial" w:eastAsia="Arial" w:hAnsi="Arial"/>
          <w:color w:val="2E75B6"/>
          <w:sz w:val="19"/>
          <w:szCs w:val="19"/>
        </w:rPr>
        <w:t xml:space="preserve">Positif conditionnel — forte thèse si l’exécution livre les différenciateurs et lève le risque réglementaire.</w:t>
      </w:r>
    </w:p>
    <w:p>
      <w:pPr>
        <w:pBdr>
          <w:top w:val="single" w:color="DDDDDD" w:sz="2" w:space="4"/>
        </w:pBdr>
        <w:spacing w:after="60" w:before="200"/>
      </w:pPr>
      <w:r>
        <w:rPr>
          <w:rFonts w:ascii="Arial" w:cs="Arial" w:eastAsia="Arial" w:hAnsi="Arial"/>
          <w:i/>
          <w:iCs/>
          <w:color w:val="555555"/>
          <w:sz w:val="18"/>
          <w:szCs w:val="18"/>
        </w:rPr>
        <w:t xml:space="preserve">Analyse réalisée sur la base de la documentation interne PredictFinance (Doc/v1/, 9 fichiers canoniques, session 2026-05-28).</w:t>
      </w:r>
    </w:p>
    <w:p>
      <w:pPr>
        <w:spacing w:after="60" w:before="160"/>
      </w:pPr>
      <w:hyperlink w:history="1" r:id="rIdeabykbyg7o3llguqtji1p">
        <w:r>
          <w:rPr>
            <w:rStyle w:val="Hyperlink"/>
            <w:rFonts w:ascii="Arial" w:cs="Arial" w:eastAsia="Arial" w:hAnsi="Arial"/>
            <w:b/>
            <w:bCs/>
            <w:color w:val="2E75B6"/>
            <w:sz w:val="18"/>
            <w:szCs w:val="18"/>
          </w:rPr>
          <w:t xml:space="preserve">Powered by Bigdata.com</w:t>
        </w:r>
      </w:hyperlink>
      <w:r>
        <w:rPr>
          <w:rFonts w:ascii="Arial" w:cs="Arial" w:eastAsia="Arial" w:hAnsi="Arial"/>
          <w:color w:val="888888"/>
          <w:sz w:val="18"/>
          <w:szCs w:val="18"/>
        </w:rPr>
        <w:t xml:space="preserve"> — https://bigdata.com</w:t>
      </w:r>
    </w:p>
    <w:p>
      <w:pPr>
        <w:pStyle w:val="Heading2"/>
      </w:pPr>
      <w:r>
        <w:rPr>
          <w:rFonts w:ascii="Arial" w:cs="Arial" w:eastAsia="Arial" w:hAnsi="Arial"/>
          <w:b/>
          <w:bCs/>
          <w:color w:val="666666"/>
          <w:sz w:val="20"/>
          <w:szCs w:val="20"/>
        </w:rPr>
        <w:t xml:space="preserve">Disclaimer</w:t>
      </w:r>
    </w:p>
    <w:p>
      <w:pPr>
        <w:spacing w:after="40" w:before="40"/>
      </w:pPr>
      <w:r>
        <w:rPr>
          <w:rFonts w:ascii="Arial" w:cs="Arial" w:eastAsia="Arial" w:hAnsi="Arial"/>
          <w:color w:val="666666"/>
          <w:sz w:val="16"/>
          <w:szCs w:val="16"/>
        </w:rPr>
        <w:t xml:space="preserve">This output is for informational and research-assistance purposes only. It does not constitute investment, legal, tax, accounting, or other professional advice, and it is not a recommendation to buy, sell, or hold any security or instrument or to pursue any strategy. Information may be incomplete, estimated, delayed, or inaccurate. Past performance does not guarantee future results. Verify material facts independently and consult qualified advisors before making decisions.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60"/>
    </w:pPr>
    <w:r>
      <w:rPr>
        <w:rFonts w:ascii="Arial" w:cs="Arial" w:eastAsia="Arial" w:hAnsi="Arial"/>
        <w:color w:val="888888"/>
        <w:sz w:val="14"/>
        <w:szCs w:val="14"/>
      </w:rPr>
      <w:t xml:space="preserve">Powered by Bigdata.com — https://bigdata.com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60"/>
    </w:pPr>
    <w:r>
      <w:rPr>
        <w:rFonts w:ascii="Arial" w:cs="Arial" w:eastAsia="Arial" w:hAnsi="Arial"/>
        <w:b/>
        <w:bCs/>
        <w:color w:val="2E75B6"/>
        <w:sz w:val="18"/>
        <w:szCs w:val="18"/>
      </w:rPr>
      <w:t xml:space="preserve">PredictFinance — Quick Take</w:t>
    </w:r>
    <w:r>
      <w:rPr>
        <w:rFonts w:ascii="Arial" w:cs="Arial" w:eastAsia="Arial" w:hAnsi="Arial"/>
        <w:color w:val="888888"/>
        <w:sz w:val="16"/>
        <w:szCs w:val="16"/>
      </w:rPr>
      <w:t xml:space="preserve">	28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F3864"/>
      <w:sz w:val="40"/>
      <w:szCs w:val="40"/>
    </w:rPr>
  </w:style>
  <w:style w:type="paragraph" w:styleId="Heading2">
    <w:name w:val="Heading 2"/>
    <w:basedOn w:val="Normal"/>
    <w:next w:val="Normal"/>
    <w:pPr>
      <w:spacing w:after="80" w:before="280"/>
      <w:outlineLvl w:val="1"/>
    </w:pPr>
    <w:rPr>
      <w:rFonts w:ascii="Arial" w:cs="Arial" w:eastAsia="Arial" w:hAnsi="Arial"/>
      <w:b/>
      <w:bCs/>
      <w:color w:val="1F3864"/>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eabykbyg7o3llguqtji1p" Type="http://schemas.openxmlformats.org/officeDocument/2006/relationships/hyperlink" Target="https://bigdata.com" TargetMode="External"/>
  <Relationship Id="rId10"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2026-05-28T10:19:54.077Z</dcterms:created>
  <dcterms:modified xsi:type="dcterms:W3CDTF">2026-05-28T10:19:54.079Z</dcterms:modified>
</cp:coreProperties>
</file>

<file path=docProps/custom.xml><?xml version="1.0" encoding="utf-8"?>
<Properties xmlns="http://schemas.openxmlformats.org/officeDocument/2006/custom-properties" xmlns:vt="http://schemas.openxmlformats.org/officeDocument/2006/docPropsVTypes"/>
</file>