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caps/>
          <w:color w:val="888888"/>
          <w:sz w:val="18"/>
          <w:szCs w:val="18"/>
        </w:rPr>
        <w:t xml:space="preserve">ANALYSE DE RISQUES</w:t>
      </w:r>
    </w:p>
    <w:p>
      <w:pPr>
        <w:spacing w:after="60" w:before="0"/>
      </w:pPr>
      <w:r>
        <w:rPr>
          <w:rFonts w:ascii="Arial" w:cs="Arial" w:eastAsia="Arial" w:hAnsi="Arial"/>
          <w:b/>
          <w:bCs/>
          <w:color w:val="1F3864"/>
          <w:sz w:val="52"/>
          <w:szCs w:val="52"/>
        </w:rPr>
        <w:t xml:space="preserve">PredictFinance</w:t>
      </w:r>
    </w:p>
    <w:p>
      <w:pPr>
        <w:spacing w:after="200" w:before="0"/>
      </w:pPr>
      <w:r>
        <w:rPr>
          <w:rFonts w:ascii="Arial" w:cs="Arial" w:eastAsia="Arial" w:hAnsi="Arial"/>
          <w:i/>
          <w:iCs/>
          <w:color w:val="666666"/>
          <w:sz w:val="17"/>
          <w:szCs w:val="17"/>
        </w:rPr>
        <w:t xml:space="preserve">Fintech pédagogique | Actions françaises | Pré-lancement | Startup privée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00000" w:sz="1"/>
              <w:left w:val="single" w:color="C00000" w:sz="1"/>
              <w:bottom w:val="single" w:color="C00000" w:sz="1"/>
              <w:right w:val="single" w:color="C00000" w:sz="1"/>
            </w:tcBorders>
            <w:shd w:fill="FFE0E0" w:val="clear"/>
            <w:tcMar>
              <w:top w:type="dxa" w:w="80"/>
              <w:left w:type="dxa" w:w="130"/>
              <w:bottom w:type="dxa" w:w="80"/>
              <w:right w:type="dxa" w:w="130"/>
            </w:tcMar>
          </w:tcPr>
          <w:p>
            <w:pPr>
              <w:jc w:val="center"/>
            </w:pPr>
            <w:r>
              <w:rPr>
                <w:rFonts w:ascii="Arial" w:cs="Arial" w:eastAsia="Arial" w:hAnsi="Arial"/>
                <w:caps/>
                <w:color w:val="C00000"/>
                <w:sz w:val="14"/>
                <w:szCs w:val="14"/>
              </w:rPr>
              <w:t xml:space="preserve">CRITIQUES</w:t>
            </w:r>
          </w:p>
          <w:p>
            <w:pPr>
              <w:jc w:val="center"/>
            </w:pPr>
            <w:r>
              <w:rPr>
                <w:rFonts w:ascii="Arial" w:cs="Arial" w:eastAsia="Arial" w:hAnsi="Arial"/>
                <w:b/>
                <w:bCs/>
                <w:color w:val="C00000"/>
                <w:sz w:val="36"/>
                <w:szCs w:val="36"/>
              </w:rPr>
              <w:t xml:space="preserve">2</w:t>
            </w:r>
          </w:p>
        </w:tc>
        <w:tc>
          <w:tcPr>
            <w:tcW w:type="dxa" w:w="2256"/>
            <w:tcBorders>
              <w:top w:val="single" w:color="C05000" w:sz="1"/>
              <w:left w:val="single" w:color="C05000" w:sz="1"/>
              <w:bottom w:val="single" w:color="C05000" w:sz="1"/>
              <w:right w:val="single" w:color="C05000" w:sz="1"/>
            </w:tcBorders>
            <w:shd w:fill="FFD0B0" w:val="clear"/>
            <w:tcMar>
              <w:top w:type="dxa" w:w="80"/>
              <w:left w:type="dxa" w:w="130"/>
              <w:bottom w:type="dxa" w:w="80"/>
              <w:right w:type="dxa" w:w="130"/>
            </w:tcMar>
          </w:tcPr>
          <w:p>
            <w:pPr>
              <w:jc w:val="center"/>
            </w:pPr>
            <w:r>
              <w:rPr>
                <w:rFonts w:ascii="Arial" w:cs="Arial" w:eastAsia="Arial" w:hAnsi="Arial"/>
                <w:caps/>
                <w:color w:val="C05000"/>
                <w:sz w:val="14"/>
                <w:szCs w:val="14"/>
              </w:rPr>
              <w:t xml:space="preserve">ÉLEVÉS</w:t>
            </w:r>
          </w:p>
          <w:p>
            <w:pPr>
              <w:jc w:val="center"/>
            </w:pPr>
            <w:r>
              <w:rPr>
                <w:rFonts w:ascii="Arial" w:cs="Arial" w:eastAsia="Arial" w:hAnsi="Arial"/>
                <w:b/>
                <w:bCs/>
                <w:color w:val="C05000"/>
                <w:sz w:val="36"/>
                <w:szCs w:val="36"/>
              </w:rPr>
              <w:t xml:space="preserve">7</w:t>
            </w:r>
          </w:p>
        </w:tc>
        <w:tc>
          <w:tcPr>
            <w:tcW w:type="dxa" w:w="2257"/>
            <w:tcBorders>
              <w:top w:val="single" w:color="BF8F00" w:sz="1"/>
              <w:left w:val="single" w:color="BF8F00" w:sz="1"/>
              <w:bottom w:val="single" w:color="BF8F00" w:sz="1"/>
              <w:right w:val="single" w:color="BF8F00" w:sz="1"/>
            </w:tcBorders>
            <w:shd w:fill="FFF2CC" w:val="clear"/>
            <w:tcMar>
              <w:top w:type="dxa" w:w="80"/>
              <w:left w:type="dxa" w:w="130"/>
              <w:bottom w:type="dxa" w:w="80"/>
              <w:right w:type="dxa" w:w="130"/>
            </w:tcMar>
          </w:tcPr>
          <w:p>
            <w:pPr>
              <w:jc w:val="center"/>
            </w:pPr>
            <w:r>
              <w:rPr>
                <w:rFonts w:ascii="Arial" w:cs="Arial" w:eastAsia="Arial" w:hAnsi="Arial"/>
                <w:caps/>
                <w:color w:val="BF8F00"/>
                <w:sz w:val="14"/>
                <w:szCs w:val="14"/>
              </w:rPr>
              <w:t xml:space="preserve">MOYENS</w:t>
            </w:r>
          </w:p>
          <w:p>
            <w:pPr>
              <w:jc w:val="center"/>
            </w:pPr>
            <w:r>
              <w:rPr>
                <w:rFonts w:ascii="Arial" w:cs="Arial" w:eastAsia="Arial" w:hAnsi="Arial"/>
                <w:b/>
                <w:bCs/>
                <w:color w:val="BF8F00"/>
                <w:sz w:val="36"/>
                <w:szCs w:val="36"/>
              </w:rPr>
              <w:t xml:space="preserve">6</w:t>
            </w:r>
          </w:p>
        </w:tc>
        <w:tc>
          <w:tcPr>
            <w:tcW w:type="dxa" w:w="2257"/>
            <w:tcBorders>
              <w:top w:val="single" w:color="507000" w:sz="1"/>
              <w:left w:val="single" w:color="507000" w:sz="1"/>
              <w:bottom w:val="single" w:color="507000" w:sz="1"/>
              <w:right w:val="single" w:color="507000" w:sz="1"/>
            </w:tcBorders>
            <w:shd w:fill="E2EFDA" w:val="clear"/>
            <w:tcMar>
              <w:top w:type="dxa" w:w="80"/>
              <w:left w:type="dxa" w:w="130"/>
              <w:bottom w:type="dxa" w:w="80"/>
              <w:right w:type="dxa" w:w="130"/>
            </w:tcMar>
          </w:tcPr>
          <w:p>
            <w:pPr>
              <w:jc w:val="center"/>
            </w:pPr>
            <w:r>
              <w:rPr>
                <w:rFonts w:ascii="Arial" w:cs="Arial" w:eastAsia="Arial" w:hAnsi="Arial"/>
                <w:caps/>
                <w:color w:val="507000"/>
                <w:sz w:val="14"/>
                <w:szCs w:val="14"/>
              </w:rPr>
              <w:t xml:space="preserve">FAIBLES</w:t>
            </w:r>
          </w:p>
          <w:p>
            <w:pPr>
              <w:jc w:val="center"/>
            </w:pPr>
            <w:r>
              <w:rPr>
                <w:rFonts w:ascii="Arial" w:cs="Arial" w:eastAsia="Arial" w:hAnsi="Arial"/>
                <w:b/>
                <w:bCs/>
                <w:color w:val="507000"/>
                <w:sz w:val="36"/>
                <w:szCs w:val="36"/>
              </w:rPr>
              <w:t xml:space="preserve">2</w:t>
            </w:r>
          </w:p>
        </w:tc>
      </w:tr>
    </w:tbl>
    <w:p>
      <w:pPr>
        <w:spacing w:before="80"/>
      </w:pPr>
      <w:r>
        <w:rPr>
          <w:rFonts w:ascii="Arial" w:cs="Arial" w:eastAsia="Arial" w:hAnsi="Arial"/>
          <w:i/>
          <w:iCs/>
          <w:color w:val="666666"/>
          <w:sz w:val="17"/>
          <w:szCs w:val="17"/>
        </w:rPr>
        <w:t xml:space="preserve">17 risques identifiés — 2 critiques bloquants avant toute commercialisation</w:t>
      </w:r>
    </w:p>
    <w:p>
      <w:pPr>
        <w:pBdr>
          <w:bottom w:val="single" w:color="2E75B6" w:sz="6" w:space="4"/>
        </w:pBdr>
        <w:spacing w:after="80" w:before="280"/>
      </w:pPr>
    </w:p>
    <w:p>
      <w:pPr>
        <w:spacing w:after="100" w:before="320"/>
      </w:pPr>
      <w:r>
        <w:rPr>
          <w:rFonts w:ascii="Arial" w:cs="Arial" w:eastAsia="Arial" w:hAnsi="Arial"/>
          <w:b/>
          <w:bCs/>
          <w:color w:val="1F3864"/>
          <w:sz w:val="34"/>
          <w:szCs w:val="34"/>
        </w:rPr>
        <w:t xml:space="preserve">Résumé exécutif des risques</w:t>
      </w:r>
    </w:p>
    <w:p>
      <w:pPr>
        <w:spacing w:after="50" w:before="50"/>
      </w:pPr>
      <w:r>
        <w:rPr>
          <w:rFonts w:ascii="Arial" w:cs="Arial" w:eastAsia="Arial" w:hAnsi="Arial"/>
          <w:color w:val="222222"/>
          <w:sz w:val="19"/>
          <w:szCs w:val="19"/>
        </w:rPr>
        <w:t xml:space="preserve">PredictFinance présente un profil de risque élevé avant lancement, dominé par deux risques existentiels : (1) la requalification AMF en CIF, qui peut rendre le produit illégal sans agrément, et (2) le pricing était non défini (résolu le 2026-05-28 : abonnement €4,90/mois HT). Ces deux risques doivent être résolus avant d'engager des investissements significatifs dans l'acquisition. Sept risques élevés supplémentaires nécessitent une action avant le lancement public — notamment les manques RGPD, les différenciateurs non construits, et le fournisseur de données non contractualisé. La fondation technique du backend est solide ; le risque résiduel principal est de décision et d'exécution, pas de capacité technique.</w:t>
      </w:r>
    </w:p>
    <w:p>
      <w:pPr>
        <w:pBdr>
          <w:bottom w:val="single" w:color="2E75B6" w:sz="6" w:space="4"/>
        </w:pBdr>
        <w:spacing w:after="80" w:before="280"/>
      </w:pPr>
    </w:p>
    <w:p>
      <w:pPr>
        <w:spacing w:after="100" w:before="320"/>
      </w:pPr>
      <w:r>
        <w:rPr>
          <w:rFonts w:ascii="Arial" w:cs="Arial" w:eastAsia="Arial" w:hAnsi="Arial"/>
          <w:b/>
          <w:bCs/>
          <w:color w:val="1F3864"/>
          <w:sz w:val="34"/>
          <w:szCs w:val="34"/>
        </w:rPr>
        <w:t xml:space="preserve">Carte de chaleur des risques</w:t>
      </w:r>
    </w:p>
    <w:p>
      <w:pPr>
        <w:spacing w:after="80" w:before="60"/>
      </w:pPr>
      <w:r>
        <w:rPr>
          <w:rFonts w:ascii="Arial" w:cs="Arial" w:eastAsia="Arial" w:hAnsi="Arial"/>
          <w:i/>
          <w:iCs/>
          <w:color w:val="666666"/>
          <w:sz w:val="17"/>
          <w:szCs w:val="17"/>
        </w:rPr>
        <w:t xml:space="preserve">Impact (axe vertical) × Probabilité (axe horizontal)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45"/>
        <w:gridCol w:w="1545"/>
        <w:gridCol w:w="1545"/>
        <w:gridCol w:w="1545"/>
        <w:gridCol w:w="1546"/>
      </w:tblGrid>
      <w:tr>
        <w:tc>
          <w:tcPr>
            <w:tcW w:type="dxa" w:w="13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15"/>
                <w:szCs w:val="15"/>
              </w:rPr>
              <w:t xml:space="preserve">Impact \ Prob.</w:t>
            </w:r>
          </w:p>
        </w:tc>
        <w:tc>
          <w:tcPr>
            <w:tcW w:type="dxa" w:w="1545"/>
            <w:tcBorders>
              <w:top w:val="single" w:color="1F3864" w:sz="1"/>
              <w:left w:val="single" w:color="1F3864" w:sz="1"/>
              <w:bottom w:val="single" w:color="1F3864" w:sz="1"/>
              <w:right w:val="single" w:color="1F3864" w:sz="1"/>
            </w:tcBorders>
            <w:shd w:fill="2E4B7A" w:val="clear"/>
            <w:tcMar>
              <w:top w:type="dxa" w:w="50"/>
              <w:left w:type="dxa" w:w="50"/>
              <w:bottom w:type="dxa" w:w="50"/>
              <w:right w:type="dxa" w:w="50"/>
            </w:tcMar>
          </w:tcPr>
          <w:p>
            <w:pPr>
              <w:jc w:val="center"/>
            </w:pPr>
            <w:r>
              <w:rPr>
                <w:rFonts w:ascii="Arial" w:cs="Arial" w:eastAsia="Arial" w:hAnsi="Arial"/>
                <w:b/>
                <w:bCs/>
                <w:color w:val="FFFFFF"/>
                <w:sz w:val="14"/>
                <w:szCs w:val="14"/>
              </w:rPr>
              <w:t xml:space="preserve">Rare
(0-10%)</w:t>
            </w:r>
          </w:p>
        </w:tc>
        <w:tc>
          <w:tcPr>
            <w:tcW w:type="dxa" w:w="1545"/>
            <w:tcBorders>
              <w:top w:val="single" w:color="1F3864" w:sz="1"/>
              <w:left w:val="single" w:color="1F3864" w:sz="1"/>
              <w:bottom w:val="single" w:color="1F3864" w:sz="1"/>
              <w:right w:val="single" w:color="1F3864" w:sz="1"/>
            </w:tcBorders>
            <w:shd w:fill="2E4B7A" w:val="clear"/>
            <w:tcMar>
              <w:top w:type="dxa" w:w="50"/>
              <w:left w:type="dxa" w:w="50"/>
              <w:bottom w:type="dxa" w:w="50"/>
              <w:right w:type="dxa" w:w="50"/>
            </w:tcMar>
          </w:tcPr>
          <w:p>
            <w:pPr>
              <w:jc w:val="center"/>
            </w:pPr>
            <w:r>
              <w:rPr>
                <w:rFonts w:ascii="Arial" w:cs="Arial" w:eastAsia="Arial" w:hAnsi="Arial"/>
                <w:b/>
                <w:bCs/>
                <w:color w:val="FFFFFF"/>
                <w:sz w:val="14"/>
                <w:szCs w:val="14"/>
              </w:rPr>
              <w:t xml:space="preserve">Peu prob.
(10-30%)</w:t>
            </w:r>
          </w:p>
        </w:tc>
        <w:tc>
          <w:tcPr>
            <w:tcW w:type="dxa" w:w="1545"/>
            <w:tcBorders>
              <w:top w:val="single" w:color="1F3864" w:sz="1"/>
              <w:left w:val="single" w:color="1F3864" w:sz="1"/>
              <w:bottom w:val="single" w:color="1F3864" w:sz="1"/>
              <w:right w:val="single" w:color="1F3864" w:sz="1"/>
            </w:tcBorders>
            <w:shd w:fill="2E4B7A" w:val="clear"/>
            <w:tcMar>
              <w:top w:type="dxa" w:w="50"/>
              <w:left w:type="dxa" w:w="50"/>
              <w:bottom w:type="dxa" w:w="50"/>
              <w:right w:type="dxa" w:w="50"/>
            </w:tcMar>
          </w:tcPr>
          <w:p>
            <w:pPr>
              <w:jc w:val="center"/>
            </w:pPr>
            <w:r>
              <w:rPr>
                <w:rFonts w:ascii="Arial" w:cs="Arial" w:eastAsia="Arial" w:hAnsi="Arial"/>
                <w:b/>
                <w:bCs/>
                <w:color w:val="FFFFFF"/>
                <w:sz w:val="14"/>
                <w:szCs w:val="14"/>
              </w:rPr>
              <w:t xml:space="preserve">Possible
(30-50%)</w:t>
            </w:r>
          </w:p>
        </w:tc>
        <w:tc>
          <w:tcPr>
            <w:tcW w:type="dxa" w:w="1545"/>
            <w:tcBorders>
              <w:top w:val="single" w:color="1F3864" w:sz="1"/>
              <w:left w:val="single" w:color="1F3864" w:sz="1"/>
              <w:bottom w:val="single" w:color="1F3864" w:sz="1"/>
              <w:right w:val="single" w:color="1F3864" w:sz="1"/>
            </w:tcBorders>
            <w:shd w:fill="2E4B7A" w:val="clear"/>
            <w:tcMar>
              <w:top w:type="dxa" w:w="50"/>
              <w:left w:type="dxa" w:w="50"/>
              <w:bottom w:type="dxa" w:w="50"/>
              <w:right w:type="dxa" w:w="50"/>
            </w:tcMar>
          </w:tcPr>
          <w:p>
            <w:pPr>
              <w:jc w:val="center"/>
            </w:pPr>
            <w:r>
              <w:rPr>
                <w:rFonts w:ascii="Arial" w:cs="Arial" w:eastAsia="Arial" w:hAnsi="Arial"/>
                <w:b/>
                <w:bCs/>
                <w:color w:val="FFFFFF"/>
                <w:sz w:val="14"/>
                <w:szCs w:val="14"/>
              </w:rPr>
              <w:t xml:space="preserve">Probable
(50-70%)</w:t>
            </w:r>
          </w:p>
        </w:tc>
        <w:tc>
          <w:tcPr>
            <w:tcW w:type="dxa" w:w="1546"/>
            <w:tcBorders>
              <w:top w:val="single" w:color="1F3864" w:sz="1"/>
              <w:left w:val="single" w:color="1F3864" w:sz="1"/>
              <w:bottom w:val="single" w:color="1F3864" w:sz="1"/>
              <w:right w:val="single" w:color="1F3864" w:sz="1"/>
            </w:tcBorders>
            <w:shd w:fill="2E4B7A" w:val="clear"/>
            <w:tcMar>
              <w:top w:type="dxa" w:w="50"/>
              <w:left w:type="dxa" w:w="50"/>
              <w:bottom w:type="dxa" w:w="50"/>
              <w:right w:type="dxa" w:w="50"/>
            </w:tcMar>
          </w:tcPr>
          <w:p>
            <w:pPr>
              <w:jc w:val="center"/>
            </w:pPr>
            <w:r>
              <w:rPr>
                <w:rFonts w:ascii="Arial" w:cs="Arial" w:eastAsia="Arial" w:hAnsi="Arial"/>
                <w:b/>
                <w:bCs/>
                <w:color w:val="FFFFFF"/>
                <w:sz w:val="14"/>
                <w:szCs w:val="14"/>
              </w:rPr>
              <w:t xml:space="preserve">Quasi-crt
(&gt;70%)</w:t>
            </w:r>
          </w:p>
        </w:tc>
      </w:tr>
      <w:tr>
        <w:tc>
          <w:tcPr>
            <w:tcW w:type="dxa" w:w="13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pPr>
              <w:jc w:val="right"/>
            </w:pPr>
            <w:r>
              <w:rPr>
                <w:rFonts w:ascii="Arial" w:cs="Arial" w:eastAsia="Arial" w:hAnsi="Arial"/>
                <w:b/>
                <w:bCs/>
                <w:color w:val="FFFFFF"/>
                <w:sz w:val="14"/>
                <w:szCs w:val="14"/>
              </w:rPr>
              <w:t xml:space="preserve">Existentiel</w:t>
            </w:r>
          </w:p>
        </w:tc>
        <w:tc>
          <w:tcPr>
            <w:tcW w:type="dxa" w:w="1545"/>
            <w:tcBorders>
              <w:top w:val="single" w:color="FFB347" w:sz="1"/>
              <w:left w:val="single" w:color="FFB347" w:sz="1"/>
              <w:bottom w:val="single" w:color="FFB347" w:sz="1"/>
              <w:right w:val="single" w:color="FFB347" w:sz="1"/>
            </w:tcBorders>
            <w:shd w:fill="FFB347" w:val="clear"/>
            <w:tcMar>
              <w:top w:type="dxa" w:w="50"/>
              <w:left w:type="dxa" w:w="50"/>
              <w:bottom w:type="dxa" w:w="50"/>
              <w:right w:type="dxa" w:w="50"/>
            </w:tcMar>
          </w:tcPr>
          <w:p>
            <w:pPr>
              <w:jc w:val="center"/>
            </w:pPr>
            <w:r>
              <w:rPr>
                <w:rFonts w:ascii="Arial" w:cs="Arial" w:eastAsia="Arial" w:hAnsi="Arial"/>
                <w:b/>
                <w:bCs/>
                <w:color w:val="333333"/>
                <w:sz w:val="14"/>
                <w:szCs w:val="14"/>
              </w:rPr>
              <w:t xml:space="preserve">R1</w:t>
            </w:r>
          </w:p>
        </w:tc>
        <w:tc>
          <w:tcPr>
            <w:tcW w:type="dxa" w:w="1545"/>
            <w:tcBorders>
              <w:top w:val="single" w:color="FF6666" w:sz="1"/>
              <w:left w:val="single" w:color="FF6666" w:sz="1"/>
              <w:bottom w:val="single" w:color="FF6666" w:sz="1"/>
              <w:right w:val="single" w:color="FF6666" w:sz="1"/>
            </w:tcBorders>
            <w:shd w:fill="FF6666" w:val="clear"/>
            <w:tcMar>
              <w:top w:type="dxa" w:w="50"/>
              <w:left w:type="dxa" w:w="50"/>
              <w:bottom w:type="dxa" w:w="50"/>
              <w:right w:type="dxa" w:w="50"/>
            </w:tcMar>
          </w:tcPr>
          <w:p>
            <w:pPr>
              <w:jc w:val="center"/>
            </w:pPr>
            <w:r>
              <w:rPr>
                <w:rFonts w:ascii="Arial" w:cs="Arial" w:eastAsia="Arial" w:hAnsi="Arial"/>
                <w:b/>
                <w:bCs/>
                <w:color w:val="C00000"/>
                <w:sz w:val="14"/>
                <w:szCs w:val="14"/>
              </w:rPr>
              <w:t xml:space="preserve">R3
R14</w:t>
            </w:r>
          </w:p>
        </w:tc>
        <w:tc>
          <w:tcPr>
            <w:tcW w:type="dxa" w:w="1545"/>
            <w:tcBorders>
              <w:top w:val="single" w:color="FF3333" w:sz="1"/>
              <w:left w:val="single" w:color="FF3333" w:sz="1"/>
              <w:bottom w:val="single" w:color="FF3333" w:sz="1"/>
              <w:right w:val="single" w:color="FF3333" w:sz="1"/>
            </w:tcBorders>
            <w:shd w:fill="FF3333"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c>
          <w:tcPr>
            <w:tcW w:type="dxa" w:w="1545"/>
            <w:tcBorders>
              <w:top w:val="single" w:color="FF3333" w:sz="1"/>
              <w:left w:val="single" w:color="FF3333" w:sz="1"/>
              <w:bottom w:val="single" w:color="FF3333" w:sz="1"/>
              <w:right w:val="single" w:color="FF3333" w:sz="1"/>
            </w:tcBorders>
            <w:shd w:fill="FF3333"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c>
          <w:tcPr>
            <w:tcW w:type="dxa" w:w="1546"/>
            <w:tcBorders>
              <w:top w:val="single" w:color="FF3333" w:sz="1"/>
              <w:left w:val="single" w:color="FF3333" w:sz="1"/>
              <w:bottom w:val="single" w:color="FF3333" w:sz="1"/>
              <w:right w:val="single" w:color="FF3333" w:sz="1"/>
            </w:tcBorders>
            <w:shd w:fill="FF3333"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r>
      <w:tr>
        <w:tc>
          <w:tcPr>
            <w:tcW w:type="dxa" w:w="13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pPr>
              <w:jc w:val="right"/>
            </w:pPr>
            <w:r>
              <w:rPr>
                <w:rFonts w:ascii="Arial" w:cs="Arial" w:eastAsia="Arial" w:hAnsi="Arial"/>
                <w:b/>
                <w:bCs/>
                <w:color w:val="FFFFFF"/>
                <w:sz w:val="14"/>
                <w:szCs w:val="14"/>
              </w:rPr>
              <w:t xml:space="preserve">Critique</w:t>
            </w:r>
          </w:p>
        </w:tc>
        <w:tc>
          <w:tcPr>
            <w:tcW w:type="dxa" w:w="1545"/>
            <w:tcBorders>
              <w:top w:val="single" w:color="B8D98D" w:sz="1"/>
              <w:left w:val="single" w:color="B8D98D" w:sz="1"/>
              <w:bottom w:val="single" w:color="B8D98D" w:sz="1"/>
              <w:right w:val="single" w:color="B8D98D" w:sz="1"/>
            </w:tcBorders>
            <w:shd w:fill="B8D98D"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c>
          <w:tcPr>
            <w:tcW w:type="dxa" w:w="1545"/>
            <w:tcBorders>
              <w:top w:val="single" w:color="FFB347" w:sz="1"/>
              <w:left w:val="single" w:color="FFB347" w:sz="1"/>
              <w:bottom w:val="single" w:color="FFB347" w:sz="1"/>
              <w:right w:val="single" w:color="FFB347" w:sz="1"/>
            </w:tcBorders>
            <w:shd w:fill="FFB347" w:val="clear"/>
            <w:tcMar>
              <w:top w:type="dxa" w:w="50"/>
              <w:left w:type="dxa" w:w="50"/>
              <w:bottom w:type="dxa" w:w="50"/>
              <w:right w:type="dxa" w:w="50"/>
            </w:tcMar>
          </w:tcPr>
          <w:p>
            <w:pPr>
              <w:jc w:val="center"/>
            </w:pPr>
            <w:r>
              <w:rPr>
                <w:rFonts w:ascii="Arial" w:cs="Arial" w:eastAsia="Arial" w:hAnsi="Arial"/>
                <w:b/>
                <w:bCs/>
                <w:color w:val="333333"/>
                <w:sz w:val="14"/>
                <w:szCs w:val="14"/>
              </w:rPr>
              <w:t xml:space="preserve">R2
R7
R11</w:t>
            </w:r>
          </w:p>
        </w:tc>
        <w:tc>
          <w:tcPr>
            <w:tcW w:type="dxa" w:w="1545"/>
            <w:tcBorders>
              <w:top w:val="single" w:color="FF6666" w:sz="1"/>
              <w:left w:val="single" w:color="FF6666" w:sz="1"/>
              <w:bottom w:val="single" w:color="FF6666" w:sz="1"/>
              <w:right w:val="single" w:color="FF6666" w:sz="1"/>
            </w:tcBorders>
            <w:shd w:fill="FF6666" w:val="clear"/>
            <w:tcMar>
              <w:top w:type="dxa" w:w="50"/>
              <w:left w:type="dxa" w:w="50"/>
              <w:bottom w:type="dxa" w:w="50"/>
              <w:right w:type="dxa" w:w="50"/>
            </w:tcMar>
          </w:tcPr>
          <w:p>
            <w:pPr>
              <w:jc w:val="center"/>
            </w:pPr>
            <w:r>
              <w:rPr>
                <w:rFonts w:ascii="Arial" w:cs="Arial" w:eastAsia="Arial" w:hAnsi="Arial"/>
                <w:b/>
                <w:bCs/>
                <w:color w:val="C00000"/>
                <w:sz w:val="14"/>
                <w:szCs w:val="14"/>
              </w:rPr>
              <w:t xml:space="preserve">R4
R8</w:t>
            </w:r>
          </w:p>
        </w:tc>
        <w:tc>
          <w:tcPr>
            <w:tcW w:type="dxa" w:w="1545"/>
            <w:tcBorders>
              <w:top w:val="single" w:color="FF3333" w:sz="1"/>
              <w:left w:val="single" w:color="FF3333" w:sz="1"/>
              <w:bottom w:val="single" w:color="FF3333" w:sz="1"/>
              <w:right w:val="single" w:color="FF3333" w:sz="1"/>
            </w:tcBorders>
            <w:shd w:fill="FF3333"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c>
          <w:tcPr>
            <w:tcW w:type="dxa" w:w="1546"/>
            <w:tcBorders>
              <w:top w:val="single" w:color="FF3333" w:sz="1"/>
              <w:left w:val="single" w:color="FF3333" w:sz="1"/>
              <w:bottom w:val="single" w:color="FF3333" w:sz="1"/>
              <w:right w:val="single" w:color="FF3333" w:sz="1"/>
            </w:tcBorders>
            <w:shd w:fill="FF3333"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r>
      <w:tr>
        <w:tc>
          <w:tcPr>
            <w:tcW w:type="dxa" w:w="13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pPr>
              <w:jc w:val="right"/>
            </w:pPr>
            <w:r>
              <w:rPr>
                <w:rFonts w:ascii="Arial" w:cs="Arial" w:eastAsia="Arial" w:hAnsi="Arial"/>
                <w:b/>
                <w:bCs/>
                <w:color w:val="FFFFFF"/>
                <w:sz w:val="14"/>
                <w:szCs w:val="14"/>
              </w:rPr>
              <w:t xml:space="preserve">Significatif</w:t>
            </w:r>
          </w:p>
        </w:tc>
        <w:tc>
          <w:tcPr>
            <w:tcW w:type="dxa" w:w="1545"/>
            <w:tcBorders>
              <w:top w:val="single" w:color="B8D98D" w:sz="1"/>
              <w:left w:val="single" w:color="B8D98D" w:sz="1"/>
              <w:bottom w:val="single" w:color="B8D98D" w:sz="1"/>
              <w:right w:val="single" w:color="B8D98D" w:sz="1"/>
            </w:tcBorders>
            <w:shd w:fill="B8D98D" w:val="clear"/>
            <w:tcMar>
              <w:top w:type="dxa" w:w="50"/>
              <w:left w:type="dxa" w:w="50"/>
              <w:bottom w:type="dxa" w:w="50"/>
              <w:right w:type="dxa" w:w="50"/>
            </w:tcMar>
          </w:tcPr>
          <w:p>
            <w:pPr>
              <w:jc w:val="center"/>
            </w:pPr>
            <w:r>
              <w:rPr>
                <w:rFonts w:ascii="Arial" w:cs="Arial" w:eastAsia="Arial" w:hAnsi="Arial"/>
                <w:b/>
                <w:bCs/>
                <w:color w:val="507000"/>
                <w:sz w:val="14"/>
                <w:szCs w:val="14"/>
              </w:rPr>
              <w:t xml:space="preserve">R17</w:t>
            </w:r>
          </w:p>
        </w:tc>
        <w:tc>
          <w:tcPr>
            <w:tcW w:type="dxa" w:w="1545"/>
            <w:tcBorders>
              <w:top w:val="single" w:color="FFB347" w:sz="1"/>
              <w:left w:val="single" w:color="FFB347" w:sz="1"/>
              <w:bottom w:val="single" w:color="FFB347" w:sz="1"/>
              <w:right w:val="single" w:color="FFB347" w:sz="1"/>
            </w:tcBorders>
            <w:shd w:fill="FFB347" w:val="clear"/>
            <w:tcMar>
              <w:top w:type="dxa" w:w="50"/>
              <w:left w:type="dxa" w:w="50"/>
              <w:bottom w:type="dxa" w:w="50"/>
              <w:right w:type="dxa" w:w="50"/>
            </w:tcMar>
          </w:tcPr>
          <w:p>
            <w:pPr>
              <w:jc w:val="center"/>
            </w:pPr>
            <w:r>
              <w:rPr>
                <w:rFonts w:ascii="Arial" w:cs="Arial" w:eastAsia="Arial" w:hAnsi="Arial"/>
                <w:b/>
                <w:bCs/>
                <w:color w:val="333333"/>
                <w:sz w:val="14"/>
                <w:szCs w:val="14"/>
              </w:rPr>
              <w:t xml:space="preserve">R5
R9
R16</w:t>
            </w:r>
          </w:p>
        </w:tc>
        <w:tc>
          <w:tcPr>
            <w:tcW w:type="dxa" w:w="1545"/>
            <w:tcBorders>
              <w:top w:val="single" w:color="FFB347" w:sz="1"/>
              <w:left w:val="single" w:color="FFB347" w:sz="1"/>
              <w:bottom w:val="single" w:color="FFB347" w:sz="1"/>
              <w:right w:val="single" w:color="FFB347" w:sz="1"/>
            </w:tcBorders>
            <w:shd w:fill="FFB347" w:val="clear"/>
            <w:tcMar>
              <w:top w:type="dxa" w:w="50"/>
              <w:left w:type="dxa" w:w="50"/>
              <w:bottom w:type="dxa" w:w="50"/>
              <w:right w:type="dxa" w:w="50"/>
            </w:tcMar>
          </w:tcPr>
          <w:p>
            <w:pPr>
              <w:jc w:val="center"/>
            </w:pPr>
            <w:r>
              <w:rPr>
                <w:rFonts w:ascii="Arial" w:cs="Arial" w:eastAsia="Arial" w:hAnsi="Arial"/>
                <w:b/>
                <w:bCs/>
                <w:color w:val="333333"/>
                <w:sz w:val="14"/>
                <w:szCs w:val="14"/>
              </w:rPr>
              <w:t xml:space="preserve">R6
R10
R12
R13</w:t>
            </w:r>
          </w:p>
        </w:tc>
        <w:tc>
          <w:tcPr>
            <w:tcW w:type="dxa" w:w="1545"/>
            <w:tcBorders>
              <w:top w:val="single" w:color="FF6666" w:sz="1"/>
              <w:left w:val="single" w:color="FF6666" w:sz="1"/>
              <w:bottom w:val="single" w:color="FF6666" w:sz="1"/>
              <w:right w:val="single" w:color="FF6666" w:sz="1"/>
            </w:tcBorders>
            <w:shd w:fill="FF6666" w:val="clear"/>
            <w:tcMar>
              <w:top w:type="dxa" w:w="50"/>
              <w:left w:type="dxa" w:w="50"/>
              <w:bottom w:type="dxa" w:w="50"/>
              <w:right w:type="dxa" w:w="50"/>
            </w:tcMar>
          </w:tcPr>
          <w:p>
            <w:pPr>
              <w:jc w:val="center"/>
            </w:pPr>
            <w:r>
              <w:rPr>
                <w:rFonts w:ascii="Arial" w:cs="Arial" w:eastAsia="Arial" w:hAnsi="Arial"/>
                <w:b/>
                <w:bCs/>
                <w:color w:val="C00000"/>
                <w:sz w:val="14"/>
                <w:szCs w:val="14"/>
              </w:rPr>
              <w:t xml:space="preserve">R15</w:t>
            </w:r>
          </w:p>
        </w:tc>
        <w:tc>
          <w:tcPr>
            <w:tcW w:type="dxa" w:w="1546"/>
            <w:tcBorders>
              <w:top w:val="single" w:color="FF3333" w:sz="1"/>
              <w:left w:val="single" w:color="FF3333" w:sz="1"/>
              <w:bottom w:val="single" w:color="FF3333" w:sz="1"/>
              <w:right w:val="single" w:color="FF3333" w:sz="1"/>
            </w:tcBorders>
            <w:shd w:fill="FF3333"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r>
      <w:tr>
        <w:tc>
          <w:tcPr>
            <w:tcW w:type="dxa" w:w="13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pPr>
              <w:jc w:val="right"/>
            </w:pPr>
            <w:r>
              <w:rPr>
                <w:rFonts w:ascii="Arial" w:cs="Arial" w:eastAsia="Arial" w:hAnsi="Arial"/>
                <w:b/>
                <w:bCs/>
                <w:color w:val="FFFFFF"/>
                <w:sz w:val="14"/>
                <w:szCs w:val="14"/>
              </w:rPr>
              <w:t xml:space="preserve">Modéré</w:t>
            </w:r>
          </w:p>
        </w:tc>
        <w:tc>
          <w:tcPr>
            <w:tcW w:type="dxa" w:w="1545"/>
            <w:tcBorders>
              <w:top w:val="single" w:color="B8D98D" w:sz="1"/>
              <w:left w:val="single" w:color="B8D98D" w:sz="1"/>
              <w:bottom w:val="single" w:color="B8D98D" w:sz="1"/>
              <w:right w:val="single" w:color="B8D98D" w:sz="1"/>
            </w:tcBorders>
            <w:shd w:fill="B8D98D"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c>
          <w:tcPr>
            <w:tcW w:type="dxa" w:w="1545"/>
            <w:tcBorders>
              <w:top w:val="single" w:color="B8D98D" w:sz="1"/>
              <w:left w:val="single" w:color="B8D98D" w:sz="1"/>
              <w:bottom w:val="single" w:color="B8D98D" w:sz="1"/>
              <w:right w:val="single" w:color="B8D98D" w:sz="1"/>
            </w:tcBorders>
            <w:shd w:fill="B8D98D"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c>
          <w:tcPr>
            <w:tcW w:type="dxa" w:w="1545"/>
            <w:tcBorders>
              <w:top w:val="single" w:color="FFB347" w:sz="1"/>
              <w:left w:val="single" w:color="FFB347" w:sz="1"/>
              <w:bottom w:val="single" w:color="FFB347" w:sz="1"/>
              <w:right w:val="single" w:color="FFB347" w:sz="1"/>
            </w:tcBorders>
            <w:shd w:fill="FFB347"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c>
          <w:tcPr>
            <w:tcW w:type="dxa" w:w="1545"/>
            <w:tcBorders>
              <w:top w:val="single" w:color="FFB347" w:sz="1"/>
              <w:left w:val="single" w:color="FFB347" w:sz="1"/>
              <w:bottom w:val="single" w:color="FFB347" w:sz="1"/>
              <w:right w:val="single" w:color="FFB347" w:sz="1"/>
            </w:tcBorders>
            <w:shd w:fill="FFB347"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c>
          <w:tcPr>
            <w:tcW w:type="dxa" w:w="1546"/>
            <w:tcBorders>
              <w:top w:val="single" w:color="FF6666" w:sz="1"/>
              <w:left w:val="single" w:color="FF6666" w:sz="1"/>
              <w:bottom w:val="single" w:color="FF6666" w:sz="1"/>
              <w:right w:val="single" w:color="FF6666" w:sz="1"/>
            </w:tcBorders>
            <w:shd w:fill="FF6666"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r>
      <w:tr>
        <w:tc>
          <w:tcPr>
            <w:tcW w:type="dxa" w:w="13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pPr>
              <w:jc w:val="right"/>
            </w:pPr>
            <w:r>
              <w:rPr>
                <w:rFonts w:ascii="Arial" w:cs="Arial" w:eastAsia="Arial" w:hAnsi="Arial"/>
                <w:b/>
                <w:bCs/>
                <w:color w:val="FFFFFF"/>
                <w:sz w:val="14"/>
                <w:szCs w:val="14"/>
              </w:rPr>
              <w:t xml:space="preserve">Faible</w:t>
            </w:r>
          </w:p>
        </w:tc>
        <w:tc>
          <w:tcPr>
            <w:tcW w:type="dxa" w:w="1545"/>
            <w:tcBorders>
              <w:top w:val="single" w:color="B8D98D" w:sz="1"/>
              <w:left w:val="single" w:color="B8D98D" w:sz="1"/>
              <w:bottom w:val="single" w:color="B8D98D" w:sz="1"/>
              <w:right w:val="single" w:color="B8D98D" w:sz="1"/>
            </w:tcBorders>
            <w:shd w:fill="B8D98D"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c>
          <w:tcPr>
            <w:tcW w:type="dxa" w:w="1545"/>
            <w:tcBorders>
              <w:top w:val="single" w:color="B8D98D" w:sz="1"/>
              <w:left w:val="single" w:color="B8D98D" w:sz="1"/>
              <w:bottom w:val="single" w:color="B8D98D" w:sz="1"/>
              <w:right w:val="single" w:color="B8D98D" w:sz="1"/>
            </w:tcBorders>
            <w:shd w:fill="B8D98D"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c>
          <w:tcPr>
            <w:tcW w:type="dxa" w:w="1545"/>
            <w:tcBorders>
              <w:top w:val="single" w:color="B8D98D" w:sz="1"/>
              <w:left w:val="single" w:color="B8D98D" w:sz="1"/>
              <w:bottom w:val="single" w:color="B8D98D" w:sz="1"/>
              <w:right w:val="single" w:color="B8D98D" w:sz="1"/>
            </w:tcBorders>
            <w:shd w:fill="B8D98D"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c>
          <w:tcPr>
            <w:tcW w:type="dxa" w:w="1545"/>
            <w:tcBorders>
              <w:top w:val="single" w:color="FFB347" w:sz="1"/>
              <w:left w:val="single" w:color="FFB347" w:sz="1"/>
              <w:bottom w:val="single" w:color="FFB347" w:sz="1"/>
              <w:right w:val="single" w:color="FFB347" w:sz="1"/>
            </w:tcBorders>
            <w:shd w:fill="FFB347"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c>
          <w:tcPr>
            <w:tcW w:type="dxa" w:w="1546"/>
            <w:tcBorders>
              <w:top w:val="single" w:color="FFB347" w:sz="1"/>
              <w:left w:val="single" w:color="FFB347" w:sz="1"/>
              <w:bottom w:val="single" w:color="FFB347" w:sz="1"/>
              <w:right w:val="single" w:color="FFB347" w:sz="1"/>
            </w:tcBorders>
            <w:shd w:fill="FFB347" w:val="clear"/>
            <w:tcMar>
              <w:top w:type="dxa" w:w="50"/>
              <w:left w:type="dxa" w:w="50"/>
              <w:bottom w:type="dxa" w:w="50"/>
              <w:right w:type="dxa" w:w="50"/>
            </w:tcMar>
          </w:tcPr>
          <w:p>
            <w:pPr>
              <w:jc w:val="center"/>
            </w:pPr>
            <w:r>
              <w:rPr>
                <w:rFonts w:ascii="Arial" w:cs="Arial" w:eastAsia="Arial" w:hAnsi="Arial"/>
                <w:b w:val="false"/>
                <w:bCs w:val="false"/>
                <w:color w:val="AAAAAA"/>
                <w:sz w:val="14"/>
                <w:szCs w:val="14"/>
              </w:rPr>
              <w:t xml:space="preserve"/>
            </w:r>
          </w:p>
        </w:tc>
      </w:tr>
    </w:tbl>
    <w:p>
      <w:pPr>
        <w:spacing w:after="60" w:before="80"/>
      </w:pPr>
      <w:r>
        <w:rPr>
          <w:rFonts w:ascii="Arial" w:cs="Arial" w:eastAsia="Arial" w:hAnsi="Arial"/>
          <w:i/>
          <w:iCs/>
          <w:color w:val="666666"/>
          <w:sz w:val="17"/>
          <w:szCs w:val="17"/>
        </w:rPr>
        <w:t xml:space="preserve">R1=CIF/AMF  R2=RGPD Art.17  R3=Modèle économique  R4=Fournisseur données  R5=C-08/C-09  R6=C-11  R7=Logs CNIL  R8=Stratégie acquisition  R9=Onboarding  R10=Arbitrations  R11=PEA responsabilité  R12=T-01 dette tech  R13=Scalabilité  R14=Validation marché  R15=Churn sans ex post  R16=Sécurité données  R17=AnalysisSnapshot indexes</w:t>
      </w:r>
    </w:p>
    <w:p>
      <w:pPr>
        <w:pBdr>
          <w:bottom w:val="single" w:color="2E75B6" w:sz="6" w:space="4"/>
        </w:pBdr>
        <w:spacing w:after="80" w:before="280"/>
      </w:pPr>
    </w:p>
    <w:p>
      <w:pPr>
        <w:spacing w:after="100" w:before="320"/>
      </w:pPr>
      <w:r>
        <w:rPr>
          <w:rFonts w:ascii="Arial" w:cs="Arial" w:eastAsia="Arial" w:hAnsi="Arial"/>
          <w:b/>
          <w:bCs/>
          <w:color w:val="1F3864"/>
          <w:sz w:val="34"/>
          <w:szCs w:val="34"/>
        </w:rPr>
        <w:t xml:space="preserve">Registre des risques — vue complète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700"/>
        <w:gridCol w:w="700"/>
        <w:gridCol w:w="700"/>
        <w:gridCol w:w="4366"/>
      </w:tblGrid>
      <w:tr>
        <w:tc>
          <w:tcPr>
            <w:tcW w:type="dxa" w:w="36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7"/>
                <w:szCs w:val="17"/>
              </w:rPr>
              <w:t xml:space="preserve">ID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7"/>
                <w:szCs w:val="17"/>
              </w:rPr>
              <w:t xml:space="preserve">Risque</w:t>
            </w:r>
          </w:p>
        </w:tc>
        <w:tc>
          <w:tcPr>
            <w:tcW w:type="dxa" w:w="7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7"/>
                <w:szCs w:val="17"/>
              </w:rPr>
              <w:t xml:space="preserve">Catégorie</w:t>
            </w:r>
          </w:p>
        </w:tc>
        <w:tc>
          <w:tcPr>
            <w:tcW w:type="dxa" w:w="7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7"/>
                <w:szCs w:val="17"/>
              </w:rPr>
              <w:t xml:space="preserve">Prob.</w:t>
            </w:r>
          </w:p>
        </w:tc>
        <w:tc>
          <w:tcPr>
            <w:tcW w:type="dxa" w:w="7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7"/>
                <w:szCs w:val="17"/>
              </w:rPr>
              <w:t xml:space="preserve">Impact</w:t>
            </w:r>
          </w:p>
        </w:tc>
        <w:tc>
          <w:tcPr>
            <w:tcW w:type="dxa" w:w="4366"/>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7"/>
                <w:szCs w:val="17"/>
              </w:rPr>
              <w:t xml:space="preserve">Mitigation prioritaire</w:t>
            </w:r>
          </w:p>
        </w:tc>
      </w:tr>
      <w:tr>
        <w:tc>
          <w:tcPr>
            <w:tcW w:type="dxa" w:w="36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R1</w:t>
            </w:r>
          </w:p>
        </w:tc>
        <w:tc>
          <w:tcPr>
            <w:tcW w:type="dxa" w:w="22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b/>
                <w:bCs/>
                <w:color w:val="C00000"/>
                <w:sz w:val="17"/>
                <w:szCs w:val="17"/>
              </w:rPr>
              <w:t xml:space="preserve">Requalification CIF/AMF</w:t>
            </w:r>
          </w:p>
        </w:tc>
        <w:tc>
          <w:tcPr>
            <w:tcW w:type="dxa" w:w="7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Régl.</w:t>
            </w:r>
          </w:p>
        </w:tc>
        <w:tc>
          <w:tcPr>
            <w:tcW w:type="dxa" w:w="7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Moy.</w:t>
            </w:r>
          </w:p>
        </w:tc>
        <w:tc>
          <w:tcPr>
            <w:tcW w:type="dxa" w:w="700"/>
            <w:tcBorders>
              <w:top w:val="single" w:color="C00000" w:sz="1"/>
              <w:left w:val="single" w:color="C00000" w:sz="1"/>
              <w:bottom w:val="single" w:color="C00000" w:sz="1"/>
              <w:right w:val="single" w:color="C00000" w:sz="1"/>
            </w:tcBorders>
            <w:shd w:fill="FFE0E0" w:val="clear"/>
            <w:tcMar>
              <w:top w:type="dxa" w:w="80"/>
              <w:left w:type="dxa" w:w="130"/>
              <w:bottom w:type="dxa" w:w="80"/>
              <w:right w:type="dxa" w:w="130"/>
            </w:tcMar>
            <w:vAlign w:val="center"/>
          </w:tcPr>
          <w:p>
            <w:pPr>
              <w:jc w:val="center"/>
            </w:pPr>
            <w:r>
              <w:rPr>
                <w:rFonts w:ascii="Arial" w:cs="Arial" w:eastAsia="Arial" w:hAnsi="Arial"/>
                <w:b/>
                <w:bCs/>
                <w:color w:val="C00000"/>
                <w:sz w:val="17"/>
                <w:szCs w:val="17"/>
              </w:rPr>
              <w:t xml:space="preserve">CRITIQUE</w:t>
            </w:r>
          </w:p>
        </w:tc>
        <w:tc>
          <w:tcPr>
            <w:tcW w:type="dxa" w:w="4366"/>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Consulter avocat AMF/MIF 2 avant lancement. Reformuler verbes d'action si nécessaire. Afficher disclaimer MIF 2 sur chaque écran de recommandation.</w:t>
            </w:r>
          </w:p>
        </w:tc>
      </w:tr>
      <w:tr>
        <w:tc>
          <w:tcPr>
            <w:tcW w:type="dxa" w:w="36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R3</w:t>
            </w:r>
          </w:p>
        </w:tc>
        <w:tc>
          <w:tcPr>
            <w:tcW w:type="dxa" w:w="22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b/>
                <w:bCs/>
                <w:color w:val="C00000"/>
                <w:sz w:val="17"/>
                <w:szCs w:val="17"/>
              </w:rPr>
              <w:t xml:space="preserve">Modèle économique décidé : abonnement €4,90/mois HT (2026-05-28)</w:t>
            </w:r>
          </w:p>
        </w:tc>
        <w:tc>
          <w:tcPr>
            <w:tcW w:type="dxa" w:w="7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GTM</w:t>
            </w:r>
          </w:p>
        </w:tc>
        <w:tc>
          <w:tcPr>
            <w:tcW w:type="dxa" w:w="7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Résolue</w:t>
            </w:r>
          </w:p>
        </w:tc>
        <w:tc>
          <w:tcPr>
            <w:tcW w:type="dxa" w:w="700"/>
            <w:tcBorders>
              <w:top w:val="single" w:color="375623" w:sz="1"/>
              <w:left w:val="single" w:color="375623" w:sz="1"/>
              <w:bottom w:val="single" w:color="375623" w:sz="1"/>
              <w:right w:val="single" w:color="375623" w:sz="1"/>
            </w:tcBorders>
            <w:shd w:fill="E2EFDA" w:val="clear"/>
            <w:tcMar>
              <w:top w:type="dxa" w:w="80"/>
              <w:left w:type="dxa" w:w="130"/>
              <w:bottom w:type="dxa" w:w="80"/>
              <w:right w:type="dxa" w:w="130"/>
            </w:tcMar>
            <w:vAlign w:val="center"/>
          </w:tcPr>
          <w:p>
            <w:pPr>
              <w:jc w:val="center"/>
            </w:pPr>
            <w:r>
              <w:rPr>
                <w:rFonts w:ascii="Arial" w:cs="Arial" w:eastAsia="Arial" w:hAnsi="Arial"/>
                <w:b/>
                <w:bCs/>
                <w:color w:val="C00000"/>
                <w:sz w:val="17"/>
                <w:szCs w:val="17"/>
              </w:rPr>
              <w:t xml:space="preserve">RÉSOLU</w:t>
            </w:r>
          </w:p>
        </w:tc>
        <w:tc>
          <w:tcPr>
            <w:tcW w:type="dxa" w:w="4366"/>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Calculer break-even selon coûts fournisseur données ; options freemium/annuel/essai restent à définir</w:t>
            </w:r>
          </w:p>
        </w:tc>
      </w:tr>
      <w:tr>
        <w:tc>
          <w:tcPr>
            <w:tcW w:type="dxa" w:w="36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R2</w:t>
            </w:r>
          </w:p>
        </w:tc>
        <w:tc>
          <w:tcPr>
            <w:tcW w:type="dxa" w:w="22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RGPD Art. 17 — suppression compte absente</w:t>
            </w:r>
          </w:p>
        </w:tc>
        <w:tc>
          <w:tcPr>
            <w:tcW w:type="dxa" w:w="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Régl.</w:t>
            </w:r>
          </w:p>
        </w:tc>
        <w:tc>
          <w:tcPr>
            <w:tcW w:type="dxa" w:w="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Élevée</w:t>
            </w:r>
          </w:p>
        </w:tc>
        <w:tc>
          <w:tcPr>
            <w:tcW w:type="dxa" w:w="700"/>
            <w:tcBorders>
              <w:top w:val="single" w:color="C05000" w:sz="1"/>
              <w:left w:val="single" w:color="C05000" w:sz="1"/>
              <w:bottom w:val="single" w:color="C05000" w:sz="1"/>
              <w:right w:val="single" w:color="C05000" w:sz="1"/>
            </w:tcBorders>
            <w:shd w:fill="FFD0B0" w:val="clear"/>
            <w:tcMar>
              <w:top w:type="dxa" w:w="80"/>
              <w:left w:type="dxa" w:w="130"/>
              <w:bottom w:type="dxa" w:w="80"/>
              <w:right w:type="dxa" w:w="130"/>
            </w:tcMar>
            <w:vAlign w:val="center"/>
          </w:tcPr>
          <w:p>
            <w:pPr>
              <w:jc w:val="center"/>
            </w:pPr>
            <w:r>
              <w:rPr>
                <w:rFonts w:ascii="Arial" w:cs="Arial" w:eastAsia="Arial" w:hAnsi="Arial"/>
                <w:b/>
                <w:bCs/>
                <w:color w:val="C05000"/>
                <w:sz w:val="17"/>
                <w:szCs w:val="17"/>
              </w:rPr>
              <w:t xml:space="preserve">ÉLEVÉ</w:t>
            </w:r>
          </w:p>
        </w:tc>
        <w:tc>
          <w:tcPr>
            <w:tcW w:type="dxa" w:w="4366"/>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Implémenter flux suppression (auto-service ou admin) + archivage snapshots avant lancement. Obligation légale non négociable.</w:t>
            </w:r>
          </w:p>
        </w:tc>
      </w:tr>
      <w:tr>
        <w:tc>
          <w:tcPr>
            <w:tcW w:type="dxa" w:w="36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R4</w:t>
            </w:r>
          </w:p>
        </w:tc>
        <w:tc>
          <w:tcPr>
            <w:tcW w:type="dxa" w:w="22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Fournisseur données non nommé / droits non validés</w:t>
            </w:r>
          </w:p>
        </w:tc>
        <w:tc>
          <w:tcPr>
            <w:tcW w:type="dxa" w:w="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Tech.</w:t>
            </w:r>
          </w:p>
        </w:tc>
        <w:tc>
          <w:tcPr>
            <w:tcW w:type="dxa" w:w="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Incon.</w:t>
            </w:r>
          </w:p>
        </w:tc>
        <w:tc>
          <w:tcPr>
            <w:tcW w:type="dxa" w:w="700"/>
            <w:tcBorders>
              <w:top w:val="single" w:color="C05000" w:sz="1"/>
              <w:left w:val="single" w:color="C05000" w:sz="1"/>
              <w:bottom w:val="single" w:color="C05000" w:sz="1"/>
              <w:right w:val="single" w:color="C05000" w:sz="1"/>
            </w:tcBorders>
            <w:shd w:fill="FFD0B0" w:val="clear"/>
            <w:tcMar>
              <w:top w:type="dxa" w:w="80"/>
              <w:left w:type="dxa" w:w="130"/>
              <w:bottom w:type="dxa" w:w="80"/>
              <w:right w:type="dxa" w:w="130"/>
            </w:tcMar>
            <w:vAlign w:val="center"/>
          </w:tcPr>
          <w:p>
            <w:pPr>
              <w:jc w:val="center"/>
            </w:pPr>
            <w:r>
              <w:rPr>
                <w:rFonts w:ascii="Arial" w:cs="Arial" w:eastAsia="Arial" w:hAnsi="Arial"/>
                <w:b/>
                <w:bCs/>
                <w:color w:val="C05000"/>
                <w:sz w:val="17"/>
                <w:szCs w:val="17"/>
              </w:rPr>
              <w:t xml:space="preserve">ÉLEVÉ</w:t>
            </w:r>
          </w:p>
        </w:tc>
        <w:tc>
          <w:tcPr>
            <w:tcW w:type="dxa" w:w="4366"/>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Nommer et contractualiser avant lancement. Valider droits de redistribution des données de cours. Prévoir fournisseur alternatif.</w:t>
            </w:r>
          </w:p>
        </w:tc>
      </w:tr>
      <w:tr>
        <w:tc>
          <w:tcPr>
            <w:tcW w:type="dxa" w:w="36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R5</w:t>
            </w:r>
          </w:p>
        </w:tc>
        <w:tc>
          <w:tcPr>
            <w:tcW w:type="dxa" w:w="22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Différenciateurs C-08/C-09 absents au lancement</w:t>
            </w:r>
          </w:p>
        </w:tc>
        <w:tc>
          <w:tcPr>
            <w:tcW w:type="dxa" w:w="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Produit</w:t>
            </w:r>
          </w:p>
        </w:tc>
        <w:tc>
          <w:tcPr>
            <w:tcW w:type="dxa" w:w="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Élevée</w:t>
            </w:r>
          </w:p>
        </w:tc>
        <w:tc>
          <w:tcPr>
            <w:tcW w:type="dxa" w:w="700"/>
            <w:tcBorders>
              <w:top w:val="single" w:color="C05000" w:sz="1"/>
              <w:left w:val="single" w:color="C05000" w:sz="1"/>
              <w:bottom w:val="single" w:color="C05000" w:sz="1"/>
              <w:right w:val="single" w:color="C05000" w:sz="1"/>
            </w:tcBorders>
            <w:shd w:fill="FFD0B0" w:val="clear"/>
            <w:tcMar>
              <w:top w:type="dxa" w:w="80"/>
              <w:left w:type="dxa" w:w="130"/>
              <w:bottom w:type="dxa" w:w="80"/>
              <w:right w:type="dxa" w:w="130"/>
            </w:tcMar>
            <w:vAlign w:val="center"/>
          </w:tcPr>
          <w:p>
            <w:pPr>
              <w:jc w:val="center"/>
            </w:pPr>
            <w:r>
              <w:rPr>
                <w:rFonts w:ascii="Arial" w:cs="Arial" w:eastAsia="Arial" w:hAnsi="Arial"/>
                <w:b/>
                <w:bCs/>
                <w:color w:val="C05000"/>
                <w:sz w:val="17"/>
                <w:szCs w:val="17"/>
              </w:rPr>
              <w:t xml:space="preserve">ÉLEVÉ</w:t>
            </w:r>
          </w:p>
        </w:tc>
        <w:tc>
          <w:tcPr>
            <w:tcW w:type="dxa" w:w="4366"/>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Séquencer Plan d'Action + Confidence Breakdown avant toute acquisition. Sans eux, valeur perçue = screener générique.</w:t>
            </w:r>
          </w:p>
        </w:tc>
      </w:tr>
      <w:tr>
        <w:tc>
          <w:tcPr>
            <w:tcW w:type="dxa" w:w="36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R7</w:t>
            </w:r>
          </w:p>
        </w:tc>
        <w:tc>
          <w:tcPr>
            <w:tcW w:type="dxa" w:w="22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Logs Analytic non anonymisés après 13 mois</w:t>
            </w:r>
          </w:p>
        </w:tc>
        <w:tc>
          <w:tcPr>
            <w:tcW w:type="dxa" w:w="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Régl.</w:t>
            </w:r>
          </w:p>
        </w:tc>
        <w:tc>
          <w:tcPr>
            <w:tcW w:type="dxa" w:w="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Élevée</w:t>
            </w:r>
          </w:p>
        </w:tc>
        <w:tc>
          <w:tcPr>
            <w:tcW w:type="dxa" w:w="700"/>
            <w:tcBorders>
              <w:top w:val="single" w:color="C05000" w:sz="1"/>
              <w:left w:val="single" w:color="C05000" w:sz="1"/>
              <w:bottom w:val="single" w:color="C05000" w:sz="1"/>
              <w:right w:val="single" w:color="C05000" w:sz="1"/>
            </w:tcBorders>
            <w:shd w:fill="FFD0B0" w:val="clear"/>
            <w:tcMar>
              <w:top w:type="dxa" w:w="80"/>
              <w:left w:type="dxa" w:w="130"/>
              <w:bottom w:type="dxa" w:w="80"/>
              <w:right w:type="dxa" w:w="130"/>
            </w:tcMar>
            <w:vAlign w:val="center"/>
          </w:tcPr>
          <w:p>
            <w:pPr>
              <w:jc w:val="center"/>
            </w:pPr>
            <w:r>
              <w:rPr>
                <w:rFonts w:ascii="Arial" w:cs="Arial" w:eastAsia="Arial" w:hAnsi="Arial"/>
                <w:b/>
                <w:bCs/>
                <w:color w:val="C05000"/>
                <w:sz w:val="17"/>
                <w:szCs w:val="17"/>
              </w:rPr>
              <w:t xml:space="preserve">ÉLEVÉ</w:t>
            </w:r>
          </w:p>
        </w:tc>
        <w:tc>
          <w:tcPr>
            <w:tcW w:type="dxa" w:w="4366"/>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Job d'anonymisation mensuel obligatoire (CNIL). Implémenter avant 13 mois post-ouverture. Arbitration A-10 = non optionnel.</w:t>
            </w:r>
          </w:p>
        </w:tc>
      </w:tr>
      <w:tr>
        <w:tc>
          <w:tcPr>
            <w:tcW w:type="dxa" w:w="36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R8</w:t>
            </w:r>
          </w:p>
        </w:tc>
        <w:tc>
          <w:tcPr>
            <w:tcW w:type="dxa" w:w="22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Stratégie d'acquisition utilisateurs absente</w:t>
            </w:r>
          </w:p>
        </w:tc>
        <w:tc>
          <w:tcPr>
            <w:tcW w:type="dxa" w:w="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GTM</w:t>
            </w:r>
          </w:p>
        </w:tc>
        <w:tc>
          <w:tcPr>
            <w:tcW w:type="dxa" w:w="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Élevée</w:t>
            </w:r>
          </w:p>
        </w:tc>
        <w:tc>
          <w:tcPr>
            <w:tcW w:type="dxa" w:w="700"/>
            <w:tcBorders>
              <w:top w:val="single" w:color="C05000" w:sz="1"/>
              <w:left w:val="single" w:color="C05000" w:sz="1"/>
              <w:bottom w:val="single" w:color="C05000" w:sz="1"/>
              <w:right w:val="single" w:color="C05000" w:sz="1"/>
            </w:tcBorders>
            <w:shd w:fill="FFD0B0" w:val="clear"/>
            <w:tcMar>
              <w:top w:type="dxa" w:w="80"/>
              <w:left w:type="dxa" w:w="130"/>
              <w:bottom w:type="dxa" w:w="80"/>
              <w:right w:type="dxa" w:w="130"/>
            </w:tcMar>
            <w:vAlign w:val="center"/>
          </w:tcPr>
          <w:p>
            <w:pPr>
              <w:jc w:val="center"/>
            </w:pPr>
            <w:r>
              <w:rPr>
                <w:rFonts w:ascii="Arial" w:cs="Arial" w:eastAsia="Arial" w:hAnsi="Arial"/>
                <w:b/>
                <w:bCs/>
                <w:color w:val="C05000"/>
                <w:sz w:val="17"/>
                <w:szCs w:val="17"/>
              </w:rPr>
              <w:t xml:space="preserve">ÉLEVÉ</w:t>
            </w:r>
          </w:p>
        </w:tc>
        <w:tc>
          <w:tcPr>
            <w:tcW w:type="dxa" w:w="4366"/>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Définir canal #1 avant lancement (SEO/contenu, communautés investissement, partenariat courtier). Sans canal, croissance organique seule = lente.</w:t>
            </w:r>
          </w:p>
        </w:tc>
      </w:tr>
      <w:tr>
        <w:tc>
          <w:tcPr>
            <w:tcW w:type="dxa" w:w="36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R11</w:t>
            </w:r>
          </w:p>
        </w:tc>
        <w:tc>
          <w:tcPr>
            <w:tcW w:type="dxa" w:w="22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Responsabilité info PEA incorrecte</w:t>
            </w:r>
          </w:p>
        </w:tc>
        <w:tc>
          <w:tcPr>
            <w:tcW w:type="dxa" w:w="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Régl.</w:t>
            </w:r>
          </w:p>
        </w:tc>
        <w:tc>
          <w:tcPr>
            <w:tcW w:type="dxa" w:w="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Faible</w:t>
            </w:r>
          </w:p>
        </w:tc>
        <w:tc>
          <w:tcPr>
            <w:tcW w:type="dxa" w:w="700"/>
            <w:tcBorders>
              <w:top w:val="single" w:color="C05000" w:sz="1"/>
              <w:left w:val="single" w:color="C05000" w:sz="1"/>
              <w:bottom w:val="single" w:color="C05000" w:sz="1"/>
              <w:right w:val="single" w:color="C05000" w:sz="1"/>
            </w:tcBorders>
            <w:shd w:fill="FFD0B0" w:val="clear"/>
            <w:tcMar>
              <w:top w:type="dxa" w:w="80"/>
              <w:left w:type="dxa" w:w="130"/>
              <w:bottom w:type="dxa" w:w="80"/>
              <w:right w:type="dxa" w:w="130"/>
            </w:tcMar>
            <w:vAlign w:val="center"/>
          </w:tcPr>
          <w:p>
            <w:pPr>
              <w:jc w:val="center"/>
            </w:pPr>
            <w:r>
              <w:rPr>
                <w:rFonts w:ascii="Arial" w:cs="Arial" w:eastAsia="Arial" w:hAnsi="Arial"/>
                <w:b/>
                <w:bCs/>
                <w:color w:val="C05000"/>
                <w:sz w:val="17"/>
                <w:szCs w:val="17"/>
              </w:rPr>
              <w:t xml:space="preserve">ÉLEVÉ</w:t>
            </w:r>
          </w:p>
        </w:tc>
        <w:tc>
          <w:tcPr>
            <w:tcW w:type="dxa" w:w="4366"/>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Afficher disclaimer sur chaque écran d'éligibilité PEA. CGU : info pédagogique, à confirmer avec le courtier. Processus de mise à jour trimestriel documenté.</w:t>
            </w:r>
          </w:p>
        </w:tc>
      </w:tr>
      <w:tr>
        <w:tc>
          <w:tcPr>
            <w:tcW w:type="dxa" w:w="36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R14</w:t>
            </w:r>
          </w:p>
        </w:tc>
        <w:tc>
          <w:tcPr>
            <w:tcW w:type="dxa" w:w="22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Pas de validation marché (zéro beta utilisateurs)</w:t>
            </w:r>
          </w:p>
        </w:tc>
        <w:tc>
          <w:tcPr>
            <w:tcW w:type="dxa" w:w="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GTM</w:t>
            </w:r>
          </w:p>
        </w:tc>
        <w:tc>
          <w:tcPr>
            <w:tcW w:type="dxa" w:w="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w:t>
            </w:r>
          </w:p>
        </w:tc>
        <w:tc>
          <w:tcPr>
            <w:tcW w:type="dxa" w:w="700"/>
            <w:tcBorders>
              <w:top w:val="single" w:color="C05000" w:sz="1"/>
              <w:left w:val="single" w:color="C05000" w:sz="1"/>
              <w:bottom w:val="single" w:color="C05000" w:sz="1"/>
              <w:right w:val="single" w:color="C05000" w:sz="1"/>
            </w:tcBorders>
            <w:shd w:fill="FFD0B0" w:val="clear"/>
            <w:tcMar>
              <w:top w:type="dxa" w:w="80"/>
              <w:left w:type="dxa" w:w="130"/>
              <w:bottom w:type="dxa" w:w="80"/>
              <w:right w:type="dxa" w:w="130"/>
            </w:tcMar>
            <w:vAlign w:val="center"/>
          </w:tcPr>
          <w:p>
            <w:pPr>
              <w:jc w:val="center"/>
            </w:pPr>
            <w:r>
              <w:rPr>
                <w:rFonts w:ascii="Arial" w:cs="Arial" w:eastAsia="Arial" w:hAnsi="Arial"/>
                <w:b/>
                <w:bCs/>
                <w:color w:val="C05000"/>
                <w:sz w:val="17"/>
                <w:szCs w:val="17"/>
              </w:rPr>
              <w:t xml:space="preserve">ÉLEVÉ</w:t>
            </w:r>
          </w:p>
        </w:tc>
        <w:tc>
          <w:tcPr>
            <w:tcW w:type="dxa" w:w="4366"/>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Lancer beta privée 50–100 utilisateurs avant lancement public. Mesurer rétention semaine 4, NPS, taux d'analyse complétée.</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R6</w:t>
            </w:r>
          </w:p>
        </w:tc>
        <w:tc>
          <w:tcPr>
            <w:tcW w:type="dxa" w:w="2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Boucle ex post (C-11) absente — rétention faible</w:t>
            </w:r>
          </w:p>
        </w:tc>
        <w:tc>
          <w:tcPr>
            <w:tcW w:type="dxa" w:w="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Produit</w:t>
            </w:r>
          </w:p>
        </w:tc>
        <w:tc>
          <w:tcPr>
            <w:tcW w:type="dxa" w:w="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Élevée</w:t>
            </w:r>
          </w:p>
        </w:tc>
        <w:tc>
          <w:tcPr>
            <w:tcW w:type="dxa" w:w="700"/>
            <w:tcBorders>
              <w:top w:val="single" w:color="BF8F00" w:sz="1"/>
              <w:left w:val="single" w:color="BF8F00" w:sz="1"/>
              <w:bottom w:val="single" w:color="BF8F00" w:sz="1"/>
              <w:right w:val="single" w:color="BF8F00" w:sz="1"/>
            </w:tcBorders>
            <w:shd w:fill="FFF2CC" w:val="clear"/>
            <w:tcMar>
              <w:top w:type="dxa" w:w="80"/>
              <w:left w:type="dxa" w:w="130"/>
              <w:bottom w:type="dxa" w:w="80"/>
              <w:right w:type="dxa" w:w="130"/>
            </w:tcMar>
            <w:vAlign w:val="center"/>
          </w:tcPr>
          <w:p>
            <w:pPr>
              <w:jc w:val="center"/>
            </w:pPr>
            <w:r>
              <w:rPr>
                <w:rFonts w:ascii="Arial" w:cs="Arial" w:eastAsia="Arial" w:hAnsi="Arial"/>
                <w:b/>
                <w:bCs/>
                <w:color w:val="BF8F00"/>
                <w:sz w:val="17"/>
                <w:szCs w:val="17"/>
              </w:rPr>
              <w:t xml:space="preserve">MOYEN</w:t>
            </w:r>
          </w:p>
        </w:tc>
        <w:tc>
          <w:tcPr>
            <w:tcW w:type="dxa" w:w="4366"/>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Construire batch nocturne ex post dans les 6 mois post-lancement. Infrastructure DB présente. Activer avant croissance.</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R9</w:t>
            </w:r>
          </w:p>
        </w:tc>
        <w:tc>
          <w:tcPr>
            <w:tcW w:type="dxa" w:w="2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Onboarding vide (C-05) → abandon J+1</w:t>
            </w:r>
          </w:p>
        </w:tc>
        <w:tc>
          <w:tcPr>
            <w:tcW w:type="dxa" w:w="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Produit</w:t>
            </w:r>
          </w:p>
        </w:tc>
        <w:tc>
          <w:tcPr>
            <w:tcW w:type="dxa" w:w="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Élevée</w:t>
            </w:r>
          </w:p>
        </w:tc>
        <w:tc>
          <w:tcPr>
            <w:tcW w:type="dxa" w:w="700"/>
            <w:tcBorders>
              <w:top w:val="single" w:color="BF8F00" w:sz="1"/>
              <w:left w:val="single" w:color="BF8F00" w:sz="1"/>
              <w:bottom w:val="single" w:color="BF8F00" w:sz="1"/>
              <w:right w:val="single" w:color="BF8F00" w:sz="1"/>
            </w:tcBorders>
            <w:shd w:fill="FFF2CC" w:val="clear"/>
            <w:tcMar>
              <w:top w:type="dxa" w:w="80"/>
              <w:left w:type="dxa" w:w="130"/>
              <w:bottom w:type="dxa" w:w="80"/>
              <w:right w:type="dxa" w:w="130"/>
            </w:tcMar>
            <w:vAlign w:val="center"/>
          </w:tcPr>
          <w:p>
            <w:pPr>
              <w:jc w:val="center"/>
            </w:pPr>
            <w:r>
              <w:rPr>
                <w:rFonts w:ascii="Arial" w:cs="Arial" w:eastAsia="Arial" w:hAnsi="Arial"/>
                <w:b/>
                <w:bCs/>
                <w:color w:val="BF8F00"/>
                <w:sz w:val="17"/>
                <w:szCs w:val="17"/>
              </w:rPr>
              <w:t xml:space="preserve">MOYEN</w:t>
            </w:r>
          </w:p>
        </w:tc>
        <w:tc>
          <w:tcPr>
            <w:tcW w:type="dxa" w:w="4366"/>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Construire écran onboarding-empty avec walkthrough avant lancement. Crucial pour la conversion inscription → première analyse.</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R10</w:t>
            </w:r>
          </w:p>
        </w:tc>
        <w:tc>
          <w:tcPr>
            <w:tcW w:type="dxa" w:w="2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11 arbitrations ouvertes (A-01 à A-11) bloquent BP</w:t>
            </w:r>
          </w:p>
        </w:tc>
        <w:tc>
          <w:tcPr>
            <w:tcW w:type="dxa" w:w="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Prod/GTM</w:t>
            </w:r>
          </w:p>
        </w:tc>
        <w:tc>
          <w:tcPr>
            <w:tcW w:type="dxa" w:w="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Élevée</w:t>
            </w:r>
          </w:p>
        </w:tc>
        <w:tc>
          <w:tcPr>
            <w:tcW w:type="dxa" w:w="700"/>
            <w:tcBorders>
              <w:top w:val="single" w:color="BF8F00" w:sz="1"/>
              <w:left w:val="single" w:color="BF8F00" w:sz="1"/>
              <w:bottom w:val="single" w:color="BF8F00" w:sz="1"/>
              <w:right w:val="single" w:color="BF8F00" w:sz="1"/>
            </w:tcBorders>
            <w:shd w:fill="FFF2CC" w:val="clear"/>
            <w:tcMar>
              <w:top w:type="dxa" w:w="80"/>
              <w:left w:type="dxa" w:w="130"/>
              <w:bottom w:type="dxa" w:w="80"/>
              <w:right w:type="dxa" w:w="130"/>
            </w:tcMar>
            <w:vAlign w:val="center"/>
          </w:tcPr>
          <w:p>
            <w:pPr>
              <w:jc w:val="center"/>
            </w:pPr>
            <w:r>
              <w:rPr>
                <w:rFonts w:ascii="Arial" w:cs="Arial" w:eastAsia="Arial" w:hAnsi="Arial"/>
                <w:b/>
                <w:bCs/>
                <w:color w:val="BF8F00"/>
                <w:sz w:val="17"/>
                <w:szCs w:val="17"/>
              </w:rPr>
              <w:t xml:space="preserve">MOYEN</w:t>
            </w:r>
          </w:p>
        </w:tc>
        <w:tc>
          <w:tcPr>
            <w:tcW w:type="dxa" w:w="4366"/>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Arbitrer A-01 (Admin vs SuperAdmin), A-07 (fenêtre ex post), A-09 (DAU), A-10 (CNIL) en priorité. Les autres peuvent attendre V1.1.</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R12</w:t>
            </w:r>
          </w:p>
        </w:tc>
        <w:tc>
          <w:tcPr>
            <w:tcW w:type="dxa" w:w="2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Dette tech T-01 : Services dépendent ViewModels</w:t>
            </w:r>
          </w:p>
        </w:tc>
        <w:tc>
          <w:tcPr>
            <w:tcW w:type="dxa" w:w="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Tech.</w:t>
            </w:r>
          </w:p>
        </w:tc>
        <w:tc>
          <w:tcPr>
            <w:tcW w:type="dxa" w:w="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Élevée</w:t>
            </w:r>
          </w:p>
        </w:tc>
        <w:tc>
          <w:tcPr>
            <w:tcW w:type="dxa" w:w="700"/>
            <w:tcBorders>
              <w:top w:val="single" w:color="BF8F00" w:sz="1"/>
              <w:left w:val="single" w:color="BF8F00" w:sz="1"/>
              <w:bottom w:val="single" w:color="BF8F00" w:sz="1"/>
              <w:right w:val="single" w:color="BF8F00" w:sz="1"/>
            </w:tcBorders>
            <w:shd w:fill="FFF2CC" w:val="clear"/>
            <w:tcMar>
              <w:top w:type="dxa" w:w="80"/>
              <w:left w:type="dxa" w:w="130"/>
              <w:bottom w:type="dxa" w:w="80"/>
              <w:right w:type="dxa" w:w="130"/>
            </w:tcMar>
            <w:vAlign w:val="center"/>
          </w:tcPr>
          <w:p>
            <w:pPr>
              <w:jc w:val="center"/>
            </w:pPr>
            <w:r>
              <w:rPr>
                <w:rFonts w:ascii="Arial" w:cs="Arial" w:eastAsia="Arial" w:hAnsi="Arial"/>
                <w:b/>
                <w:bCs/>
                <w:color w:val="BF8F00"/>
                <w:sz w:val="17"/>
                <w:szCs w:val="17"/>
              </w:rPr>
              <w:t xml:space="preserve">MOYEN</w:t>
            </w:r>
          </w:p>
        </w:tc>
        <w:tc>
          <w:tcPr>
            <w:tcW w:type="dxa" w:w="4366"/>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Ne pas étendre le couplage. Planifier refactoring contrats pour V1.1. Ne bloque pas V1 mais s'aggrave si ignoré.</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R13</w:t>
            </w:r>
          </w:p>
        </w:tc>
        <w:tc>
          <w:tcPr>
            <w:tcW w:type="dxa" w:w="2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Scalabilité : analyse synchrone → latence concurrente</w:t>
            </w:r>
          </w:p>
        </w:tc>
        <w:tc>
          <w:tcPr>
            <w:tcW w:type="dxa" w:w="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Tech.</w:t>
            </w:r>
          </w:p>
        </w:tc>
        <w:tc>
          <w:tcPr>
            <w:tcW w:type="dxa" w:w="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Faible V1</w:t>
            </w:r>
          </w:p>
        </w:tc>
        <w:tc>
          <w:tcPr>
            <w:tcW w:type="dxa" w:w="700"/>
            <w:tcBorders>
              <w:top w:val="single" w:color="BF8F00" w:sz="1"/>
              <w:left w:val="single" w:color="BF8F00" w:sz="1"/>
              <w:bottom w:val="single" w:color="BF8F00" w:sz="1"/>
              <w:right w:val="single" w:color="BF8F00" w:sz="1"/>
            </w:tcBorders>
            <w:shd w:fill="FFF2CC" w:val="clear"/>
            <w:tcMar>
              <w:top w:type="dxa" w:w="80"/>
              <w:left w:type="dxa" w:w="130"/>
              <w:bottom w:type="dxa" w:w="80"/>
              <w:right w:type="dxa" w:w="130"/>
            </w:tcMar>
            <w:vAlign w:val="center"/>
          </w:tcPr>
          <w:p>
            <w:pPr>
              <w:jc w:val="center"/>
            </w:pPr>
            <w:r>
              <w:rPr>
                <w:rFonts w:ascii="Arial" w:cs="Arial" w:eastAsia="Arial" w:hAnsi="Arial"/>
                <w:b/>
                <w:bCs/>
                <w:color w:val="BF8F00"/>
                <w:sz w:val="17"/>
                <w:szCs w:val="17"/>
              </w:rPr>
              <w:t xml:space="preserve">MOYEN</w:t>
            </w:r>
          </w:p>
        </w:tc>
        <w:tc>
          <w:tcPr>
            <w:tcW w:type="dxa" w:w="4366"/>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Acceptable V1 (faible concurrence initiale). Ajouter queue/batch pour V2. Monitorer latence dès 100 utilisateurs actifs.</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R15</w:t>
            </w:r>
          </w:p>
        </w:tc>
        <w:tc>
          <w:tcPr>
            <w:tcW w:type="dxa" w:w="2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Churn élevé sans ex post loop actif</w:t>
            </w:r>
          </w:p>
        </w:tc>
        <w:tc>
          <w:tcPr>
            <w:tcW w:type="dxa" w:w="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GTM</w:t>
            </w:r>
          </w:p>
        </w:tc>
        <w:tc>
          <w:tcPr>
            <w:tcW w:type="dxa" w:w="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Élevée</w:t>
            </w:r>
          </w:p>
        </w:tc>
        <w:tc>
          <w:tcPr>
            <w:tcW w:type="dxa" w:w="700"/>
            <w:tcBorders>
              <w:top w:val="single" w:color="BF8F00" w:sz="1"/>
              <w:left w:val="single" w:color="BF8F00" w:sz="1"/>
              <w:bottom w:val="single" w:color="BF8F00" w:sz="1"/>
              <w:right w:val="single" w:color="BF8F00" w:sz="1"/>
            </w:tcBorders>
            <w:shd w:fill="FFF2CC" w:val="clear"/>
            <w:tcMar>
              <w:top w:type="dxa" w:w="80"/>
              <w:left w:type="dxa" w:w="130"/>
              <w:bottom w:type="dxa" w:w="80"/>
              <w:right w:type="dxa" w:w="130"/>
            </w:tcMar>
            <w:vAlign w:val="center"/>
          </w:tcPr>
          <w:p>
            <w:pPr>
              <w:jc w:val="center"/>
            </w:pPr>
            <w:r>
              <w:rPr>
                <w:rFonts w:ascii="Arial" w:cs="Arial" w:eastAsia="Arial" w:hAnsi="Arial"/>
                <w:b/>
                <w:bCs/>
                <w:color w:val="BF8F00"/>
                <w:sz w:val="17"/>
                <w:szCs w:val="17"/>
              </w:rPr>
              <w:t xml:space="preserve">MOYEN</w:t>
            </w:r>
          </w:p>
        </w:tc>
        <w:tc>
          <w:tcPr>
            <w:tcW w:type="dxa" w:w="4366"/>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Mesurer churn dès beta. Si &gt;8%/mois à M3 sans ex post, prioriser C-11 en urgence. Seuil critique : LTV &lt; 12× CAC.</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R16</w:t>
            </w:r>
          </w:p>
        </w:tc>
        <w:tc>
          <w:tcPr>
            <w:tcW w:type="dxa" w:w="2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Données portfolio non chiffrées au repos</w:t>
            </w:r>
          </w:p>
        </w:tc>
        <w:tc>
          <w:tcPr>
            <w:tcW w:type="dxa" w:w="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Tech.</w:t>
            </w:r>
          </w:p>
        </w:tc>
        <w:tc>
          <w:tcPr>
            <w:tcW w:type="dxa" w:w="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Faible</w:t>
            </w:r>
          </w:p>
        </w:tc>
        <w:tc>
          <w:tcPr>
            <w:tcW w:type="dxa" w:w="700"/>
            <w:tcBorders>
              <w:top w:val="single" w:color="BF8F00" w:sz="1"/>
              <w:left w:val="single" w:color="BF8F00" w:sz="1"/>
              <w:bottom w:val="single" w:color="BF8F00" w:sz="1"/>
              <w:right w:val="single" w:color="BF8F00" w:sz="1"/>
            </w:tcBorders>
            <w:shd w:fill="FFF2CC" w:val="clear"/>
            <w:tcMar>
              <w:top w:type="dxa" w:w="80"/>
              <w:left w:type="dxa" w:w="130"/>
              <w:bottom w:type="dxa" w:w="80"/>
              <w:right w:type="dxa" w:w="130"/>
            </w:tcMar>
            <w:vAlign w:val="center"/>
          </w:tcPr>
          <w:p>
            <w:pPr>
              <w:jc w:val="center"/>
            </w:pPr>
            <w:r>
              <w:rPr>
                <w:rFonts w:ascii="Arial" w:cs="Arial" w:eastAsia="Arial" w:hAnsi="Arial"/>
                <w:b/>
                <w:bCs/>
                <w:color w:val="BF8F00"/>
                <w:sz w:val="17"/>
                <w:szCs w:val="17"/>
              </w:rPr>
              <w:t xml:space="preserve">MOYEN</w:t>
            </w:r>
          </w:p>
        </w:tc>
        <w:tc>
          <w:tcPr>
            <w:tcW w:type="dxa" w:w="4366"/>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Implémenter chiffrement at-rest des tables portfolio/transaction. Documenter incident plan (72h CNIL). Pen test avant lancement.</w:t>
            </w:r>
          </w:p>
        </w:tc>
      </w:tr>
      <w:tr>
        <w:tc>
          <w:tcPr>
            <w:tcW w:type="dxa" w:w="36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R17</w:t>
            </w:r>
          </w:p>
        </w:tc>
        <w:tc>
          <w:tcPr>
            <w:tcW w:type="dxa" w:w="22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AnalysisSnapshot table → 260k lignes/an</w:t>
            </w:r>
          </w:p>
        </w:tc>
        <w:tc>
          <w:tcPr>
            <w:tcW w:type="dxa" w:w="7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Tech.</w:t>
            </w:r>
          </w:p>
        </w:tc>
        <w:tc>
          <w:tcPr>
            <w:tcW w:type="dxa" w:w="7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Certaine</w:t>
            </w:r>
          </w:p>
        </w:tc>
        <w:tc>
          <w:tcPr>
            <w:tcW w:type="dxa" w:w="700"/>
            <w:tcBorders>
              <w:top w:val="single" w:color="507000" w:sz="1"/>
              <w:left w:val="single" w:color="507000" w:sz="1"/>
              <w:bottom w:val="single" w:color="507000" w:sz="1"/>
              <w:right w:val="single" w:color="507000" w:sz="1"/>
            </w:tcBorders>
            <w:shd w:fill="E2EFDA" w:val="clear"/>
            <w:tcMar>
              <w:top w:type="dxa" w:w="80"/>
              <w:left w:type="dxa" w:w="130"/>
              <w:bottom w:type="dxa" w:w="80"/>
              <w:right w:type="dxa" w:w="130"/>
            </w:tcMar>
            <w:vAlign w:val="center"/>
          </w:tcPr>
          <w:p>
            <w:pPr>
              <w:jc w:val="center"/>
            </w:pPr>
            <w:r>
              <w:rPr>
                <w:rFonts w:ascii="Arial" w:cs="Arial" w:eastAsia="Arial" w:hAnsi="Arial"/>
                <w:b/>
                <w:bCs/>
                <w:color w:val="507000"/>
                <w:sz w:val="17"/>
                <w:szCs w:val="17"/>
              </w:rPr>
              <w:t xml:space="preserve">FAIBLE</w:t>
            </w:r>
          </w:p>
        </w:tc>
        <w:tc>
          <w:tcPr>
            <w:tcW w:type="dxa" w:w="4366"/>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Créer indexes (instrumentId, createdAt) et (userId, createdAt) avant lancement. Gérable V1 ; vues matérialisées pour KPI V2.</w:t>
            </w:r>
          </w:p>
        </w:tc>
      </w:tr>
      <w:tr>
        <w:tc>
          <w:tcPr>
            <w:tcW w:type="dxa" w:w="36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R18</w:t>
            </w:r>
          </w:p>
        </w:tc>
        <w:tc>
          <w:tcPr>
            <w:tcW w:type="dxa" w:w="22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RGPD : absence export données (Art. 20)</w:t>
            </w:r>
          </w:p>
        </w:tc>
        <w:tc>
          <w:tcPr>
            <w:tcW w:type="dxa" w:w="7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Régl.</w:t>
            </w:r>
          </w:p>
        </w:tc>
        <w:tc>
          <w:tcPr>
            <w:tcW w:type="dxa" w:w="7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Moy.</w:t>
            </w:r>
          </w:p>
        </w:tc>
        <w:tc>
          <w:tcPr>
            <w:tcW w:type="dxa" w:w="700"/>
            <w:tcBorders>
              <w:top w:val="single" w:color="507000" w:sz="1"/>
              <w:left w:val="single" w:color="507000" w:sz="1"/>
              <w:bottom w:val="single" w:color="507000" w:sz="1"/>
              <w:right w:val="single" w:color="507000" w:sz="1"/>
            </w:tcBorders>
            <w:shd w:fill="E2EFDA" w:val="clear"/>
            <w:tcMar>
              <w:top w:type="dxa" w:w="80"/>
              <w:left w:type="dxa" w:w="130"/>
              <w:bottom w:type="dxa" w:w="80"/>
              <w:right w:type="dxa" w:w="130"/>
            </w:tcMar>
            <w:vAlign w:val="center"/>
          </w:tcPr>
          <w:p>
            <w:pPr>
              <w:jc w:val="center"/>
            </w:pPr>
            <w:r>
              <w:rPr>
                <w:rFonts w:ascii="Arial" w:cs="Arial" w:eastAsia="Arial" w:hAnsi="Arial"/>
                <w:b/>
                <w:bCs/>
                <w:color w:val="507000"/>
                <w:sz w:val="17"/>
                <w:szCs w:val="17"/>
              </w:rPr>
              <w:t xml:space="preserve">FAIBLE</w:t>
            </w:r>
          </w:p>
        </w:tc>
        <w:tc>
          <w:tcPr>
            <w:tcW w:type="dxa" w:w="4366"/>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Ajouter endpoint GET /account/data-export (portfolio + watchlist + historique) en JSON/CSV. Non bloquant au lancement mais à prévoir V1.1.</w:t>
            </w:r>
          </w:p>
        </w:tc>
      </w:tr>
    </w:tbl>
    <w:p>
      <w:pPr>
        <w:pBdr>
          <w:bottom w:val="single" w:color="2E75B6" w:sz="6" w:space="4"/>
        </w:pBdr>
        <w:spacing w:after="80" w:before="280"/>
      </w:pPr>
    </w:p>
    <w:p>
      <w:pPr>
        <w:spacing w:after="100" w:before="320"/>
      </w:pPr>
      <w:r>
        <w:rPr>
          <w:rFonts w:ascii="Arial" w:cs="Arial" w:eastAsia="Arial" w:hAnsi="Arial"/>
          <w:b/>
          <w:bCs/>
          <w:color w:val="1F3864"/>
          <w:sz w:val="34"/>
          <w:szCs w:val="34"/>
        </w:rPr>
        <w:t xml:space="preserve">Analyse détaillée par catégorie</w:t>
      </w:r>
    </w:p>
    <w:p>
      <w:pPr>
        <w:spacing w:after="80" w:before="220"/>
      </w:pPr>
      <w:r>
        <w:rPr>
          <w:rFonts w:ascii="Arial" w:cs="Arial" w:eastAsia="Arial" w:hAnsi="Arial"/>
          <w:b/>
          <w:bCs/>
          <w:color w:val="1F3864"/>
          <w:sz w:val="22"/>
          <w:szCs w:val="22"/>
        </w:rPr>
        <w:t xml:space="preserve">1. Risques réglementaires</w:t>
      </w:r>
    </w:p>
    <w:p>
      <w:pPr>
        <w:spacing w:after="60" w:before="160"/>
      </w:pPr>
      <w:r>
        <w:rPr>
          <w:rFonts w:ascii="Arial" w:cs="Arial" w:eastAsia="Arial" w:hAnsi="Arial"/>
          <w:b/>
          <w:bCs/>
          <w:color w:val="C00000"/>
          <w:sz w:val="19"/>
          <w:szCs w:val="19"/>
        </w:rPr>
        <w:t xml:space="preserve">R1 — Requalification AMF en CIF (CRITIQUE)</w:t>
      </w:r>
    </w:p>
    <w:p>
      <w:pPr>
        <w:spacing w:after="50" w:before="50"/>
      </w:pPr>
      <w:r>
        <w:rPr>
          <w:rFonts w:ascii="Arial" w:cs="Arial" w:eastAsia="Arial" w:hAnsi="Arial"/>
          <w:b/>
          <w:bCs/>
          <w:sz w:val="18"/>
          <w:szCs w:val="18"/>
        </w:rPr>
        <w:t xml:space="preserve">Le risque central : </w:t>
      </w:r>
      <w:r>
        <w:rPr>
          <w:rFonts w:ascii="Arial" w:cs="Arial" w:eastAsia="Arial" w:hAnsi="Arial"/>
          <w:sz w:val="18"/>
          <w:szCs w:val="18"/>
        </w:rPr>
        <w:t xml:space="preserve">L'article L541-1 du Code monétaire et financier définit le CIF comme toute personne fournissant « à titre de profession habituelle » des recommandations personnalisées sur des instruments financiers. PredictFinance utilise des verbes d'action contextualisés (</w:t>
      </w:r>
      <w:r>
        <w:rPr>
          <w:rFonts w:ascii="Arial" w:cs="Arial" w:eastAsia="Arial" w:hAnsi="Arial"/>
          <w:i/>
          <w:iCs/>
          <w:sz w:val="18"/>
          <w:szCs w:val="18"/>
        </w:rPr>
        <w:t xml:space="preserve">Acheter, Vendre, Conserver, Alléger</w:t>
      </w:r>
      <w:r>
        <w:rPr>
          <w:rFonts w:ascii="Arial" w:cs="Arial" w:eastAsia="Arial" w:hAnsi="Arial"/>
          <w:sz w:val="18"/>
          <w:szCs w:val="18"/>
        </w:rPr>
        <w:t xml:space="preserve">) modulés selon que l'utilisateur détient ou non le titre — ce qui constitue une personnalisation au sens de MIF 2.</w:t>
      </w:r>
    </w:p>
    <w:p>
      <w:pPr>
        <w:spacing w:after="50" w:before="50"/>
      </w:pPr>
      <w:r>
        <w:rPr>
          <w:rFonts w:ascii="Arial" w:cs="Arial" w:eastAsia="Arial" w:hAnsi="Arial"/>
          <w:sz w:val="18"/>
          <w:szCs w:val="18"/>
        </w:rPr>
        <w:t xml:space="preserve">Arguments de défense : (a) output déterministe et identique pour tous les utilisateurs avec les mêmes données, (b) explicitement présenté comme pédagogique, (c) pas d'accès aux comptes ni d'exécution d'ordres. Arguments de requalification : (a) contextualisation par holdings = personnalisation, (b) verbes prescriptifs = recommandation, (c) activité habituelle en production.</w:t>
      </w:r>
    </w:p>
    <w:p>
      <w:pPr>
        <w:spacing w:after="50" w:before="50"/>
      </w:pPr>
      <w:r>
        <w:rPr>
          <w:rFonts w:ascii="Arial" w:cs="Arial" w:eastAsia="Arial" w:hAnsi="Arial"/>
          <w:b/>
          <w:bCs/>
          <w:color w:val="C00000"/>
          <w:sz w:val="18"/>
          <w:szCs w:val="18"/>
        </w:rPr>
        <w:t xml:space="preserve">Action obligatoire : </w:t>
      </w:r>
      <w:r>
        <w:rPr>
          <w:rFonts w:ascii="Arial" w:cs="Arial" w:eastAsia="Arial" w:hAnsi="Arial"/>
          <w:sz w:val="18"/>
          <w:szCs w:val="18"/>
        </w:rPr>
        <w:t xml:space="preserve">Consultation d'un avocat spécialisé AMF/MIF 2 AVANT tout lancement commercial. Budget estimé : €2 000–8 000. Retard acceptable sur le lancement : 1–3 mois.</w:t>
      </w:r>
    </w:p>
    <w:p>
      <w:pPr>
        <w:spacing w:after="60" w:before="160"/>
      </w:pPr>
      <w:r>
        <w:rPr>
          <w:rFonts w:ascii="Arial" w:cs="Arial" w:eastAsia="Arial" w:hAnsi="Arial"/>
          <w:b/>
          <w:bCs/>
          <w:color w:val="C05000"/>
          <w:sz w:val="19"/>
          <w:szCs w:val="19"/>
        </w:rPr>
        <w:t xml:space="preserve">R2 — RGPD Art. 17 : Suppression de compte absente (ÉLEVÉ)</w:t>
      </w:r>
    </w:p>
    <w:p>
      <w:pPr>
        <w:spacing w:after="50" w:before="50"/>
      </w:pPr>
      <w:r>
        <w:rPr>
          <w:rFonts w:ascii="Arial" w:cs="Arial" w:eastAsia="Arial" w:hAnsi="Arial"/>
          <w:sz w:val="18"/>
          <w:szCs w:val="18"/>
        </w:rPr>
        <w:t xml:space="preserve">Aucun flux de suppression de compte n'est documenté ni implémenté. Le droit à l'effacement (RGPD Art. 17) est une obligation légale non discrétionnaire. Une plainte à la CNIL peut entraîner une amende jusqu'à 4% du chiffre d'affaires mondial ou €20M. Décision à arbitrer : suppression auto-service (préférable UX) vs. demande admin (plus simple techniquement). Sort des snapshots : anonymisation immédiate ou délai de 30 jours.</w:t>
      </w:r>
    </w:p>
    <w:p>
      <w:pPr>
        <w:spacing w:after="60" w:before="160"/>
      </w:pPr>
      <w:r>
        <w:rPr>
          <w:rFonts w:ascii="Arial" w:cs="Arial" w:eastAsia="Arial" w:hAnsi="Arial"/>
          <w:b/>
          <w:bCs/>
          <w:color w:val="C05000"/>
          <w:sz w:val="19"/>
          <w:szCs w:val="19"/>
        </w:rPr>
        <w:t xml:space="preserve">R7 — Logs Analytic non anonymisés (ÉLEVÉ)</w:t>
      </w:r>
    </w:p>
    <w:p>
      <w:pPr>
        <w:spacing w:after="50" w:before="50"/>
      </w:pPr>
      <w:r>
        <w:rPr>
          <w:rFonts w:ascii="Arial" w:cs="Arial" w:eastAsia="Arial" w:hAnsi="Arial"/>
          <w:sz w:val="18"/>
          <w:szCs w:val="18"/>
        </w:rPr>
        <w:t xml:space="preserve">La table Analytic stocke IP + userId en clair. Selon les standards CNIL (délibération 2020-091), les données de connexion nominatives doivent être anonymisées après 13 mois maximum. Ce n'est pas une recommandation — c'est une obligation. L'arbitration A-10 est marquée « À-ARBITRER » dans la spec mais doit être tranchée et implémentée avant ouverture au public.</w:t>
      </w:r>
    </w:p>
    <w:p>
      <w:pPr>
        <w:spacing w:after="60" w:before="160"/>
      </w:pPr>
      <w:r>
        <w:rPr>
          <w:rFonts w:ascii="Arial" w:cs="Arial" w:eastAsia="Arial" w:hAnsi="Arial"/>
          <w:b/>
          <w:bCs/>
          <w:color w:val="C05000"/>
          <w:sz w:val="19"/>
          <w:szCs w:val="19"/>
        </w:rPr>
        <w:t xml:space="preserve">R11 — Responsabilité information PEA (ÉLEVÉ)</w:t>
      </w:r>
    </w:p>
    <w:p>
      <w:pPr>
        <w:spacing w:after="50" w:before="50"/>
      </w:pPr>
      <w:r>
        <w:rPr>
          <w:rFonts w:ascii="Arial" w:cs="Arial" w:eastAsia="Arial" w:hAnsi="Arial"/>
          <w:sz w:val="18"/>
          <w:szCs w:val="18"/>
        </w:rPr>
        <w:t xml:space="preserve">Si le registre interne indique ConfirmedEligible pour un instrument qui ne l'est pas (changement législatif, erreur de saisie), l'utilisateur peut acheter en PEA et subir une clôture forcée ou une perte de l'avantage fiscal. Mitigation en place : checkedUtc, policyVersion, état Unknown jamais traité comme éligible. À renforcer : disclaimer visible sur chaque affichage de statut PEA + mention CGU.</w:t>
      </w:r>
    </w:p>
    <w:p>
      <w:pPr>
        <w:spacing w:after="80" w:before="220"/>
      </w:pPr>
      <w:r>
        <w:rPr>
          <w:rFonts w:ascii="Arial" w:cs="Arial" w:eastAsia="Arial" w:hAnsi="Arial"/>
          <w:b/>
          <w:bCs/>
          <w:color w:val="1F3864"/>
          <w:sz w:val="22"/>
          <w:szCs w:val="22"/>
        </w:rPr>
        <w:t xml:space="preserve">2. Risques produit et marché</w:t>
      </w:r>
    </w:p>
    <w:p>
      <w:pPr>
        <w:spacing w:after="60" w:before="160"/>
      </w:pPr>
      <w:r>
        <w:rPr>
          <w:rFonts w:ascii="Arial" w:cs="Arial" w:eastAsia="Arial" w:hAnsi="Arial"/>
          <w:b/>
          <w:bCs/>
          <w:color w:val="C05000"/>
          <w:sz w:val="19"/>
          <w:szCs w:val="19"/>
        </w:rPr>
        <w:t xml:space="preserve">R5 — Différenciateurs pédagogiques absents (ÉLEVÉ)</w:t>
      </w:r>
    </w:p>
    <w:p>
      <w:pPr>
        <w:spacing w:after="50" w:before="50"/>
      </w:pPr>
      <w:r>
        <w:rPr>
          <w:rFonts w:ascii="Arial" w:cs="Arial" w:eastAsia="Arial" w:hAnsi="Arial"/>
          <w:sz w:val="18"/>
          <w:szCs w:val="18"/>
        </w:rPr>
        <w:t xml:space="preserve">Plan d'Action (C-09) et Décomposition de la Confiance (C-08) sont à zéro en développement. Ces deux surfaces constituent l'argument central de différenciation de PredictFinance vis-à-vis des screeners généralistes. Si le lancement s'effectue sans elles, le produit est perçu comme un outil de signaux techniques avec filtres France — indiscernable de TradingView. La valeur pédagogique promise dans le positionnement n'est pas livrable.</w:t>
      </w:r>
    </w:p>
    <w:p>
      <w:pPr>
        <w:pStyle w:val="ListParagraph"/>
        <w:numPr>
          <w:ilvl w:val="0"/>
          <w:numId w:val="2"/>
        </w:numPr>
        <w:spacing w:after="35" w:before="35"/>
      </w:pPr>
      <w:r>
        <w:rPr>
          <w:rFonts w:ascii="Arial" w:cs="Arial" w:eastAsia="Arial" w:hAnsi="Arial"/>
          <w:b w:val="false"/>
          <w:bCs w:val="false"/>
          <w:color w:val="333333"/>
          <w:sz w:val="18"/>
          <w:szCs w:val="18"/>
        </w:rPr>
        <w:t xml:space="preserve">Impact sur rétention : sans C-09, l'utilisateur reçoit un verdict (Acheter) sans les étapes ; il ne comprend pas et ne revient pas.</w:t>
      </w:r>
    </w:p>
    <w:p>
      <w:pPr>
        <w:pStyle w:val="ListParagraph"/>
        <w:numPr>
          <w:ilvl w:val="0"/>
          <w:numId w:val="2"/>
        </w:numPr>
        <w:spacing w:after="35" w:before="35"/>
      </w:pPr>
      <w:r>
        <w:rPr>
          <w:rFonts w:ascii="Arial" w:cs="Arial" w:eastAsia="Arial" w:hAnsi="Arial"/>
          <w:b w:val="false"/>
          <w:bCs w:val="false"/>
          <w:color w:val="333333"/>
          <w:sz w:val="18"/>
          <w:szCs w:val="18"/>
        </w:rPr>
        <w:t xml:space="preserve">Impact sur confiance : sans C-08, l'utilisateur ne peut évaluer la solidité du signal ; il sur-interprète ou ignore.</w:t>
      </w:r>
    </w:p>
    <w:p>
      <w:pPr>
        <w:pStyle w:val="ListParagraph"/>
        <w:numPr>
          <w:ilvl w:val="0"/>
          <w:numId w:val="2"/>
        </w:numPr>
        <w:spacing w:after="35" w:before="35"/>
      </w:pPr>
      <w:r>
        <w:rPr>
          <w:rFonts w:ascii="Arial" w:cs="Arial" w:eastAsia="Arial" w:hAnsi="Arial"/>
          <w:b w:val="false"/>
          <w:bCs w:val="false"/>
          <w:color w:val="333333"/>
          <w:sz w:val="18"/>
          <w:szCs w:val="18"/>
        </w:rPr>
        <w:t xml:space="preserve">Priorité : P0 absolue — à construire avant toute acquisition.</w:t>
      </w:r>
    </w:p>
    <w:p>
      <w:pPr>
        <w:spacing w:after="60" w:before="160"/>
      </w:pPr>
      <w:r>
        <w:rPr>
          <w:rFonts w:ascii="Arial" w:cs="Arial" w:eastAsia="Arial" w:hAnsi="Arial"/>
          <w:b/>
          <w:bCs/>
          <w:color w:val="C05000"/>
          <w:sz w:val="19"/>
          <w:szCs w:val="19"/>
        </w:rPr>
        <w:t xml:space="preserve">R6 — Boucle ex post absente (MOYEN — risque rétention critique)</w:t>
      </w:r>
    </w:p>
    <w:p>
      <w:pPr>
        <w:spacing w:after="50" w:before="50"/>
      </w:pPr>
      <w:r>
        <w:rPr>
          <w:rFonts w:ascii="Arial" w:cs="Arial" w:eastAsia="Arial" w:hAnsi="Arial"/>
          <w:sz w:val="18"/>
          <w:szCs w:val="18"/>
        </w:rPr>
        <w:t xml:space="preserve">La boucle ex post (C-11) évalue automatiquement si les analyses passées ont atteint leur TARGET_HIT ou déclenché leur INVALIDATION_HIT. C'est le principal mécanisme de création de confiance basée sur des preuves — sans lequel l'utilisateur ne peut jamais vérifier si le produit fonctionne. L'infrastructure DB est présente (PriceHistory, TargetPrice, InvalidationPrice). Le batch job d'évaluation reste à construire.</w:t>
      </w:r>
    </w:p>
    <w:p>
      <w:pPr>
        <w:pStyle w:val="ListParagraph"/>
        <w:numPr>
          <w:ilvl w:val="0"/>
          <w:numId w:val="2"/>
        </w:numPr>
        <w:spacing w:after="35" w:before="35"/>
      </w:pPr>
      <w:r>
        <w:rPr>
          <w:rFonts w:ascii="Arial" w:cs="Arial" w:eastAsia="Arial" w:hAnsi="Arial"/>
          <w:b w:val="false"/>
          <w:bCs w:val="false"/>
          <w:color w:val="333333"/>
          <w:sz w:val="18"/>
          <w:szCs w:val="18"/>
        </w:rPr>
        <w:t xml:space="preserve">Churn estimé sans ex post : &gt;8%/mois (utilisateur ne voit pas de valeur prouvée après 4 semaines).</w:t>
      </w:r>
    </w:p>
    <w:p>
      <w:pPr>
        <w:pStyle w:val="ListParagraph"/>
        <w:numPr>
          <w:ilvl w:val="0"/>
          <w:numId w:val="2"/>
        </w:numPr>
        <w:spacing w:after="35" w:before="35"/>
      </w:pPr>
      <w:r>
        <w:rPr>
          <w:rFonts w:ascii="Arial" w:cs="Arial" w:eastAsia="Arial" w:hAnsi="Arial"/>
          <w:b w:val="false"/>
          <w:bCs w:val="false"/>
          <w:color w:val="333333"/>
          <w:sz w:val="18"/>
          <w:szCs w:val="18"/>
        </w:rPr>
        <w:t xml:space="preserve">Churn estimé avec ex post : potentiellement &lt; 3%/mois (utilisateur voit ses analyses validées ou invalidées = engagement).</w:t>
      </w:r>
    </w:p>
    <w:p>
      <w:pPr>
        <w:spacing w:after="60" w:before="160"/>
      </w:pPr>
      <w:r>
        <w:rPr>
          <w:rFonts w:ascii="Arial" w:cs="Arial" w:eastAsia="Arial" w:hAnsi="Arial"/>
          <w:b/>
          <w:bCs/>
          <w:color w:val="C05000"/>
          <w:sz w:val="19"/>
          <w:szCs w:val="19"/>
        </w:rPr>
        <w:t xml:space="preserve">R14 — Pas de validation marché documentée (ÉLEVÉ)</w:t>
      </w:r>
    </w:p>
    <w:p>
      <w:pPr>
        <w:spacing w:after="50" w:before="50"/>
      </w:pPr>
      <w:r>
        <w:rPr>
          <w:rFonts w:ascii="Arial" w:cs="Arial" w:eastAsia="Arial" w:hAnsi="Arial"/>
          <w:sz w:val="18"/>
          <w:szCs w:val="18"/>
        </w:rPr>
        <w:t xml:space="preserve">Aucun utilisateur beta, aucun NPS, aucune donnée de rétention. Le produit est construit sur des hypothèses non validées : les débutants français veulent cet outil, comprennent les 4 patterns, reviennent après la première analyse. Beta privée de 50–100 utilisateurs avant lancement est une étape non-négociable pour éviter un product-market fit raté.</w:t>
      </w:r>
    </w:p>
    <w:p>
      <w:pPr>
        <w:spacing w:after="80" w:before="220"/>
      </w:pPr>
      <w:r>
        <w:rPr>
          <w:rFonts w:ascii="Arial" w:cs="Arial" w:eastAsia="Arial" w:hAnsi="Arial"/>
          <w:b/>
          <w:bCs/>
          <w:color w:val="1F3864"/>
          <w:sz w:val="22"/>
          <w:szCs w:val="22"/>
        </w:rPr>
        <w:t xml:space="preserve">3. Risques techniques</w:t>
      </w:r>
    </w:p>
    <w:p>
      <w:pPr>
        <w:spacing w:after="60" w:before="160"/>
      </w:pPr>
      <w:r>
        <w:rPr>
          <w:rFonts w:ascii="Arial" w:cs="Arial" w:eastAsia="Arial" w:hAnsi="Arial"/>
          <w:b/>
          <w:bCs/>
          <w:color w:val="C05000"/>
          <w:sz w:val="19"/>
          <w:szCs w:val="19"/>
        </w:rPr>
        <w:t xml:space="preserve">R4 — Fournisseur de données non identifié (ÉLEVÉ)</w:t>
      </w:r>
    </w:p>
    <w:p>
      <w:pPr>
        <w:spacing w:after="50" w:before="50"/>
      </w:pPr>
      <w:r>
        <w:rPr>
          <w:rFonts w:ascii="Arial" w:cs="Arial" w:eastAsia="Arial" w:hAnsi="Arial"/>
          <w:sz w:val="18"/>
          <w:szCs w:val="18"/>
        </w:rPr>
        <w:t xml:space="preserve">Le fournisseur de données de cours (prix historiques quotidiens pour les actions françaises) n'est pas nommé dans la documentation. Trois risques concrets : (1) droits de redistribution non validés — exposer des données de cours à des tiers peut nécessiter une licence commerciale ; (2) continuité de service non garantie — si le fournisseur change ses tarifs ou son API, le produit est bloqué ; (3) couverture des small caps françaises — beaucoup de fournisseurs bon marché ne couvrent pas la cote complète d'Euronext Paris.</w:t>
      </w:r>
    </w:p>
    <w:p>
      <w:pPr>
        <w:spacing w:after="60" w:before="160"/>
      </w:pPr>
      <w:r>
        <w:rPr>
          <w:rFonts w:ascii="Arial" w:cs="Arial" w:eastAsia="Arial" w:hAnsi="Arial"/>
          <w:b/>
          <w:bCs/>
          <w:color w:val="BF8F00"/>
          <w:sz w:val="19"/>
          <w:szCs w:val="19"/>
        </w:rPr>
        <w:t xml:space="preserve">R12 — Dette tech T-01 : Services dépendent ViewModels (MOYEN)</w:t>
      </w:r>
    </w:p>
    <w:p>
      <w:pPr>
        <w:spacing w:after="50" w:before="50"/>
      </w:pPr>
      <w:r>
        <w:rPr>
          <w:rFonts w:ascii="Arial" w:cs="Arial" w:eastAsia="Arial" w:hAnsi="Arial"/>
          <w:sz w:val="18"/>
          <w:szCs w:val="18"/>
        </w:rPr>
        <w:t xml:space="preserve">Les services métiers dépendent des ViewModels (DTOs de l'API), ce qui inverse le couplage naturel. Conséquence : chaque changement de contrat API force une modification des services métiers. Ne bloque pas V1 mais génère de la friction à chaque évolution. Plan : ne pas étendre ce couplage ; introduire des contracts dédiés (projet BackPredictFinance.Contracts) en V1.1.</w:t>
      </w:r>
    </w:p>
    <w:p>
      <w:pPr>
        <w:spacing w:after="60" w:before="160"/>
      </w:pPr>
      <w:r>
        <w:rPr>
          <w:rFonts w:ascii="Arial" w:cs="Arial" w:eastAsia="Arial" w:hAnsi="Arial"/>
          <w:b/>
          <w:bCs/>
          <w:color w:val="BF8F00"/>
          <w:sz w:val="19"/>
          <w:szCs w:val="19"/>
        </w:rPr>
        <w:t xml:space="preserve">R13 — Scalabilité : analyse synchrone (MOYEN)</w:t>
      </w:r>
    </w:p>
    <w:p>
      <w:pPr>
        <w:spacing w:after="50" w:before="50"/>
      </w:pPr>
      <w:r>
        <w:rPr>
          <w:rFonts w:ascii="Arial" w:cs="Arial" w:eastAsia="Arial" w:hAnsi="Arial"/>
          <w:sz w:val="18"/>
          <w:szCs w:val="18"/>
        </w:rPr>
        <w:t xml:space="preserve">L'orchestrateur d'analyse est synchrone : la requête HTTP attend la fin complète de l'analyse avant de répondre. Acceptable pour une base V1 faible (&lt;100 utilisateurs simultanés). Risque de latence perceptible dès 200–300 utilisateurs actifs simultanés, surtout sur analyse d'instruments avec long historique. Mitigation V2 : queue asynchrone + batch nocturne planifié.</w:t>
      </w:r>
    </w:p>
    <w:p>
      <w:pPr>
        <w:spacing w:after="80" w:before="220"/>
      </w:pPr>
      <w:r>
        <w:rPr>
          <w:rFonts w:ascii="Arial" w:cs="Arial" w:eastAsia="Arial" w:hAnsi="Arial"/>
          <w:b/>
          <w:bCs/>
          <w:color w:val="1F3864"/>
          <w:sz w:val="22"/>
          <w:szCs w:val="22"/>
        </w:rPr>
        <w:t xml:space="preserve">4. Risques go-to-market</w:t>
      </w:r>
    </w:p>
    <w:p>
      <w:pPr>
        <w:spacing w:after="60" w:before="160"/>
      </w:pPr>
      <w:r>
        <w:rPr>
          <w:rFonts w:ascii="Arial" w:cs="Arial" w:eastAsia="Arial" w:hAnsi="Arial"/>
          <w:b/>
          <w:bCs/>
          <w:color w:val="C00000"/>
          <w:sz w:val="19"/>
          <w:szCs w:val="19"/>
        </w:rPr>
        <w:t xml:space="preserve">R3 — Modèle économique décidé : €4,90/mois HT (RÉSOLU 2026-05-28)</w:t>
      </w:r>
    </w:p>
    <w:p>
      <w:pPr>
        <w:spacing w:after="50" w:before="50"/>
      </w:pPr>
      <w:r>
        <w:rPr>
          <w:rFonts w:ascii="Arial" w:cs="Arial" w:eastAsia="Arial" w:hAnsi="Arial"/>
          <w:sz w:val="18"/>
          <w:szCs w:val="18"/>
        </w:rPr>
        <w:t xml:space="preserve">Décision arrêtée le 2026-05-28 : abonnement SaaS B2C à €4,90/mois HT. Ce prix positionne PredictFinance en entrée de gamme par rapport aux comparables (Zonebourse Pro ~€15/mois, Stockopedia €25/mois). Prochaines étapes : calculer le break-even selon les coûts fournisseur de données retenus, et arbitrer les options freemium (essai gratuit, plan annuel, limite d'analyses).</w:t>
      </w:r>
    </w:p>
    <w:p>
      <w:pPr>
        <w:pStyle w:val="ListParagraph"/>
        <w:numPr>
          <w:ilvl w:val="0"/>
          <w:numId w:val="2"/>
        </w:numPr>
        <w:spacing w:after="35" w:before="35"/>
      </w:pPr>
      <w:r>
        <w:rPr>
          <w:rFonts w:ascii="Arial" w:cs="Arial" w:eastAsia="Arial" w:hAnsi="Arial"/>
          <w:b w:val="false"/>
          <w:bCs w:val="false"/>
          <w:color w:val="333333"/>
          <w:sz w:val="18"/>
          <w:szCs w:val="18"/>
        </w:rPr>
        <w:t xml:space="preserve">Prix décidé : €4,90/mois HT — LTV ~€98 sans ex post (churn ~5%/mois), ~€245 avec ex post actif (churn ~2%/mois)</w:t>
      </w:r>
    </w:p>
    <w:p>
      <w:pPr>
        <w:pStyle w:val="ListParagraph"/>
        <w:numPr>
          <w:ilvl w:val="0"/>
          <w:numId w:val="2"/>
        </w:numPr>
        <w:spacing w:after="35" w:before="35"/>
      </w:pPr>
      <w:r>
        <w:rPr>
          <w:rFonts w:ascii="Arial" w:cs="Arial" w:eastAsia="Arial" w:hAnsi="Arial"/>
          <w:b w:val="false"/>
          <w:bCs w:val="false"/>
          <w:color w:val="333333"/>
          <w:sz w:val="18"/>
          <w:szCs w:val="18"/>
        </w:rPr>
        <w:t xml:space="preserve">Projections ARR : Bull 5 000×€4,90×12=€294k (EV ~€882k) ; Base 1 000×€4,90×12=€58,8k (EV ~€176k) ; Bear €30k (EV ~€90k) ; EV pondéré ~€460k</w:t>
      </w:r>
    </w:p>
    <w:p>
      <w:pPr>
        <w:pStyle w:val="ListParagraph"/>
        <w:numPr>
          <w:ilvl w:val="0"/>
          <w:numId w:val="2"/>
        </w:numPr>
        <w:spacing w:after="35" w:before="35"/>
      </w:pPr>
      <w:r>
        <w:rPr>
          <w:rFonts w:ascii="Arial" w:cs="Arial" w:eastAsia="Arial" w:hAnsi="Arial"/>
          <w:b w:val="false"/>
          <w:bCs w:val="false"/>
          <w:color w:val="333333"/>
          <w:sz w:val="18"/>
          <w:szCs w:val="18"/>
        </w:rPr>
        <w:t xml:space="preserve">Option B2B : integration courtier (Fortuneo, Bourse Direct) — plus lente mais LTV plus élevé</w:t>
      </w:r>
    </w:p>
    <w:p>
      <w:pPr>
        <w:pStyle w:val="ListParagraph"/>
        <w:numPr>
          <w:ilvl w:val="0"/>
          <w:numId w:val="2"/>
        </w:numPr>
        <w:spacing w:after="35" w:before="35"/>
      </w:pPr>
      <w:r>
        <w:rPr>
          <w:rFonts w:ascii="Arial" w:cs="Arial" w:eastAsia="Arial" w:hAnsi="Arial"/>
          <w:b w:val="false"/>
          <w:bCs w:val="false"/>
          <w:color w:val="333333"/>
          <w:sz w:val="18"/>
          <w:szCs w:val="18"/>
        </w:rPr>
        <w:t xml:space="preserve">Sensibilité LTV : LTV = ARPU / churn = €4,90/0,05 = ~€98/utilisateur sans ex post (churn ~5%/mois) ; ~€245/utilisateur avec ex post actif (churn ~2%/mois, source : R6)</w:t>
      </w:r>
    </w:p>
    <w:p>
      <w:pPr>
        <w:spacing w:after="60" w:before="160"/>
      </w:pPr>
      <w:r>
        <w:rPr>
          <w:rFonts w:ascii="Arial" w:cs="Arial" w:eastAsia="Arial" w:hAnsi="Arial"/>
          <w:b/>
          <w:bCs/>
          <w:color w:val="C05000"/>
          <w:sz w:val="19"/>
          <w:szCs w:val="19"/>
        </w:rPr>
        <w:t xml:space="preserve">R8 — Stratégie d'acquisition absente (ÉLEVÉ)</w:t>
      </w:r>
    </w:p>
    <w:p>
      <w:pPr>
        <w:spacing w:after="50" w:before="50"/>
      </w:pPr>
      <w:r>
        <w:rPr>
          <w:rFonts w:ascii="Arial" w:cs="Arial" w:eastAsia="Arial" w:hAnsi="Arial"/>
          <w:sz w:val="18"/>
          <w:szCs w:val="18"/>
        </w:rPr>
        <w:t xml:space="preserve">Aucune stratégie d'acquisition n'est documentée. Pour un SaaS B2C niche, les canaux viables sont : SEO/contenu éducatif (long terme, fort pour la niche débutants), communautés Reddit FR/Discord investissement, YouTube finance personnelle, partenariats avec newsletters finance (JDC, Snowball). Sans canal prioritaire, la croissance post-lancement est imprévisible.</w:t>
      </w:r>
    </w:p>
    <w:p>
      <w:pPr>
        <w:pBdr>
          <w:bottom w:val="single" w:color="2E75B6" w:sz="6" w:space="4"/>
        </w:pBdr>
        <w:spacing w:after="80" w:before="280"/>
      </w:pPr>
    </w:p>
    <w:p>
      <w:pPr>
        <w:spacing w:after="100" w:before="320"/>
      </w:pPr>
      <w:r>
        <w:rPr>
          <w:rFonts w:ascii="Arial" w:cs="Arial" w:eastAsia="Arial" w:hAnsi="Arial"/>
          <w:b/>
          <w:bCs/>
          <w:color w:val="1F3864"/>
          <w:sz w:val="34"/>
          <w:szCs w:val="34"/>
        </w:rPr>
        <w:t xml:space="preserve">Feuille de route de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2700"/>
        <w:gridCol w:w="2426"/>
      </w:tblGrid>
      <w:tr>
        <w:tc>
          <w:tcPr>
            <w:tcW w:type="dxa" w:w="11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7"/>
                <w:szCs w:val="17"/>
              </w:rPr>
              <w:t xml:space="preserve">Horizon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7"/>
                <w:szCs w:val="17"/>
              </w:rPr>
              <w:t xml:space="preserve">Action</w:t>
            </w:r>
          </w:p>
        </w:tc>
        <w:tc>
          <w:tcPr>
            <w:tcW w:type="dxa" w:w="27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7"/>
                <w:szCs w:val="17"/>
              </w:rPr>
              <w:t xml:space="preserve">Risques adressés</w:t>
            </w:r>
          </w:p>
        </w:tc>
        <w:tc>
          <w:tcPr>
            <w:tcW w:type="dxa" w:w="2426"/>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7"/>
                <w:szCs w:val="17"/>
              </w:rPr>
              <w:t xml:space="preserve">Livrable attendu</w:t>
            </w:r>
          </w:p>
        </w:tc>
      </w:tr>
      <w:tr>
        <w:tc>
          <w:tcPr>
            <w:tcW w:type="dxa" w:w="11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b/>
                <w:bCs/>
                <w:color w:val="C00000"/>
                <w:sz w:val="16"/>
                <w:szCs w:val="16"/>
              </w:rPr>
              <w:t xml:space="preserve">Immédiat
(0–4 sem.)</w:t>
            </w:r>
          </w:p>
        </w:tc>
        <w:tc>
          <w:tcPr>
            <w:tcW w:type="dxa" w:w="28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Consulter avocat AMF/MIF 2</w:t>
            </w:r>
          </w:p>
        </w:tc>
        <w:tc>
          <w:tcPr>
            <w:tcW w:type="dxa" w:w="27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R1 — CIF requalification</w:t>
            </w:r>
          </w:p>
        </w:tc>
        <w:tc>
          <w:tcPr>
            <w:tcW w:type="dxa" w:w="2426"/>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Avis juridique écrit</w:t>
            </w:r>
          </w:p>
        </w:tc>
      </w:tr>
      <w:tr>
        <w:tc>
          <w:tcPr>
            <w:tcW w:type="dxa" w:w="11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
            </w:r>
          </w:p>
        </w:tc>
        <w:tc>
          <w:tcPr>
            <w:tcW w:type="dxa" w:w="28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Nommer et contractualiser fournisseur données</w:t>
            </w:r>
          </w:p>
        </w:tc>
        <w:tc>
          <w:tcPr>
            <w:tcW w:type="dxa" w:w="27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R4 — Continuité service</w:t>
            </w:r>
          </w:p>
        </w:tc>
        <w:tc>
          <w:tcPr>
            <w:tcW w:type="dxa" w:w="2426"/>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Contrat signé + couverture validée</w:t>
            </w:r>
          </w:p>
        </w:tc>
      </w:tr>
      <w:tr>
        <w:tc>
          <w:tcPr>
            <w:tcW w:type="dxa" w:w="11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
            </w:r>
          </w:p>
        </w:tc>
        <w:tc>
          <w:tcPr>
            <w:tcW w:type="dxa" w:w="28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Break-even calculé ; arbitrer freemium/annuel/essai (€4,90/mois HT décidé)</w:t>
            </w:r>
          </w:p>
        </w:tc>
        <w:tc>
          <w:tcPr>
            <w:tcW w:type="dxa" w:w="27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R3 — Pricing décidé 2026-05-28</w:t>
            </w:r>
          </w:p>
        </w:tc>
        <w:tc>
          <w:tcPr>
            <w:tcW w:type="dxa" w:w="2426"/>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Document de décision</w:t>
            </w:r>
          </w:p>
        </w:tc>
      </w:tr>
      <w:tr>
        <w:tc>
          <w:tcPr>
            <w:tcW w:type="dxa" w:w="11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b/>
                <w:bCs/>
                <w:color w:val="C05000"/>
                <w:sz w:val="16"/>
                <w:szCs w:val="16"/>
              </w:rPr>
              <w:t xml:space="preserve">Court terme
(1–3 mois)</w:t>
            </w:r>
          </w:p>
        </w:tc>
        <w:tc>
          <w:tcPr>
            <w:tcW w:type="dxa" w:w="28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Construire Plan d'Action (C-09) + Confidence Breakdown (C-08)</w:t>
            </w:r>
          </w:p>
        </w:tc>
        <w:tc>
          <w:tcPr>
            <w:tcW w:type="dxa" w:w="2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R5 — Moat pédagogique</w:t>
            </w:r>
          </w:p>
        </w:tc>
        <w:tc>
          <w:tcPr>
            <w:tcW w:type="dxa" w:w="2426"/>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Surfaces livrées + intégrées à l'analyse</w:t>
            </w:r>
          </w:p>
        </w:tc>
      </w:tr>
      <w:tr>
        <w:tc>
          <w:tcPr>
            <w:tcW w:type="dxa" w:w="11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
            </w:r>
          </w:p>
        </w:tc>
        <w:tc>
          <w:tcPr>
            <w:tcW w:type="dxa" w:w="28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Implémenter flux suppression compte + export RGPD</w:t>
            </w:r>
          </w:p>
        </w:tc>
        <w:tc>
          <w:tcPr>
            <w:tcW w:type="dxa" w:w="2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R2 — RGPD Art.17 + R18 — Art.20</w:t>
            </w:r>
          </w:p>
        </w:tc>
        <w:tc>
          <w:tcPr>
            <w:tcW w:type="dxa" w:w="2426"/>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Endpoint DELETE /account + GET /account/data-export</w:t>
            </w:r>
          </w:p>
        </w:tc>
      </w:tr>
      <w:tr>
        <w:tc>
          <w:tcPr>
            <w:tcW w:type="dxa" w:w="11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
            </w:r>
          </w:p>
        </w:tc>
        <w:tc>
          <w:tcPr>
            <w:tcW w:type="dxa" w:w="28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Construire onboarding-empty (C-05)</w:t>
            </w:r>
          </w:p>
        </w:tc>
        <w:tc>
          <w:tcPr>
            <w:tcW w:type="dxa" w:w="2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R9 — Abandon J+1</w:t>
            </w:r>
          </w:p>
        </w:tc>
        <w:tc>
          <w:tcPr>
            <w:tcW w:type="dxa" w:w="2426"/>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Écran d'accueil + walkthrough 3 étapes</w:t>
            </w:r>
          </w:p>
        </w:tc>
      </w:tr>
      <w:tr>
        <w:tc>
          <w:tcPr>
            <w:tcW w:type="dxa" w:w="11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
            </w:r>
          </w:p>
        </w:tc>
        <w:tc>
          <w:tcPr>
            <w:tcW w:type="dxa" w:w="28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Arbitrer A-01, A-07, A-09, A-10 (priorité)</w:t>
            </w:r>
          </w:p>
        </w:tc>
        <w:tc>
          <w:tcPr>
            <w:tcW w:type="dxa" w:w="27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R10 — BP bloqué</w:t>
            </w:r>
          </w:p>
        </w:tc>
        <w:tc>
          <w:tcPr>
            <w:tcW w:type="dxa" w:w="2426"/>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Décisions documentées dans la spec</w:t>
            </w:r>
          </w:p>
        </w:tc>
      </w:tr>
      <w:tr>
        <w:tc>
          <w:tcPr>
            <w:tcW w:type="dxa" w:w="11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b/>
                <w:bCs/>
                <w:color w:val="BF8F00"/>
                <w:sz w:val="16"/>
                <w:szCs w:val="16"/>
              </w:rPr>
              <w:t xml:space="preserve">Pré-lancement
(3–6 mois)</w:t>
            </w:r>
          </w:p>
        </w:tc>
        <w:tc>
          <w:tcPr>
            <w:tcW w:type="dxa" w:w="28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Lancer beta privée 50–100 utilisateurs</w:t>
            </w:r>
          </w:p>
        </w:tc>
        <w:tc>
          <w:tcPr>
            <w:tcW w:type="dxa" w:w="2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R14 — Validation marché</w:t>
            </w:r>
          </w:p>
        </w:tc>
        <w:tc>
          <w:tcPr>
            <w:tcW w:type="dxa" w:w="2426"/>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NPS &gt; 30, rétention S4 &gt; 60%</w:t>
            </w:r>
          </w:p>
        </w:tc>
      </w:tr>
      <w:tr>
        <w:tc>
          <w:tcPr>
            <w:tcW w:type="dxa" w:w="11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
            </w:r>
          </w:p>
        </w:tc>
        <w:tc>
          <w:tcPr>
            <w:tcW w:type="dxa" w:w="28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Implémenter job anonymisation logs &gt; 13 mois</w:t>
            </w:r>
          </w:p>
        </w:tc>
        <w:tc>
          <w:tcPr>
            <w:tcW w:type="dxa" w:w="2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R7 — CNIL obligation</w:t>
            </w:r>
          </w:p>
        </w:tc>
        <w:tc>
          <w:tcPr>
            <w:tcW w:type="dxa" w:w="2426"/>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Job planifié + log des anonymisations</w:t>
            </w:r>
          </w:p>
        </w:tc>
      </w:tr>
      <w:tr>
        <w:tc>
          <w:tcPr>
            <w:tcW w:type="dxa" w:w="11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
            </w:r>
          </w:p>
        </w:tc>
        <w:tc>
          <w:tcPr>
            <w:tcW w:type="dxa" w:w="28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Chiffrement at-rest données portfolio + pen test</w:t>
            </w:r>
          </w:p>
        </w:tc>
        <w:tc>
          <w:tcPr>
            <w:tcW w:type="dxa" w:w="2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R16 — Sécurité données</w:t>
            </w:r>
          </w:p>
        </w:tc>
        <w:tc>
          <w:tcPr>
            <w:tcW w:type="dxa" w:w="2426"/>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Rapport pen test, encryption validée</w:t>
            </w:r>
          </w:p>
        </w:tc>
      </w:tr>
      <w:tr>
        <w:tc>
          <w:tcPr>
            <w:tcW w:type="dxa" w:w="11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
            </w:r>
          </w:p>
        </w:tc>
        <w:tc>
          <w:tcPr>
            <w:tcW w:type="dxa" w:w="28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Définir et documenter stratégie acquisition canal #1</w:t>
            </w:r>
          </w:p>
        </w:tc>
        <w:tc>
          <w:tcPr>
            <w:tcW w:type="dxa" w:w="27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R8 — Acquisition</w:t>
            </w:r>
          </w:p>
        </w:tc>
        <w:tc>
          <w:tcPr>
            <w:tcW w:type="dxa" w:w="2426"/>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Document stratégie + budget CAC initial</w:t>
            </w:r>
          </w:p>
        </w:tc>
      </w:tr>
      <w:tr>
        <w:tc>
          <w:tcPr>
            <w:tcW w:type="dxa" w:w="11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b/>
                <w:bCs/>
                <w:color w:val="375623"/>
                <w:sz w:val="16"/>
                <w:szCs w:val="16"/>
              </w:rPr>
              <w:t xml:space="preserve">Post-lancement
(6–12 mois)</w:t>
            </w:r>
          </w:p>
        </w:tc>
        <w:tc>
          <w:tcPr>
            <w:tcW w:type="dxa" w:w="28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Construire boucle ex post (C-11)</w:t>
            </w:r>
          </w:p>
        </w:tc>
        <w:tc>
          <w:tcPr>
            <w:tcW w:type="dxa" w:w="27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R6/R15 — Rétention</w:t>
            </w:r>
          </w:p>
        </w:tc>
        <w:tc>
          <w:tcPr>
            <w:tcW w:type="dxa" w:w="2426"/>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Premiers TARGET_HIT / INVALIDATION_HIT visibles</w:t>
            </w:r>
          </w:p>
        </w:tc>
      </w:tr>
      <w:tr>
        <w:tc>
          <w:tcPr>
            <w:tcW w:type="dxa" w:w="11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
            </w:r>
          </w:p>
        </w:tc>
        <w:tc>
          <w:tcPr>
            <w:tcW w:type="dxa" w:w="28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Refactorer T-01 : extraire contrats dédiés</w:t>
            </w:r>
          </w:p>
        </w:tc>
        <w:tc>
          <w:tcPr>
            <w:tcW w:type="dxa" w:w="27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R12 — Dette tech</w:t>
            </w:r>
          </w:p>
        </w:tc>
        <w:tc>
          <w:tcPr>
            <w:tcW w:type="dxa" w:w="2426"/>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Projet BackPredictFinance.Contracts créé</w:t>
            </w:r>
          </w:p>
        </w:tc>
      </w:tr>
      <w:tr>
        <w:tc>
          <w:tcPr>
            <w:tcW w:type="dxa" w:w="11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
            </w:r>
          </w:p>
        </w:tc>
        <w:tc>
          <w:tcPr>
            <w:tcW w:type="dxa" w:w="28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Ajouter indexes + vues matérialisées KPI</w:t>
            </w:r>
          </w:p>
        </w:tc>
        <w:tc>
          <w:tcPr>
            <w:tcW w:type="dxa" w:w="27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R17 — Scalabilité DB</w:t>
            </w:r>
          </w:p>
        </w:tc>
        <w:tc>
          <w:tcPr>
            <w:tcW w:type="dxa" w:w="2426"/>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Temps requête KPI &lt; 200ms à 10k lignes</w:t>
            </w:r>
          </w:p>
        </w:tc>
      </w:tr>
    </w:tbl>
    <w:p>
      <w:pPr>
        <w:pBdr>
          <w:bottom w:val="single" w:color="2E75B6" w:sz="6" w:space="4"/>
        </w:pBdr>
        <w:spacing w:after="80" w:before="280"/>
      </w:pPr>
    </w:p>
    <w:p>
      <w:pPr>
        <w:spacing w:after="100" w:before="320"/>
      </w:pPr>
      <w:r>
        <w:rPr>
          <w:rFonts w:ascii="Arial" w:cs="Arial" w:eastAsia="Arial" w:hAnsi="Arial"/>
          <w:b/>
          <w:bCs/>
          <w:color w:val="1F3864"/>
          <w:sz w:val="34"/>
          <w:szCs w:val="34"/>
        </w:rPr>
        <w:t xml:space="preserve">Tableau de bord de surveillance des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2466"/>
        <w:gridCol w:w="2000"/>
        <w:gridCol w:w="2000"/>
      </w:tblGrid>
      <w:tr>
        <w:tc>
          <w:tcPr>
            <w:tcW w:type="dxa" w:w="36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7"/>
                <w:szCs w:val="17"/>
              </w:rPr>
              <w:t xml:space="preserve">ID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7"/>
                <w:szCs w:val="17"/>
              </w:rPr>
              <w:t xml:space="preserve">Risque</w:t>
            </w:r>
          </w:p>
        </w:tc>
        <w:tc>
          <w:tcPr>
            <w:tcW w:type="dxa" w:w="2466"/>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7"/>
                <w:szCs w:val="17"/>
              </w:rPr>
              <w:t xml:space="preserve">Indicateur de surveillance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7"/>
                <w:szCs w:val="17"/>
              </w:rPr>
              <w:t xml:space="preserve">Seuil d'alerte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7"/>
                <w:szCs w:val="17"/>
              </w:rPr>
              <w:t xml:space="preserve">Fréquence</w:t>
            </w:r>
          </w:p>
        </w:tc>
      </w:tr>
      <w:tr>
        <w:tc>
          <w:tcPr>
            <w:tcW w:type="dxa" w:w="36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R1</w:t>
            </w:r>
          </w:p>
        </w:tc>
        <w:tc>
          <w:tcPr>
            <w:tcW w:type="dxa" w:w="22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CIF/AMF</w:t>
            </w:r>
          </w:p>
        </w:tc>
        <w:tc>
          <w:tcPr>
            <w:tcW w:type="dxa" w:w="2466"/>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Avis juridique reçu O/N</w:t>
            </w:r>
          </w:p>
        </w:tc>
        <w:tc>
          <w:tcPr>
            <w:tcW w:type="dxa" w:w="20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Non reçu après 4 semaines</w:t>
            </w:r>
          </w:p>
        </w:tc>
        <w:tc>
          <w:tcPr>
            <w:tcW w:type="dxa" w:w="20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Une fois</w:t>
            </w:r>
          </w:p>
        </w:tc>
      </w:tr>
      <w:tr>
        <w:tc>
          <w:tcPr>
            <w:tcW w:type="dxa" w:w="36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R3</w:t>
            </w:r>
          </w:p>
        </w:tc>
        <w:tc>
          <w:tcPr>
            <w:tcW w:type="dxa" w:w="22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Modèle économique</w:t>
            </w:r>
          </w:p>
        </w:tc>
        <w:tc>
          <w:tcPr>
            <w:tcW w:type="dxa" w:w="2466"/>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Document de décision pricing</w:t>
            </w:r>
          </w:p>
        </w:tc>
        <w:tc>
          <w:tcPr>
            <w:tcW w:type="dxa" w:w="20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Décidé le 2026-05-28 — €4,90/mois HT</w:t>
            </w:r>
          </w:p>
        </w:tc>
        <w:tc>
          <w:tcPr>
            <w:tcW w:type="dxa" w:w="20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Une fois</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R6</w:t>
            </w:r>
          </w:p>
        </w:tc>
        <w:tc>
          <w:tcPr>
            <w:tcW w:type="dxa" w:w="2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Churn sans ex post</w:t>
            </w:r>
          </w:p>
        </w:tc>
        <w:tc>
          <w:tcPr>
            <w:tcW w:type="dxa" w:w="2466"/>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Churn mensuel M1–M3</w:t>
            </w:r>
          </w:p>
        </w:tc>
        <w:tc>
          <w:tcPr>
            <w:tcW w:type="dxa" w:w="20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&gt; 8%/mois à M3</w:t>
            </w:r>
          </w:p>
        </w:tc>
        <w:tc>
          <w:tcPr>
            <w:tcW w:type="dxa" w:w="20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Mensuel</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R13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Scalabilité</w:t>
            </w:r>
          </w:p>
        </w:tc>
        <w:tc>
          <w:tcPr>
            <w:tcW w:type="dxa" w:w="2466"/>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P95 latence analyse (ms)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&gt; 3s avec 50 req simultanées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Hebdomadaire</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R15</w:t>
            </w:r>
          </w:p>
        </w:tc>
        <w:tc>
          <w:tcPr>
            <w:tcW w:type="dxa" w:w="2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LTV / CAC</w:t>
            </w:r>
          </w:p>
        </w:tc>
        <w:tc>
          <w:tcPr>
            <w:tcW w:type="dxa" w:w="2466"/>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LTV calculé ÷ CAC observé</w:t>
            </w:r>
          </w:p>
        </w:tc>
        <w:tc>
          <w:tcPr>
            <w:tcW w:type="dxa" w:w="20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LTV &lt; 3× CAC à M6</w:t>
            </w:r>
          </w:p>
        </w:tc>
        <w:tc>
          <w:tcPr>
            <w:tcW w:type="dxa" w:w="20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Mensuel</w:t>
            </w:r>
          </w:p>
        </w:tc>
      </w:tr>
      <w:tr>
        <w:tc>
          <w:tcPr>
            <w:tcW w:type="dxa" w:w="36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R14</w:t>
            </w:r>
          </w:p>
        </w:tc>
        <w:tc>
          <w:tcPr>
            <w:tcW w:type="dxa" w:w="22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PMF</w:t>
            </w:r>
          </w:p>
        </w:tc>
        <w:tc>
          <w:tcPr>
            <w:tcW w:type="dxa" w:w="2466"/>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NPS beta + rétention semaine 4</w:t>
            </w:r>
          </w:p>
        </w:tc>
        <w:tc>
          <w:tcPr>
            <w:tcW w:type="dxa" w:w="20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NPS &lt; 20 ou rét. S4 &lt; 40%</w:t>
            </w:r>
          </w:p>
        </w:tc>
        <w:tc>
          <w:tcPr>
            <w:tcW w:type="dxa" w:w="20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Beta only</w:t>
            </w:r>
          </w:p>
        </w:tc>
      </w:tr>
      <w:tr>
        <w:tc>
          <w:tcPr>
            <w:tcW w:type="dxa" w:w="36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R17</w:t>
            </w:r>
          </w:p>
        </w:tc>
        <w:tc>
          <w:tcPr>
            <w:tcW w:type="dxa" w:w="22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Croissance DB</w:t>
            </w:r>
          </w:p>
        </w:tc>
        <w:tc>
          <w:tcPr>
            <w:tcW w:type="dxa" w:w="2466"/>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Nb lignes AnalysisSnapshot + temps requête KPI</w:t>
            </w:r>
          </w:p>
        </w:tc>
        <w:tc>
          <w:tcPr>
            <w:tcW w:type="dxa" w:w="20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Requête KPI &gt; 500ms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Mensuel</w:t>
            </w:r>
          </w:p>
        </w:tc>
      </w:tr>
    </w:tbl>
    <w:p>
      <w:pPr>
        <w:pBdr>
          <w:bottom w:val="single" w:color="2E75B6" w:sz="6" w:space="4"/>
        </w:pBdr>
        <w:spacing w:after="80" w:before="280"/>
      </w:pPr>
    </w:p>
    <w:p>
      <w:pPr>
        <w:spacing w:after="100" w:before="320"/>
      </w:pPr>
      <w:r>
        <w:rPr>
          <w:rFonts w:ascii="Arial" w:cs="Arial" w:eastAsia="Arial" w:hAnsi="Arial"/>
          <w:b/>
          <w:bCs/>
          <w:color w:val="1F3864"/>
          <w:sz w:val="34"/>
          <w:szCs w:val="34"/>
        </w:rPr>
        <w:t xml:space="preserve">Sources</w:t>
      </w:r>
    </w:p>
    <w:p>
      <w:pPr>
        <w:pStyle w:val="ListParagraph"/>
        <w:numPr>
          <w:ilvl w:val="0"/>
          <w:numId w:val="2"/>
        </w:numPr>
        <w:spacing w:after="35" w:before="35"/>
      </w:pPr>
      <w:r>
        <w:rPr>
          <w:rFonts w:ascii="Arial" w:cs="Arial" w:eastAsia="Arial" w:hAnsi="Arial"/>
          <w:b w:val="false"/>
          <w:bCs w:val="false"/>
          <w:color w:val="333333"/>
          <w:sz w:val="18"/>
          <w:szCs w:val="18"/>
        </w:rPr>
        <w:t xml:space="preserve">Doc/v1/06_ecarts_doc_code.md — dette tech T-01 à T-05, À-CONSTRUIRE C-01 à C-13, À-ARBITRER A-01 à A-11</w:t>
      </w:r>
    </w:p>
    <w:p>
      <w:pPr>
        <w:pStyle w:val="ListParagraph"/>
        <w:numPr>
          <w:ilvl w:val="0"/>
          <w:numId w:val="2"/>
        </w:numPr>
        <w:spacing w:after="35" w:before="35"/>
      </w:pPr>
      <w:r>
        <w:rPr>
          <w:rFonts w:ascii="Arial" w:cs="Arial" w:eastAsia="Arial" w:hAnsi="Arial"/>
          <w:b w:val="false"/>
          <w:bCs w:val="false"/>
          <w:color w:val="333333"/>
          <w:sz w:val="18"/>
          <w:szCs w:val="18"/>
        </w:rPr>
        <w:t xml:space="preserve">Doc/v1/08_analyse_critique_et_legal.md — cadre légal AMF/RGPD, matrice de risques §8</w:t>
      </w:r>
    </w:p>
    <w:p>
      <w:pPr>
        <w:pStyle w:val="ListParagraph"/>
        <w:numPr>
          <w:ilvl w:val="0"/>
          <w:numId w:val="2"/>
        </w:numPr>
        <w:spacing w:after="35" w:before="35"/>
      </w:pPr>
      <w:r>
        <w:rPr>
          <w:rFonts w:ascii="Arial" w:cs="Arial" w:eastAsia="Arial" w:hAnsi="Arial"/>
          <w:b w:val="false"/>
          <w:bCs w:val="false"/>
          <w:color w:val="333333"/>
          <w:sz w:val="18"/>
          <w:szCs w:val="18"/>
        </w:rPr>
        <w:t xml:space="preserve">Doc/v1/01_specification_produit.md — règles RM-01 à RM-29</w:t>
      </w:r>
    </w:p>
    <w:p>
      <w:pPr>
        <w:pStyle w:val="ListParagraph"/>
        <w:numPr>
          <w:ilvl w:val="0"/>
          <w:numId w:val="2"/>
        </w:numPr>
        <w:spacing w:after="35" w:before="35"/>
      </w:pPr>
      <w:r>
        <w:rPr>
          <w:rFonts w:ascii="Arial" w:cs="Arial" w:eastAsia="Arial" w:hAnsi="Arial"/>
          <w:b w:val="false"/>
          <w:bCs w:val="false"/>
          <w:color w:val="333333"/>
          <w:sz w:val="18"/>
          <w:szCs w:val="18"/>
        </w:rPr>
        <w:t xml:space="preserve">Analyse codebase FinanceBack (.NET 10) — session 2026-05-28</w:t>
      </w:r>
    </w:p>
    <w:p>
      <w:pPr>
        <w:pStyle w:val="ListParagraph"/>
        <w:numPr>
          <w:ilvl w:val="0"/>
          <w:numId w:val="2"/>
        </w:numPr>
        <w:spacing w:after="35" w:before="35"/>
      </w:pPr>
      <w:r>
        <w:rPr>
          <w:rFonts w:ascii="Arial" w:cs="Arial" w:eastAsia="Arial" w:hAnsi="Arial"/>
          <w:b w:val="false"/>
          <w:bCs w:val="false"/>
          <w:color w:val="333333"/>
          <w:sz w:val="18"/>
          <w:szCs w:val="18"/>
        </w:rPr>
        <w:t xml:space="preserve">Art. L541-1 Code monétaire et financier, Directive MIF 2 (2014/65/UE)</w:t>
      </w:r>
    </w:p>
    <w:p>
      <w:pPr>
        <w:pStyle w:val="ListParagraph"/>
        <w:numPr>
          <w:ilvl w:val="0"/>
          <w:numId w:val="2"/>
        </w:numPr>
        <w:spacing w:after="35" w:before="35"/>
      </w:pPr>
      <w:r>
        <w:rPr>
          <w:rFonts w:ascii="Arial" w:cs="Arial" w:eastAsia="Arial" w:hAnsi="Arial"/>
          <w:b w:val="false"/>
          <w:bCs w:val="false"/>
          <w:color w:val="333333"/>
          <w:sz w:val="18"/>
          <w:szCs w:val="18"/>
        </w:rPr>
        <w:t xml:space="preserve">RGPD Art. 13–21, délibérations CNIL (2020-091 rétention logs, RGPD Art. 17)</w:t>
      </w:r>
    </w:p>
    <w:p>
      <w:pPr>
        <w:spacing w:after="120" w:before="60"/>
      </w:pPr>
      <w:r>
        <w:rPr>
          <w:rFonts w:ascii="Arial" w:cs="Arial" w:eastAsia="Arial" w:hAnsi="Arial"/>
          <w:i/>
          <w:iCs/>
          <w:color w:val="666666"/>
          <w:sz w:val="17"/>
          <w:szCs w:val="17"/>
        </w:rPr>
        <w:t xml:space="preserve">Analyse réalisée sur la base de la documentation interne — session 2026-05-28.</w:t>
      </w:r>
    </w:p>
    <w:p>
      <w:pPr>
        <w:pBdr>
          <w:top w:val="single" w:color="CCCCCC" w:sz="2" w:space="4"/>
        </w:pBdr>
        <w:spacing w:after="60" w:before="160"/>
      </w:pPr>
      <w:hyperlink w:history="1" r:id="rIdu05uaspcoyol3lmqxyjxe">
        <w:r>
          <w:rPr>
            <w:rStyle w:val="Hyperlink"/>
            <w:rFonts w:ascii="Arial" w:cs="Arial" w:eastAsia="Arial" w:hAnsi="Arial"/>
            <w:b/>
            <w:bCs/>
            <w:color w:val="2E75B6"/>
            <w:sz w:val="17"/>
            <w:szCs w:val="17"/>
          </w:rPr>
          <w:t xml:space="preserve">Powered by Bigdata.com</w:t>
        </w:r>
      </w:hyperlink>
      <w:r>
        <w:rPr>
          <w:rFonts w:ascii="Arial" w:cs="Arial" w:eastAsia="Arial" w:hAnsi="Arial"/>
          <w:color w:val="888888"/>
          <w:sz w:val="17"/>
          <w:szCs w:val="17"/>
        </w:rPr>
        <w:t xml:space="preserve"> — https://bigdata.com</w:t>
      </w:r>
    </w:p>
    <w:p>
      <w:pPr>
        <w:spacing w:after="40" w:before="80"/>
      </w:pPr>
      <w:r>
        <w:rPr>
          <w:rFonts w:ascii="Arial" w:cs="Arial" w:eastAsia="Arial" w:hAnsi="Arial"/>
          <w:b/>
          <w:bCs/>
          <w:color w:val="666666"/>
          <w:sz w:val="18"/>
          <w:szCs w:val="18"/>
        </w:rPr>
        <w:t xml:space="preserve">Disclaimer</w:t>
      </w:r>
    </w:p>
    <w:p>
      <w:pPr>
        <w:spacing w:after="50" w:before="50"/>
      </w:pPr>
      <w:r>
        <w:rPr>
          <w:rFonts w:ascii="Arial" w:cs="Arial" w:eastAsia="Arial" w:hAnsi="Arial"/>
          <w:color w:val="666666"/>
          <w:sz w:val="15"/>
          <w:szCs w:val="15"/>
        </w:rPr>
        <w:t xml:space="preserve">This output is for informational and research-assistance purposes only. It does not constitute investment, legal, tax, accounting, or other professional advice, and it is not a recommendation to buy, sell, or hold any security or instrument or to pursue any strategy. Information may be incomplete, estimated, delayed, or inaccurate. Past performance does not guarantee future results. Verify material facts independently and consult qualified advisors before making decisions.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60"/>
    </w:pPr>
    <w:r>
      <w:rPr>
        <w:rFonts w:ascii="Arial" w:cs="Arial" w:eastAsia="Arial" w:hAnsi="Arial"/>
        <w:color w:val="888888"/>
        <w:sz w:val="13"/>
        <w:szCs w:val="13"/>
      </w:rPr>
      <w:t xml:space="preserve">Powered by Bigdata.com — https://bigdata.com</w:t>
    </w:r>
    <w:r>
      <w:rPr>
        <w:rFonts w:ascii="Arial" w:cs="Arial" w:eastAsia="Arial" w:hAnsi="Arial"/>
        <w:color w:val="888888"/>
        <w:sz w:val="13"/>
        <w:szCs w:val="13"/>
      </w:rPr>
      <w:t xml:space="preserve">	Page </w:t>
    </w:r>
    <w:r>
      <w:rPr>
        <w:rFonts w:ascii="Arial" w:cs="Arial" w:eastAsia="Arial" w:hAnsi="Arial"/>
        <w:color w:val="888888"/>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4" w:space="4"/>
      </w:pBdr>
      <w:tabs>
        <w:tab w:val="right" w:pos="9026"/>
      </w:tabs>
      <w:spacing w:after="60"/>
    </w:pPr>
    <w:r>
      <w:rPr>
        <w:rFonts w:ascii="Arial" w:cs="Arial" w:eastAsia="Arial" w:hAnsi="Arial"/>
        <w:b/>
        <w:bCs/>
        <w:color w:val="C00000"/>
        <w:sz w:val="17"/>
        <w:szCs w:val="17"/>
      </w:rPr>
      <w:t xml:space="preserve">PredictFinance — Risk Assessment</w:t>
    </w:r>
    <w:r>
      <w:rPr>
        <w:rFonts w:ascii="Arial" w:cs="Arial" w:eastAsia="Arial" w:hAnsi="Arial"/>
        <w:color w:val="888888"/>
        <w:sz w:val="15"/>
        <w:szCs w:val="15"/>
      </w:rPr>
      <w:t xml:space="preserve">	28 mai 2026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05uaspcoyol3lmqxyjxe" Type="http://schemas.openxmlformats.org/officeDocument/2006/relationships/hyperlink" Target="https://bigdata.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2026-05-28T10:29:46.713Z</dcterms:created>
  <dcterms:modified xsi:type="dcterms:W3CDTF">2026-05-28T10:29:46.716Z</dcterms:modified>
</cp:coreProperties>
</file>

<file path=docProps/custom.xml><?xml version="1.0" encoding="utf-8"?>
<Properties xmlns="http://schemas.openxmlformats.org/officeDocument/2006/custom-properties" xmlns:vt="http://schemas.openxmlformats.org/officeDocument/2006/docPropsVTypes"/>
</file>