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aps/>
          <w:color w:val="888888"/>
          <w:sz w:val="17"/>
          <w:szCs w:val="17"/>
        </w:rPr>
        <w:t xml:space="preserve">ANALYSE DE PERCEPTION DIFFÉRENCIÉE</w:t>
      </w:r>
    </w:p>
    <w:p>
      <w:pPr>
        <w:spacing w:after="60" w:before="0"/>
      </w:pPr>
      <w:r>
        <w:rPr>
          <w:rFonts w:ascii="Arial" w:cs="Arial" w:eastAsia="Arial" w:hAnsi="Arial"/>
          <w:b/>
          <w:bCs/>
          <w:color w:val="1F3864"/>
          <w:sz w:val="52"/>
          <w:szCs w:val="52"/>
        </w:rPr>
        <w:t xml:space="preserve">PredictFinance</w:t>
      </w:r>
    </w:p>
    <w:p>
      <w:pPr>
        <w:spacing w:after="200" w:before="0"/>
      </w:pPr>
      <w:r>
        <w:rPr>
          <w:rFonts w:ascii="Arial" w:cs="Arial" w:eastAsia="Arial" w:hAnsi="Arial"/>
          <w:i/>
          <w:iCs/>
          <w:color w:val="666666"/>
          <w:sz w:val="17"/>
          <w:szCs w:val="17"/>
        </w:rPr>
        <w:t xml:space="preserve">Où se situe notre thèse par rapport au consensus — et pourquoi cela crée une opportunité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7030A0" w:sz="1"/>
              <w:left w:val="single" w:color="7030A0" w:sz="1"/>
              <w:bottom w:val="single" w:color="7030A0" w:sz="1"/>
              <w:right w:val="single" w:color="7030A0" w:sz="1"/>
            </w:tcBorders>
            <w:shd w:fill="7030A0" w:val="clear"/>
            <w:tcMar>
              <w:top w:type="dxa" w:w="80"/>
              <w:left w:type="dxa" w:w="130"/>
              <w:bottom w:type="dxa" w:w="80"/>
              <w:right w:type="dxa" w:w="130"/>
            </w:tcMar>
            <w:vAlign w:val="center"/>
          </w:tcPr>
          <w:p>
            <w:pPr>
              <w:jc w:val="center"/>
            </w:pPr>
            <w:r>
              <w:rPr>
                <w:rFonts w:ascii="Arial" w:cs="Arial" w:eastAsia="Arial" w:hAnsi="Arial"/>
                <w:b/>
                <w:bCs/>
                <w:caps/>
                <w:color w:val="FFFFFF"/>
                <w:sz w:val="18"/>
                <w:szCs w:val="18"/>
              </w:rPr>
              <w:t xml:space="preserve">THÈSE CENTRALE</w:t>
            </w:r>
          </w:p>
        </w:tc>
        <w:tc>
          <w:tcPr>
            <w:tcW w:type="dxa" w:w="6526"/>
            <w:tcBorders>
              <w:top w:val="single" w:color="7030A0" w:sz="1"/>
              <w:left w:val="single" w:color="7030A0" w:sz="1"/>
              <w:bottom w:val="single" w:color="7030A0" w:sz="1"/>
              <w:right w:val="single" w:color="7030A0" w:sz="1"/>
            </w:tcBorders>
            <w:shd w:fill="EAD1FF" w:val="clear"/>
            <w:tcMar>
              <w:top w:type="dxa" w:w="80"/>
              <w:left w:type="dxa" w:w="130"/>
              <w:bottom w:type="dxa" w:w="80"/>
              <w:right w:type="dxa" w:w="130"/>
            </w:tcMar>
          </w:tcPr>
          <w:p>
            <w:r>
              <w:rPr>
                <w:rFonts w:ascii="Arial" w:cs="Arial" w:eastAsia="Arial" w:hAnsi="Arial"/>
                <w:i/>
                <w:iCs/>
                <w:color w:val="1F3864"/>
                <w:sz w:val="18"/>
                <w:szCs w:val="18"/>
              </w:rPr>
              <w:t xml:space="preserve">Le marché perçoit PredictFinance comme un screener technique de plus. Nous pensons que c'est une plateforme pédagogique déterministe avec un fossé structurel sur le segment débutant français — à condition que les différenciateurs soient construits avant la croissance.</w:t>
            </w:r>
          </w:p>
        </w:tc>
      </w:tr>
      <w:tr>
        <w:tc>
          <w:tcPr>
            <w:tcW w:type="dxa" w:w="2500"/>
            <w:tcBorders>
              <w:top w:val="single" w:color="70AD47" w:sz="1"/>
              <w:left w:val="single" w:color="70AD47" w:sz="1"/>
              <w:bottom w:val="single" w:color="70AD47" w:sz="1"/>
              <w:right w:val="single" w:color="70AD47" w:sz="1"/>
            </w:tcBorders>
            <w:shd w:fill="375623" w:val="clear"/>
            <w:tcMar>
              <w:top w:type="dxa" w:w="80"/>
              <w:left w:type="dxa" w:w="130"/>
              <w:bottom w:type="dxa" w:w="80"/>
              <w:right w:type="dxa" w:w="130"/>
            </w:tcMar>
            <w:vAlign w:val="center"/>
          </w:tcPr>
          <w:p>
            <w:pPr>
              <w:jc w:val="center"/>
            </w:pPr>
            <w:r>
              <w:rPr>
                <w:rFonts w:ascii="Arial" w:cs="Arial" w:eastAsia="Arial" w:hAnsi="Arial"/>
                <w:b/>
                <w:bCs/>
                <w:caps/>
                <w:color w:val="FFFFFF"/>
                <w:sz w:val="18"/>
                <w:szCs w:val="18"/>
              </w:rPr>
              <w:t xml:space="preserve">CAS BULL</w:t>
            </w:r>
          </w:p>
        </w:tc>
        <w:tc>
          <w:tcPr>
            <w:tcW w:type="dxa" w:w="6526"/>
            <w:tcBorders>
              <w:top w:val="single" w:color="70AD47" w:sz="1"/>
              <w:left w:val="single" w:color="70AD47" w:sz="1"/>
              <w:bottom w:val="single" w:color="70AD47" w:sz="1"/>
              <w:right w:val="single" w:color="70AD47" w:sz="1"/>
            </w:tcBorders>
            <w:shd w:fill="E2EFDA" w:val="clear"/>
            <w:tcMar>
              <w:top w:type="dxa" w:w="80"/>
              <w:left w:type="dxa" w:w="130"/>
              <w:bottom w:type="dxa" w:w="80"/>
              <w:right w:type="dxa" w:w="130"/>
            </w:tcMar>
          </w:tcPr>
          <w:p>
            <w:r>
              <w:rPr>
                <w:rFonts w:ascii="Arial" w:cs="Arial" w:eastAsia="Arial" w:hAnsi="Arial"/>
                <w:color w:val="375623"/>
                <w:sz w:val="18"/>
                <w:szCs w:val="18"/>
              </w:rPr>
              <w:t xml:space="preserve">PEA + actions FR + pédagogie déterministe + ex post loop = fossé inimitable rapidement par les grands acteurs. PredictFinance devient la référence de l'investisseur débutant français → 5 000 abonnés × €4,90/mois = €294k ARR, valorisation ~€1,47M.</w:t>
            </w:r>
          </w:p>
        </w:tc>
      </w:tr>
      <w:tr>
        <w:tc>
          <w:tcPr>
            <w:tcW w:type="dxa" w:w="2500"/>
            <w:tcBorders>
              <w:top w:val="single" w:color="C00000" w:sz="1"/>
              <w:left w:val="single" w:color="C00000" w:sz="1"/>
              <w:bottom w:val="single" w:color="C00000" w:sz="1"/>
              <w:right w:val="single" w:color="C00000" w:sz="1"/>
            </w:tcBorders>
            <w:shd w:fill="C00000" w:val="clear"/>
            <w:tcMar>
              <w:top w:type="dxa" w:w="80"/>
              <w:left w:type="dxa" w:w="130"/>
              <w:bottom w:type="dxa" w:w="80"/>
              <w:right w:type="dxa" w:w="130"/>
            </w:tcMar>
            <w:vAlign w:val="center"/>
          </w:tcPr>
          <w:p>
            <w:pPr>
              <w:jc w:val="center"/>
            </w:pPr>
            <w:r>
              <w:rPr>
                <w:rFonts w:ascii="Arial" w:cs="Arial" w:eastAsia="Arial" w:hAnsi="Arial"/>
                <w:b/>
                <w:bCs/>
                <w:caps/>
                <w:color w:val="FFFFFF"/>
                <w:sz w:val="18"/>
                <w:szCs w:val="18"/>
              </w:rPr>
              <w:t xml:space="preserve">CAS BEAR</w:t>
            </w:r>
          </w:p>
        </w:tc>
        <w:tc>
          <w:tcPr>
            <w:tcW w:type="dxa" w:w="6526"/>
            <w:tcBorders>
              <w:top w:val="single" w:color="C00000" w:sz="1"/>
              <w:left w:val="single" w:color="C00000" w:sz="1"/>
              <w:bottom w:val="single" w:color="C00000" w:sz="1"/>
              <w:right w:val="single" w:color="C00000" w:sz="1"/>
            </w:tcBorders>
            <w:shd w:fill="FFE0E0" w:val="clear"/>
            <w:tcMar>
              <w:top w:type="dxa" w:w="80"/>
              <w:left w:type="dxa" w:w="130"/>
              <w:bottom w:type="dxa" w:w="80"/>
              <w:right w:type="dxa" w:w="130"/>
            </w:tcMar>
          </w:tcPr>
          <w:p>
            <w:r>
              <w:rPr>
                <w:rFonts w:ascii="Arial" w:cs="Arial" w:eastAsia="Arial" w:hAnsi="Arial"/>
                <w:color w:val="C00000"/>
                <w:sz w:val="18"/>
                <w:szCs w:val="18"/>
              </w:rPr>
              <w:t xml:space="preserve">CIF requalifié + différenciateurs non construits + Boursorama lance une feature pédagogie = PredictFinance ne se distingue plus. Pivot coûteux, &lt;200 abonnés, valeur résiduelle technique uniquement (~€50–100k).</w:t>
            </w:r>
          </w:p>
        </w:tc>
      </w:tr>
    </w:tbl>
    <w:p>
      <w:pPr>
        <w:pBdr>
          <w:bottom w:val="single" w:color="7030A0" w:sz="6" w:space="4"/>
        </w:pBdr>
        <w:spacing w:after="80" w:before="280"/>
      </w:pPr>
    </w:p>
    <w:p>
      <w:pPr>
        <w:spacing w:after="100" w:before="300"/>
      </w:pPr>
      <w:r>
        <w:rPr>
          <w:rFonts w:ascii="Arial" w:cs="Arial" w:eastAsia="Arial" w:hAnsi="Arial"/>
          <w:b/>
          <w:bCs/>
          <w:color w:val="1F3864"/>
          <w:sz w:val="34"/>
          <w:szCs w:val="34"/>
        </w:rPr>
        <w:t xml:space="preserve">Consensus vs. notre vue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Axe d'analyse</w:t>
            </w:r>
          </w:p>
        </w:tc>
        <w:tc>
          <w:tcPr>
            <w:tcW w:type="dxa" w:w="3613"/>
            <w:tcBorders>
              <w:top w:val="single" w:color="555555" w:sz="1"/>
              <w:left w:val="single" w:color="555555" w:sz="1"/>
              <w:bottom w:val="single" w:color="555555" w:sz="1"/>
              <w:right w:val="single" w:color="555555" w:sz="1"/>
            </w:tcBorders>
            <w:shd w:fill="555555" w:val="clear"/>
            <w:tcMar>
              <w:top w:type="dxa" w:w="80"/>
              <w:left w:type="dxa" w:w="130"/>
              <w:bottom w:type="dxa" w:w="80"/>
              <w:right w:type="dxa" w:w="130"/>
            </w:tcMar>
            <w:vAlign w:val="center"/>
          </w:tcPr>
          <w:p>
            <w:r>
              <w:rPr>
                <w:rFonts w:ascii="Arial" w:cs="Arial" w:eastAsia="Arial" w:hAnsi="Arial"/>
                <w:b/>
                <w:bCs/>
                <w:color w:val="FFFFFF"/>
                <w:sz w:val="17"/>
                <w:szCs w:val="17"/>
              </w:rPr>
              <w:t xml:space="preserve">Vue consensus (présumée)</w:t>
            </w:r>
          </w:p>
        </w:tc>
        <w:tc>
          <w:tcPr>
            <w:tcW w:type="dxa" w:w="361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Notre vue différenciée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Positionnement produit</w:t>
            </w:r>
          </w:p>
        </w:tc>
        <w:tc>
          <w:tcPr>
            <w:tcW w:type="dxa" w:w="361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i/>
                <w:iCs/>
                <w:color w:val="555555"/>
                <w:sz w:val="17"/>
                <w:szCs w:val="17"/>
              </w:rPr>
              <w:t xml:space="preserve">"Un screener technique de plus, avec filtres France" — remplaçable par TradingView gratuit ou Boursorama.</w:t>
            </w:r>
          </w:p>
        </w:tc>
        <w:tc>
          <w:tcPr>
            <w:tcW w:type="dxa" w:w="3613"/>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color w:val="1F3864"/>
                <w:sz w:val="17"/>
                <w:szCs w:val="17"/>
              </w:rPr>
              <w:t xml:space="preserve">La valeur n'est pas dans les signaux — ils sont disponibles partout. Elle est dans l'explication déterministe, la contextualisation par portfolio réel, et la preuve ex post. Ces trois éléments, combinés, n'existent nulle part en FR.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Segment cible</w:t>
            </w:r>
          </w:p>
        </w:tc>
        <w:tc>
          <w:tcPr>
            <w:tcW w:type="dxa" w:w="361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i/>
                <w:iCs/>
                <w:color w:val="555555"/>
                <w:sz w:val="17"/>
                <w:szCs w:val="17"/>
              </w:rPr>
              <w:t xml:space="preserve">"Les débutants ne veulent pas d'analyse complexe — ils veulent des tips simples."</w:t>
            </w:r>
          </w:p>
        </w:tc>
        <w:tc>
          <w:tcPr>
            <w:tcW w:type="dxa" w:w="3613"/>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color w:val="1F3864"/>
                <w:sz w:val="17"/>
                <w:szCs w:val="17"/>
              </w:rPr>
              <w:t xml:space="preserve">Les débutants post-COVID sont frustrés par les tips sans explication. Ils veulent comprendre, pas juste suivre. PredictFinance est le seul outil qui leur explique pourquoi.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Fossé défensif</w:t>
            </w:r>
          </w:p>
        </w:tc>
        <w:tc>
          <w:tcPr>
            <w:tcW w:type="dxa" w:w="361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i/>
                <w:iCs/>
                <w:color w:val="555555"/>
                <w:sz w:val="17"/>
                <w:szCs w:val="17"/>
              </w:rPr>
              <w:t xml:space="preserve">"Pas de barrière à l'entrée — n'importe quel dev peut faire un screener avec TradingView embed."</w:t>
            </w:r>
          </w:p>
        </w:tc>
        <w:tc>
          <w:tcPr>
            <w:tcW w:type="dxa" w:w="3613"/>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color w:val="1F3864"/>
                <w:sz w:val="17"/>
                <w:szCs w:val="17"/>
              </w:rPr>
              <w:t xml:space="preserve">Le moat n'est pas le screener — c'est le corpus pédagogique versionné, les snapshots auditables, et surtout la boucle ex post (preuves accumulées). Ces éléments prennent du temps à construire et à remplir de données.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Risque légal</w:t>
            </w:r>
          </w:p>
        </w:tc>
        <w:tc>
          <w:tcPr>
            <w:tcW w:type="dxa" w:w="361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i/>
                <w:iCs/>
                <w:color w:val="555555"/>
                <w:sz w:val="17"/>
                <w:szCs w:val="17"/>
              </w:rPr>
              <w:t xml:space="preserve">"Produit pédagogique = immunisé AMF par nature."</w:t>
            </w:r>
          </w:p>
        </w:tc>
        <w:tc>
          <w:tcPr>
            <w:tcW w:type="dxa" w:w="361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color w:val="C00000"/>
                <w:sz w:val="17"/>
                <w:szCs w:val="17"/>
              </w:rPr>
              <w:t xml:space="preserve">Faux. La contextualisation par holdings (Acheter si non détenu, Renforcer si détenu) constitue une personnalisation potentiellement qualifiée de CIF par l'AMF. Ce risque est spécifique à PredictFinance et non trivial.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Compétition</w:t>
            </w:r>
          </w:p>
        </w:tc>
        <w:tc>
          <w:tcPr>
            <w:tcW w:type="dxa" w:w="361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i/>
                <w:iCs/>
                <w:color w:val="555555"/>
                <w:sz w:val="17"/>
                <w:szCs w:val="17"/>
              </w:rPr>
              <w:t xml:space="preserve">"Boursorama ou BNP peut répliquer en 6 mois s'ils veulent."</w:t>
            </w:r>
          </w:p>
        </w:tc>
        <w:tc>
          <w:tcPr>
            <w:tcW w:type="dxa" w:w="36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color w:val="375623"/>
                <w:sz w:val="17"/>
                <w:szCs w:val="17"/>
              </w:rPr>
              <w:t xml:space="preserve">Les courtiers ont l'audience mais pas l'incentive — la pédagogie inline réduit les transactions impulsives (leur source de revenus). Une plateforme dédiée a un alignement d'intérêts supérieur avec l'utilisateur débutant.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Valeur PEA</w:t>
            </w:r>
          </w:p>
        </w:tc>
        <w:tc>
          <w:tcPr>
            <w:tcW w:type="dxa" w:w="361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i/>
                <w:iCs/>
                <w:color w:val="555555"/>
                <w:sz w:val="17"/>
                <w:szCs w:val="17"/>
              </w:rPr>
              <w:t xml:space="preserve">"L'éligibilité PEA est une feature secondaire — les courtiers le font déjà."</w:t>
            </w:r>
          </w:p>
        </w:tc>
        <w:tc>
          <w:tcPr>
            <w:tcW w:type="dxa" w:w="3613"/>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color w:val="1F3864"/>
                <w:sz w:val="17"/>
                <w:szCs w:val="17"/>
              </w:rPr>
              <w:t xml:space="preserve">Les courtiers indiquent l'éligibilité PEA instrument par instrument. PredictFinance est le seul outil à intégrer l'éligibilité PEA dans le conseil d'achat contextualisé — différence de niveau d'intégration.</w:t>
            </w:r>
          </w:p>
        </w:tc>
      </w:tr>
    </w:tbl>
    <w:p>
      <w:pPr>
        <w:pBdr>
          <w:bottom w:val="single" w:color="7030A0" w:sz="6" w:space="4"/>
        </w:pBdr>
        <w:spacing w:after="80" w:before="280"/>
      </w:pPr>
    </w:p>
    <w:p>
      <w:pPr>
        <w:spacing w:after="100" w:before="300"/>
      </w:pPr>
      <w:r>
        <w:rPr>
          <w:rFonts w:ascii="Arial" w:cs="Arial" w:eastAsia="Arial" w:hAnsi="Arial"/>
          <w:b/>
          <w:bCs/>
          <w:color w:val="1F3864"/>
          <w:sz w:val="34"/>
          <w:szCs w:val="34"/>
        </w:rPr>
        <w:t xml:space="preserve">Cartographie concurrentielle</w:t>
      </w:r>
    </w:p>
    <w:p>
      <w:pPr>
        <w:spacing w:after="50" w:before="50"/>
      </w:pPr>
      <w:r>
        <w:rPr>
          <w:rFonts w:ascii="Arial" w:cs="Arial" w:eastAsia="Arial" w:hAnsi="Arial"/>
          <w:color w:val="333333"/>
          <w:sz w:val="19"/>
          <w:szCs w:val="19"/>
        </w:rPr>
        <w:t xml:space="preserve">Aucun concurrent direct n'a été identifié sur la combinaison actions françaises + PEA + pédagogie déterministe + débutants. Le tableau ci-dessous positionne les acteurs les plus proches sur les dimensions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726"/>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Acteur</w:t>
            </w:r>
          </w:p>
        </w:tc>
        <w:tc>
          <w:tcPr>
            <w:tcW w:type="dxa" w:w="11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Actions FR</w:t>
            </w:r>
          </w:p>
        </w:tc>
        <w:tc>
          <w:tcPr>
            <w:tcW w:type="dxa" w:w="11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PEA intégré</w:t>
            </w:r>
          </w:p>
        </w:tc>
        <w:tc>
          <w:tcPr>
            <w:tcW w:type="dxa" w:w="11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Pédagogie inline</w:t>
            </w:r>
          </w:p>
        </w:tc>
        <w:tc>
          <w:tcPr>
            <w:tcW w:type="dxa" w:w="11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Contexte portfolio</w:t>
            </w:r>
          </w:p>
        </w:tc>
        <w:tc>
          <w:tcPr>
            <w:tcW w:type="dxa" w:w="11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Débutants ciblés</w:t>
            </w:r>
          </w:p>
        </w:tc>
        <w:tc>
          <w:tcPr>
            <w:tcW w:type="dxa" w:w="1726"/>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Menace</w:t>
            </w:r>
          </w:p>
        </w:tc>
      </w:tr>
      <w:tr>
        <w:tc>
          <w:tcPr>
            <w:tcW w:type="dxa" w:w="1800"/>
            <w:tcBorders>
              <w:top w:val="single" w:color="7030A0" w:sz="1"/>
              <w:left w:val="single" w:color="7030A0" w:sz="1"/>
              <w:bottom w:val="single" w:color="7030A0" w:sz="1"/>
              <w:right w:val="single" w:color="7030A0" w:sz="1"/>
            </w:tcBorders>
            <w:shd w:fill="EAD1FF" w:val="clear"/>
            <w:tcMar>
              <w:top w:type="dxa" w:w="80"/>
              <w:left w:type="dxa" w:w="130"/>
              <w:bottom w:type="dxa" w:w="80"/>
              <w:right w:type="dxa" w:w="130"/>
            </w:tcMar>
          </w:tcPr>
          <w:p>
            <w:r>
              <w:rPr>
                <w:rFonts w:ascii="Arial" w:cs="Arial" w:eastAsia="Arial" w:hAnsi="Arial"/>
                <w:b/>
                <w:bCs/>
                <w:color w:val="7030A0"/>
                <w:sz w:val="17"/>
                <w:szCs w:val="17"/>
              </w:rPr>
              <w:t xml:space="preserve">PredictFinance</w:t>
            </w:r>
          </w:p>
        </w:tc>
        <w:tc>
          <w:tcPr>
            <w:tcW w:type="dxa" w:w="1100"/>
            <w:tcBorders>
              <w:top w:val="single" w:color="CCCCCC" w:sz="1"/>
              <w:left w:val="single" w:color="CCCCCC" w:sz="1"/>
              <w:bottom w:val="single" w:color="CCCCCC" w:sz="1"/>
              <w:right w:val="single" w:color="CCCCCC" w:sz="1"/>
            </w:tcBorders>
            <w:shd w:fill="EAD1FF" w:val="clear"/>
            <w:tcMar>
              <w:top w:type="dxa" w:w="80"/>
              <w:left w:type="dxa" w:w="130"/>
              <w:bottom w:type="dxa" w:w="80"/>
              <w:right w:type="dxa" w:w="130"/>
            </w:tcMar>
            <w:vAlign w:val="center"/>
          </w:tcPr>
          <w:p>
            <w:pPr>
              <w:jc w:val="left"/>
            </w:pPr>
            <w:r>
              <w:rPr>
                <w:rFonts w:ascii="Arial" w:cs="Arial" w:eastAsia="Arial" w:hAnsi="Arial"/>
                <w:sz w:val="17"/>
                <w:szCs w:val="17"/>
              </w:rPr>
              <w:t xml:space="preserve">✓ Uniquement</w:t>
            </w:r>
          </w:p>
        </w:tc>
        <w:tc>
          <w:tcPr>
            <w:tcW w:type="dxa" w:w="1100"/>
            <w:tcBorders>
              <w:top w:val="single" w:color="CCCCCC" w:sz="1"/>
              <w:left w:val="single" w:color="CCCCCC" w:sz="1"/>
              <w:bottom w:val="single" w:color="CCCCCC" w:sz="1"/>
              <w:right w:val="single" w:color="CCCCCC" w:sz="1"/>
            </w:tcBorders>
            <w:shd w:fill="EAD1FF" w:val="clear"/>
            <w:tcMar>
              <w:top w:type="dxa" w:w="80"/>
              <w:left w:type="dxa" w:w="130"/>
              <w:bottom w:type="dxa" w:w="80"/>
              <w:right w:type="dxa" w:w="130"/>
            </w:tcMar>
            <w:vAlign w:val="center"/>
          </w:tcPr>
          <w:p>
            <w:pPr>
              <w:jc w:val="left"/>
            </w:pPr>
            <w:r>
              <w:rPr>
                <w:rFonts w:ascii="Arial" w:cs="Arial" w:eastAsia="Arial" w:hAnsi="Arial"/>
                <w:sz w:val="17"/>
                <w:szCs w:val="17"/>
              </w:rPr>
              <w:t xml:space="preserve">✓ Natif</w:t>
            </w:r>
          </w:p>
        </w:tc>
        <w:tc>
          <w:tcPr>
            <w:tcW w:type="dxa" w:w="1100"/>
            <w:tcBorders>
              <w:top w:val="single" w:color="CCCCCC" w:sz="1"/>
              <w:left w:val="single" w:color="CCCCCC" w:sz="1"/>
              <w:bottom w:val="single" w:color="CCCCCC" w:sz="1"/>
              <w:right w:val="single" w:color="CCCCCC" w:sz="1"/>
            </w:tcBorders>
            <w:shd w:fill="EAD1FF" w:val="clear"/>
            <w:tcMar>
              <w:top w:type="dxa" w:w="80"/>
              <w:left w:type="dxa" w:w="130"/>
              <w:bottom w:type="dxa" w:w="80"/>
              <w:right w:type="dxa" w:w="130"/>
            </w:tcMar>
            <w:vAlign w:val="center"/>
          </w:tcPr>
          <w:p>
            <w:pPr>
              <w:jc w:val="left"/>
            </w:pPr>
            <w:r>
              <w:rPr>
                <w:rFonts w:ascii="Arial" w:cs="Arial" w:eastAsia="Arial" w:hAnsi="Arial"/>
                <w:sz w:val="17"/>
                <w:szCs w:val="17"/>
              </w:rPr>
              <w:t xml:space="preserve">✓ Déterministe</w:t>
            </w:r>
          </w:p>
        </w:tc>
        <w:tc>
          <w:tcPr>
            <w:tcW w:type="dxa" w:w="1100"/>
            <w:tcBorders>
              <w:top w:val="single" w:color="CCCCCC" w:sz="1"/>
              <w:left w:val="single" w:color="CCCCCC" w:sz="1"/>
              <w:bottom w:val="single" w:color="CCCCCC" w:sz="1"/>
              <w:right w:val="single" w:color="CCCCCC" w:sz="1"/>
            </w:tcBorders>
            <w:shd w:fill="EAD1FF" w:val="clear"/>
            <w:tcMar>
              <w:top w:type="dxa" w:w="80"/>
              <w:left w:type="dxa" w:w="130"/>
              <w:bottom w:type="dxa" w:w="80"/>
              <w:right w:type="dxa" w:w="130"/>
            </w:tcMar>
            <w:vAlign w:val="center"/>
          </w:tcPr>
          <w:p>
            <w:pPr>
              <w:jc w:val="left"/>
            </w:pPr>
            <w:r>
              <w:rPr>
                <w:rFonts w:ascii="Arial" w:cs="Arial" w:eastAsia="Arial" w:hAnsi="Arial"/>
                <w:sz w:val="17"/>
                <w:szCs w:val="17"/>
              </w:rPr>
              <w:t xml:space="preserve">✓ FIFO réel</w:t>
            </w:r>
          </w:p>
        </w:tc>
        <w:tc>
          <w:tcPr>
            <w:tcW w:type="dxa" w:w="1100"/>
            <w:tcBorders>
              <w:top w:val="single" w:color="CCCCCC" w:sz="1"/>
              <w:left w:val="single" w:color="CCCCCC" w:sz="1"/>
              <w:bottom w:val="single" w:color="CCCCCC" w:sz="1"/>
              <w:right w:val="single" w:color="CCCCCC" w:sz="1"/>
            </w:tcBorders>
            <w:shd w:fill="EAD1FF" w:val="clear"/>
            <w:tcMar>
              <w:top w:type="dxa" w:w="80"/>
              <w:left w:type="dxa" w:w="130"/>
              <w:bottom w:type="dxa" w:w="80"/>
              <w:right w:type="dxa" w:w="130"/>
            </w:tcMar>
            <w:vAlign w:val="center"/>
          </w:tcPr>
          <w:p>
            <w:pPr>
              <w:jc w:val="left"/>
            </w:pPr>
            <w:r>
              <w:rPr>
                <w:rFonts w:ascii="Arial" w:cs="Arial" w:eastAsia="Arial" w:hAnsi="Arial"/>
                <w:sz w:val="17"/>
                <w:szCs w:val="17"/>
              </w:rPr>
              <w:t xml:space="preserve">✓ Segment core</w:t>
            </w:r>
          </w:p>
        </w:tc>
        <w:tc>
          <w:tcPr>
            <w:tcW w:type="dxa" w:w="1726"/>
            <w:tcBorders>
              <w:top w:val="single" w:color="CCCCCC" w:sz="1"/>
              <w:left w:val="single" w:color="CCCCCC" w:sz="1"/>
              <w:bottom w:val="single" w:color="CCCCCC" w:sz="1"/>
              <w:right w:val="single" w:color="CCCCCC" w:sz="1"/>
            </w:tcBorders>
            <w:shd w:fill="EAD1FF" w:val="clear"/>
            <w:tcMar>
              <w:top w:type="dxa" w:w="80"/>
              <w:left w:type="dxa" w:w="130"/>
              <w:bottom w:type="dxa" w:w="80"/>
              <w:right w:type="dxa" w:w="130"/>
            </w:tcMar>
            <w:vAlign w:val="center"/>
          </w:tcPr>
          <w:p>
            <w:pPr>
              <w:jc w:val="left"/>
            </w:pPr>
            <w:r>
              <w:rPr>
                <w:rFonts w:ascii="Arial" w:cs="Arial" w:eastAsia="Arial" w:hAnsi="Arial"/>
                <w:sz w:val="17"/>
                <w:szCs w:val="17"/>
              </w:rPr>
              <w:t xml:space="preserve">— (sujet)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TradingView</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Parmi d'autres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 Signaux bruts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 Praticiens</w:t>
            </w:r>
          </w:p>
        </w:tc>
        <w:tc>
          <w:tcPr>
            <w:tcW w:type="dxa" w:w="172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color w:val="375623"/>
                <w:sz w:val="17"/>
                <w:szCs w:val="17"/>
              </w:rPr>
              <w:t xml:space="preserve">Faible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Boursorama Research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 FR focus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Indirect courtier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 Éditorial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Partial</w:t>
            </w:r>
          </w:p>
        </w:tc>
        <w:tc>
          <w:tcPr>
            <w:tcW w:type="dxa" w:w="172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b/>
                <w:bCs/>
                <w:color w:val="BF8F00"/>
                <w:sz w:val="17"/>
                <w:szCs w:val="17"/>
              </w:rPr>
              <w:t xml:space="preserve">Moyenne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BNP My Invest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Partial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Partial courtier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Partial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Partial</w:t>
            </w:r>
          </w:p>
        </w:tc>
        <w:tc>
          <w:tcPr>
            <w:tcW w:type="dxa" w:w="1726"/>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b/>
                <w:bCs/>
                <w:color w:val="BF8F00"/>
                <w:sz w:val="17"/>
                <w:szCs w:val="17"/>
              </w:rPr>
              <w:t xml:space="preserve">Moyenne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Investir.fr / Capital.fr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 FR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 Éditorial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Partial</w:t>
            </w:r>
          </w:p>
        </w:tc>
        <w:tc>
          <w:tcPr>
            <w:tcW w:type="dxa" w:w="172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color w:val="375623"/>
                <w:sz w:val="17"/>
                <w:szCs w:val="17"/>
              </w:rPr>
              <w:t xml:space="preserve">Faible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Parlons Long Terme / BNPP Learn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Non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 Contenu seul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w:t>
            </w:r>
          </w:p>
        </w:tc>
        <w:tc>
          <w:tcPr>
            <w:tcW w:type="dxa" w:w="172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color w:val="375623"/>
                <w:sz w:val="17"/>
                <w:szCs w:val="17"/>
              </w:rPr>
              <w:t xml:space="preserve">Faible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Zonebourse Pro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 FR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 Pro-orienté</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 Analyse pro</w:t>
            </w:r>
          </w:p>
        </w:tc>
        <w:tc>
          <w:tcPr>
            <w:tcW w:type="dxa" w:w="172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color w:val="375623"/>
                <w:sz w:val="17"/>
                <w:szCs w:val="17"/>
              </w:rPr>
              <w:t xml:space="preserve">Faible</w:t>
            </w:r>
          </w:p>
        </w:tc>
      </w:tr>
    </w:tbl>
    <w:p>
      <w:pPr>
        <w:pBdr>
          <w:bottom w:val="single" w:color="7030A0" w:sz="6" w:space="4"/>
        </w:pBdr>
        <w:spacing w:after="80" w:before="280"/>
      </w:pPr>
    </w:p>
    <w:p>
      <w:pPr>
        <w:spacing w:after="100" w:before="300"/>
      </w:pPr>
      <w:r>
        <w:rPr>
          <w:rFonts w:ascii="Arial" w:cs="Arial" w:eastAsia="Arial" w:hAnsi="Arial"/>
          <w:b/>
          <w:bCs/>
          <w:color w:val="1F3864"/>
          <w:sz w:val="34"/>
          <w:szCs w:val="34"/>
        </w:rPr>
        <w:t xml:space="preserve">Analyse du fossé défensif (Moat)</w:t>
      </w:r>
    </w:p>
    <w:p>
      <w:pPr>
        <w:spacing w:after="50" w:before="50"/>
      </w:pPr>
      <w:r>
        <w:rPr>
          <w:rFonts w:ascii="Arial" w:cs="Arial" w:eastAsia="Arial" w:hAnsi="Arial"/>
          <w:sz w:val="18"/>
          <w:szCs w:val="18"/>
        </w:rPr>
        <w:t xml:space="preserve">Le moat de PredictFinance est un moat d'intangibles + switching costs — non encore constitué au stade actuel. Son caractère défensif dépend de l'exécution.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13"/>
        <w:gridCol w:w="3213"/>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Source de moat</w:t>
            </w:r>
          </w:p>
        </w:tc>
        <w:tc>
          <w:tcPr>
            <w:tcW w:type="dxa" w:w="1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Score /5</w:t>
            </w:r>
          </w:p>
        </w:tc>
        <w:tc>
          <w:tcPr>
            <w:tcW w:type="dxa" w:w="221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Statut actuel</w:t>
            </w:r>
          </w:p>
        </w:tc>
        <w:tc>
          <w:tcPr>
            <w:tcW w:type="dxa" w:w="321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Condition de réalisation</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Pédagogie déterministe versionnée (C-08/C-09)</w:t>
            </w:r>
          </w:p>
        </w:tc>
        <w:tc>
          <w:tcPr>
            <w:tcW w:type="dxa" w:w="1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center"/>
            </w:pPr>
            <w:r>
              <w:rPr>
                <w:rFonts w:ascii="Courier New" w:cs="Courier New" w:eastAsia="Courier New" w:hAnsi="Courier New"/>
                <w:b/>
                <w:bCs/>
                <w:color w:val="BF8F00"/>
                <w:sz w:val="16"/>
                <w:szCs w:val="16"/>
              </w:rPr>
              <w:t xml:space="preserve">■■□□□ 2/5</w:t>
            </w:r>
          </w:p>
        </w:tc>
        <w:tc>
          <w:tcPr>
            <w:tcW w:type="dxa" w:w="2213"/>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Partiel — moteur OK, surfaces zéro</w:t>
            </w:r>
          </w:p>
        </w:tc>
        <w:tc>
          <w:tcPr>
            <w:tcW w:type="dxa" w:w="3213"/>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Livrer C-08 + C-09 avant croissance. Chaque version du corpus pédagogique = actif inimitable.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Snapshots auditables + historique personnel</w:t>
            </w:r>
          </w:p>
        </w:tc>
        <w:tc>
          <w:tcPr>
            <w:tcW w:type="dxa" w:w="1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center"/>
            </w:pPr>
            <w:r>
              <w:rPr>
                <w:rFonts w:ascii="Courier New" w:cs="Courier New" w:eastAsia="Courier New" w:hAnsi="Courier New"/>
                <w:b/>
                <w:bCs/>
                <w:color w:val="BF8F00"/>
                <w:sz w:val="16"/>
                <w:szCs w:val="16"/>
              </w:rPr>
              <w:t xml:space="preserve">■■■□□ 3/5</w:t>
            </w:r>
          </w:p>
        </w:tc>
        <w:tc>
          <w:tcPr>
            <w:tcW w:type="dxa" w:w="22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Construit — infrastructure solide</w:t>
            </w:r>
          </w:p>
        </w:tc>
        <w:tc>
          <w:tcPr>
            <w:tcW w:type="dxa" w:w="321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Renforcer avec comparaison avant/après (C-02). Cet actif s'accumule avec le temps — switching cost croissant.</w:t>
            </w:r>
          </w:p>
        </w:tc>
      </w:tr>
      <w:tr>
        <w:tc>
          <w:tcPr>
            <w:tcW w:type="dxa" w:w="24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Boucle ex post (preuves accumulées)</w:t>
            </w:r>
          </w:p>
        </w:tc>
        <w:tc>
          <w:tcPr>
            <w:tcW w:type="dxa" w:w="12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center"/>
            </w:pPr>
            <w:r>
              <w:rPr>
                <w:rFonts w:ascii="Courier New" w:cs="Courier New" w:eastAsia="Courier New" w:hAnsi="Courier New"/>
                <w:b/>
                <w:bCs/>
                <w:color w:val="C00000"/>
                <w:sz w:val="16"/>
                <w:szCs w:val="16"/>
              </w:rPr>
              <w:t xml:space="preserve">■□□□□ 1/5</w:t>
            </w:r>
          </w:p>
        </w:tc>
        <w:tc>
          <w:tcPr>
            <w:tcW w:type="dxa" w:w="221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Infrastructure seule — batch job zéro</w:t>
            </w:r>
          </w:p>
        </w:tc>
        <w:tc>
          <w:tcPr>
            <w:tcW w:type="dxa" w:w="321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Construire C-11. C'est le moat le plus défensif : 2 ans de preuves ex post ne s'imitent pas en 6 mois.</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Éligibilité PEA contextualisée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center"/>
            </w:pPr>
            <w:r>
              <w:rPr>
                <w:rFonts w:ascii="Courier New" w:cs="Courier New" w:eastAsia="Courier New" w:hAnsi="Courier New"/>
                <w:b/>
                <w:bCs/>
                <w:color w:val="375623"/>
                <w:sz w:val="16"/>
                <w:szCs w:val="16"/>
              </w:rPr>
              <w:t xml:space="preserve">■■■■□ 4/5</w:t>
            </w:r>
          </w:p>
        </w:tc>
        <w:tc>
          <w:tcPr>
            <w:tcW w:type="dxa" w:w="22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Construit — registre + gouvernance</w:t>
            </w:r>
          </w:p>
        </w:tc>
        <w:tc>
          <w:tcPr>
            <w:tcW w:type="dxa" w:w="32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Maintenir la gouvernance (cadence de mise à jour trimestrielle). Unique dans l'écosystème.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Marché FR uniquement (focus défensif)</w:t>
            </w:r>
          </w:p>
        </w:tc>
        <w:tc>
          <w:tcPr>
            <w:tcW w:type="dxa" w:w="1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center"/>
            </w:pPr>
            <w:r>
              <w:rPr>
                <w:rFonts w:ascii="Courier New" w:cs="Courier New" w:eastAsia="Courier New" w:hAnsi="Courier New"/>
                <w:b/>
                <w:bCs/>
                <w:color w:val="BF8F00"/>
                <w:sz w:val="16"/>
                <w:szCs w:val="16"/>
              </w:rPr>
              <w:t xml:space="preserve">■■■□□ 3/5</w:t>
            </w:r>
          </w:p>
        </w:tc>
        <w:tc>
          <w:tcPr>
            <w:tcW w:type="dxa" w:w="221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By design — guard-rail UnsupportedInstrument</w:t>
            </w:r>
          </w:p>
        </w:tc>
        <w:tc>
          <w:tcPr>
            <w:tcW w:type="dxa" w:w="321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Ce focus est une protection contre TradingView (global, pas personnalisé FR). Ne pas élargir trop tôt.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Effets réseau / communauté</w:t>
            </w:r>
          </w:p>
        </w:tc>
        <w:tc>
          <w:tcPr>
            <w:tcW w:type="dxa" w:w="12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center"/>
            </w:pPr>
            <w:r>
              <w:rPr>
                <w:rFonts w:ascii="Courier New" w:cs="Courier New" w:eastAsia="Courier New" w:hAnsi="Courier New"/>
                <w:b/>
                <w:bCs/>
                <w:color w:val="C00000"/>
                <w:sz w:val="16"/>
                <w:szCs w:val="16"/>
              </w:rPr>
              <w:t xml:space="preserve">□□□□□ 0/5</w:t>
            </w:r>
          </w:p>
        </w:tc>
        <w:tc>
          <w:tcPr>
            <w:tcW w:type="dxa" w:w="221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Absent — usage solo uniquement</w:t>
            </w:r>
          </w:p>
        </w:tc>
        <w:tc>
          <w:tcPr>
            <w:tcW w:type="dxa" w:w="321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Opportunité V2 : comparaison anonymisée entre utilisateurs, scores collectifs, validation sociale.</w:t>
            </w:r>
          </w:p>
        </w:tc>
      </w:tr>
    </w:tbl>
    <w:p>
      <w:pPr>
        <w:spacing w:after="40" w:before="80"/>
      </w:pPr>
      <w:r>
        <w:rPr>
          <w:rFonts w:ascii="Arial" w:cs="Arial" w:eastAsia="Arial" w:hAnsi="Arial"/>
          <w:i/>
          <w:iCs/>
          <w:color w:val="666666"/>
          <w:sz w:val="17"/>
          <w:szCs w:val="17"/>
        </w:rPr>
        <w:t xml:space="preserve">Score /5 : 0-1 = absent/faible, 2-3 = partiel/construit, 4-5 = fort/différenciant</w:t>
      </w:r>
    </w:p>
    <w:p>
      <w:pPr>
        <w:pBdr>
          <w:bottom w:val="single" w:color="70AD47" w:sz="6" w:space="4"/>
        </w:pBdr>
        <w:spacing w:after="80" w:before="280"/>
      </w:pPr>
    </w:p>
    <w:p>
      <w:pPr>
        <w:spacing w:after="100" w:before="300"/>
      </w:pPr>
      <w:r>
        <w:rPr>
          <w:rFonts w:ascii="Arial" w:cs="Arial" w:eastAsia="Arial" w:hAnsi="Arial"/>
          <w:b/>
          <w:bCs/>
          <w:color w:val="375623"/>
          <w:sz w:val="34"/>
          <w:szCs w:val="34"/>
        </w:rPr>
        <w:t xml:space="preserve">Cas bull — la thèse gagnante</w:t>
      </w:r>
    </w:p>
    <w:p>
      <w:pPr>
        <w:spacing w:after="50" w:before="50"/>
      </w:pPr>
      <w:r>
        <w:rPr>
          <w:rFonts w:ascii="Arial" w:cs="Arial" w:eastAsia="Arial" w:hAnsi="Arial"/>
          <w:b/>
          <w:bCs/>
          <w:color w:val="375623"/>
          <w:sz w:val="18"/>
          <w:szCs w:val="18"/>
        </w:rPr>
        <w:t xml:space="preserve">Probabilité estimée : 25% | Valeur dans ce scénario : ~€1,47M (5 000 abonnés × €4,90/mois × 12 = €294k ARR × 5)</w:t>
      </w:r>
    </w:p>
    <w:p>
      <w:pPr>
        <w:spacing w:after="60" w:before="80"/>
      </w:pPr>
      <w:r>
        <w:rPr>
          <w:rFonts w:ascii="Arial" w:cs="Arial" w:eastAsia="Arial" w:hAnsi="Arial"/>
          <w:b/>
          <w:bCs/>
          <w:color w:val="375623"/>
          <w:sz w:val="19"/>
          <w:szCs w:val="19"/>
        </w:rPr>
        <w:t xml:space="preserve">Séquence d'événements gagnante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913"/>
        <w:gridCol w:w="2913"/>
      </w:tblGrid>
      <w:tr>
        <w:tc>
          <w:tcPr>
            <w:tcW w:type="dxa" w:w="700"/>
            <w:tcBorders>
              <w:top w:val="single" w:color="375623" w:sz="1"/>
              <w:left w:val="single" w:color="375623" w:sz="1"/>
              <w:bottom w:val="single" w:color="375623" w:sz="1"/>
              <w:right w:val="single" w:color="375623" w:sz="1"/>
            </w:tcBorders>
            <w:shd w:fill="375623" w:val="clear"/>
            <w:tcMar>
              <w:top w:type="dxa" w:w="80"/>
              <w:left w:type="dxa" w:w="130"/>
              <w:bottom w:type="dxa" w:w="80"/>
              <w:right w:type="dxa" w:w="130"/>
            </w:tcMar>
            <w:vAlign w:val="center"/>
          </w:tcPr>
          <w:p>
            <w:r>
              <w:rPr>
                <w:rFonts w:ascii="Arial" w:cs="Arial" w:eastAsia="Arial" w:hAnsi="Arial"/>
                <w:b/>
                <w:bCs/>
                <w:color w:val="FFFFFF"/>
                <w:sz w:val="17"/>
                <w:szCs w:val="17"/>
              </w:rPr>
              <w:t xml:space="preserve">Étape</w:t>
            </w:r>
          </w:p>
        </w:tc>
        <w:tc>
          <w:tcPr>
            <w:tcW w:type="dxa" w:w="2500"/>
            <w:tcBorders>
              <w:top w:val="single" w:color="375623" w:sz="1"/>
              <w:left w:val="single" w:color="375623" w:sz="1"/>
              <w:bottom w:val="single" w:color="375623" w:sz="1"/>
              <w:right w:val="single" w:color="375623" w:sz="1"/>
            </w:tcBorders>
            <w:shd w:fill="375623" w:val="clear"/>
            <w:tcMar>
              <w:top w:type="dxa" w:w="80"/>
              <w:left w:type="dxa" w:w="130"/>
              <w:bottom w:type="dxa" w:w="80"/>
              <w:right w:type="dxa" w:w="130"/>
            </w:tcMar>
            <w:vAlign w:val="center"/>
          </w:tcPr>
          <w:p>
            <w:r>
              <w:rPr>
                <w:rFonts w:ascii="Arial" w:cs="Arial" w:eastAsia="Arial" w:hAnsi="Arial"/>
                <w:b/>
                <w:bCs/>
                <w:color w:val="FFFFFF"/>
                <w:sz w:val="17"/>
                <w:szCs w:val="17"/>
              </w:rPr>
              <w:t xml:space="preserve">Événement</w:t>
            </w:r>
          </w:p>
        </w:tc>
        <w:tc>
          <w:tcPr>
            <w:tcW w:type="dxa" w:w="2913"/>
            <w:tcBorders>
              <w:top w:val="single" w:color="375623" w:sz="1"/>
              <w:left w:val="single" w:color="375623" w:sz="1"/>
              <w:bottom w:val="single" w:color="375623" w:sz="1"/>
              <w:right w:val="single" w:color="375623" w:sz="1"/>
            </w:tcBorders>
            <w:shd w:fill="375623" w:val="clear"/>
            <w:tcMar>
              <w:top w:type="dxa" w:w="80"/>
              <w:left w:type="dxa" w:w="130"/>
              <w:bottom w:type="dxa" w:w="80"/>
              <w:right w:type="dxa" w:w="130"/>
            </w:tcMar>
            <w:vAlign w:val="center"/>
          </w:tcPr>
          <w:p>
            <w:r>
              <w:rPr>
                <w:rFonts w:ascii="Arial" w:cs="Arial" w:eastAsia="Arial" w:hAnsi="Arial"/>
                <w:b/>
                <w:bCs/>
                <w:color w:val="FFFFFF"/>
                <w:sz w:val="17"/>
                <w:szCs w:val="17"/>
              </w:rPr>
              <w:t xml:space="preserve">Mécanisme</w:t>
            </w:r>
          </w:p>
        </w:tc>
        <w:tc>
          <w:tcPr>
            <w:tcW w:type="dxa" w:w="2913"/>
            <w:tcBorders>
              <w:top w:val="single" w:color="375623" w:sz="1"/>
              <w:left w:val="single" w:color="375623" w:sz="1"/>
              <w:bottom w:val="single" w:color="375623" w:sz="1"/>
              <w:right w:val="single" w:color="375623" w:sz="1"/>
            </w:tcBorders>
            <w:shd w:fill="375623" w:val="clear"/>
            <w:tcMar>
              <w:top w:type="dxa" w:w="80"/>
              <w:left w:type="dxa" w:w="130"/>
              <w:bottom w:type="dxa" w:w="80"/>
              <w:right w:type="dxa" w:w="130"/>
            </w:tcMar>
            <w:vAlign w:val="center"/>
          </w:tcPr>
          <w:p>
            <w:r>
              <w:rPr>
                <w:rFonts w:ascii="Arial" w:cs="Arial" w:eastAsia="Arial" w:hAnsi="Arial"/>
                <w:b/>
                <w:bCs/>
                <w:color w:val="FFFFFF"/>
                <w:sz w:val="17"/>
                <w:szCs w:val="17"/>
              </w:rPr>
              <w:t xml:space="preserve">Indicateur de succès</w:t>
            </w:r>
          </w:p>
        </w:tc>
      </w:tr>
      <w:tr>
        <w:tc>
          <w:tcPr>
            <w:tcW w:type="dxa" w:w="7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1</w:t>
            </w:r>
          </w:p>
        </w:tc>
        <w:tc>
          <w:tcPr>
            <w:tcW w:type="dxa" w:w="25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Avis AMF favorable → lancement légal</w:t>
            </w:r>
          </w:p>
        </w:tc>
        <w:tc>
          <w:tcPr>
            <w:tcW w:type="dxa" w:w="29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Reformulation des verbes si nécessaire + disclaimer visible</w:t>
            </w:r>
          </w:p>
        </w:tc>
        <w:tc>
          <w:tcPr>
            <w:tcW w:type="dxa" w:w="29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Avis juridique reçu &lt; 3 mois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C-08/C-09 livrés → différenciation visible</w:t>
            </w:r>
          </w:p>
        </w:tc>
        <w:tc>
          <w:tcPr>
            <w:tcW w:type="dxa" w:w="291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Chaque analyse inclut Plan d'Action + Décomposition Confiance</w:t>
            </w:r>
          </w:p>
        </w:tc>
        <w:tc>
          <w:tcPr>
            <w:tcW w:type="dxa" w:w="291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Taux complétion analyse &gt; 80%</w:t>
            </w:r>
          </w:p>
        </w:tc>
      </w:tr>
      <w:tr>
        <w:tc>
          <w:tcPr>
            <w:tcW w:type="dxa" w:w="7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3</w:t>
            </w:r>
          </w:p>
        </w:tc>
        <w:tc>
          <w:tcPr>
            <w:tcW w:type="dxa" w:w="25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Beta 100 utilisateurs → PMF validé</w:t>
            </w:r>
          </w:p>
        </w:tc>
        <w:tc>
          <w:tcPr>
            <w:tcW w:type="dxa" w:w="29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NPS &gt; 35, rétention S4 &gt; 65%</w:t>
            </w:r>
          </w:p>
        </w:tc>
        <w:tc>
          <w:tcPr>
            <w:tcW w:type="dxa" w:w="29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NPS mesuré, churn &lt; 6%/mois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Boucle ex post activée → preuve de valeur</w:t>
            </w:r>
          </w:p>
        </w:tc>
        <w:tc>
          <w:tcPr>
            <w:tcW w:type="dxa" w:w="291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Premiers TARGET_HIT visibles sur analyses passées</w:t>
            </w:r>
          </w:p>
        </w:tc>
        <w:tc>
          <w:tcPr>
            <w:tcW w:type="dxa" w:w="291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Au moins 30% des analyses ont un outcome ex post</w:t>
            </w:r>
          </w:p>
        </w:tc>
      </w:tr>
      <w:tr>
        <w:tc>
          <w:tcPr>
            <w:tcW w:type="dxa" w:w="7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5</w:t>
            </w:r>
          </w:p>
        </w:tc>
        <w:tc>
          <w:tcPr>
            <w:tcW w:type="dxa" w:w="25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Croissance organique via SEO / bouche-à-oreille</w:t>
            </w:r>
          </w:p>
        </w:tc>
        <w:tc>
          <w:tcPr>
            <w:tcW w:type="dxa" w:w="29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Contenu pédagogique généré par PredictFinance capte la recherche débutants</w:t>
            </w:r>
          </w:p>
        </w:tc>
        <w:tc>
          <w:tcPr>
            <w:tcW w:type="dxa" w:w="29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500 abonnés payants en M12 post-lancement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Fossé ex post inimitable constitué</w:t>
            </w:r>
          </w:p>
        </w:tc>
        <w:tc>
          <w:tcPr>
            <w:tcW w:type="dxa" w:w="291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2 ans de données ex post accumulées = barrière à l'entrée temporelle</w:t>
            </w:r>
          </w:p>
        </w:tc>
        <w:tc>
          <w:tcPr>
            <w:tcW w:type="dxa" w:w="291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LTV &gt; 24 mois, NPS &gt; 50</w:t>
            </w:r>
          </w:p>
        </w:tc>
      </w:tr>
    </w:tbl>
    <w:p>
      <w:pPr>
        <w:spacing w:after="60" w:before="160"/>
      </w:pPr>
      <w:r>
        <w:rPr>
          <w:rFonts w:ascii="Arial" w:cs="Arial" w:eastAsia="Arial" w:hAnsi="Arial"/>
          <w:b/>
          <w:bCs/>
          <w:color w:val="375623"/>
          <w:sz w:val="19"/>
          <w:szCs w:val="19"/>
        </w:rPr>
        <w:t xml:space="preserve">Pourquoi les grands acteurs ne répliqueront pas rapidement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c>
          <w:tcPr>
            <w:tcW w:type="dxa" w:w="23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Acteur</w:t>
            </w:r>
          </w:p>
        </w:tc>
        <w:tc>
          <w:tcPr>
            <w:tcW w:type="dxa" w:w="336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Pourquoi ils pourraient</w:t>
            </w:r>
          </w:p>
        </w:tc>
        <w:tc>
          <w:tcPr>
            <w:tcW w:type="dxa" w:w="336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Pourquoi ils ne le feront probablement pas</w:t>
            </w:r>
          </w:p>
        </w:tc>
      </w:tr>
      <w:tr>
        <w:tc>
          <w:tcPr>
            <w:tcW w:type="dxa" w:w="23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Boursorama / BNP</w:t>
            </w:r>
          </w:p>
        </w:tc>
        <w:tc>
          <w:tcPr>
            <w:tcW w:type="dxa" w:w="3363"/>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Audience massive, budget, brand trust, data FR déjà disponible</w:t>
            </w:r>
          </w:p>
        </w:tc>
        <w:tc>
          <w:tcPr>
            <w:tcW w:type="dxa" w:w="3363"/>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La pédagogie inline qui explique « Attendre » réduit les transactions → conflit direct avec leur modèle de revenus (commissions de courtage). Incentive structurellement aligné contre eux.</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TradingView</w:t>
            </w:r>
          </w:p>
        </w:tc>
        <w:tc>
          <w:tcPr>
            <w:tcW w:type="dxa" w:w="336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Outil dominant, communauté, Pine Script extensible</w:t>
            </w:r>
          </w:p>
        </w:tc>
        <w:tc>
          <w:tcPr>
            <w:tcW w:type="dxa" w:w="336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Produit global, pas de focus FR, pas de PEA, pas de pédagogie — trop loin de leur DNA. Segment débutant FR = trop niche pour eux.</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Investir.fr / Zonebourse</w:t>
            </w:r>
          </w:p>
        </w:tc>
        <w:tc>
          <w:tcPr>
            <w:tcW w:type="dxa" w:w="336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Marché FR, database historique, audience existante</w:t>
            </w:r>
          </w:p>
        </w:tc>
        <w:tc>
          <w:tcPr>
            <w:tcW w:type="dxa" w:w="336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sz w:val="17"/>
                <w:szCs w:val="17"/>
              </w:rPr>
              <w:t xml:space="preserve">Modèle éditorial, pas de culture produit SaaS. Transition vers un outil interactif = refonte profonde du business model.</w:t>
            </w:r>
          </w:p>
        </w:tc>
      </w:tr>
      <w:tr>
        <w:tc>
          <w:tcPr>
            <w:tcW w:type="dxa" w:w="23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Startup concurrente (risque réel)</w:t>
            </w:r>
          </w:p>
        </w:tc>
        <w:tc>
          <w:tcPr>
            <w:tcW w:type="dxa" w:w="336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Peut lever des fonds, bouger vite, cibler la même niche</w:t>
            </w:r>
          </w:p>
        </w:tc>
        <w:tc>
          <w:tcPr>
            <w:tcW w:type="dxa" w:w="336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Risque réel mais mitigeable par l'avance first-mover. La boucle ex post avec données accumulées prend 12–18 mois à constituer.</w:t>
            </w:r>
          </w:p>
        </w:tc>
      </w:tr>
    </w:tbl>
    <w:p>
      <w:pPr>
        <w:pBdr>
          <w:bottom w:val="single" w:color="C00000" w:sz="6" w:space="4"/>
        </w:pBdr>
        <w:spacing w:after="80" w:before="280"/>
      </w:pPr>
    </w:p>
    <w:p>
      <w:pPr>
        <w:spacing w:after="100" w:before="300"/>
      </w:pPr>
      <w:r>
        <w:rPr>
          <w:rFonts w:ascii="Arial" w:cs="Arial" w:eastAsia="Arial" w:hAnsi="Arial"/>
          <w:b/>
          <w:bCs/>
          <w:color w:val="C00000"/>
          <w:sz w:val="34"/>
          <w:szCs w:val="34"/>
        </w:rPr>
        <w:t xml:space="preserve">Cas bear — la thèse perdante</w:t>
      </w:r>
    </w:p>
    <w:p>
      <w:pPr>
        <w:spacing w:after="50" w:before="50"/>
      </w:pPr>
      <w:r>
        <w:rPr>
          <w:rFonts w:ascii="Arial" w:cs="Arial" w:eastAsia="Arial" w:hAnsi="Arial"/>
          <w:b/>
          <w:bCs/>
          <w:color w:val="C00000"/>
          <w:sz w:val="18"/>
          <w:szCs w:val="18"/>
        </w:rPr>
        <w:t xml:space="preserve">Probabilité estimée : 25% | Valeur dans ce scénario : €50–100k (valeur technique résiduelle)</w:t>
      </w:r>
    </w:p>
    <w:p>
      <w:pPr>
        <w:spacing w:after="60" w:before="160"/>
      </w:pPr>
      <w:r>
        <w:rPr>
          <w:rFonts w:ascii="Arial" w:cs="Arial" w:eastAsia="Arial" w:hAnsi="Arial"/>
          <w:b/>
          <w:bCs/>
          <w:color w:val="C00000"/>
          <w:sz w:val="19"/>
          <w:szCs w:val="19"/>
        </w:rPr>
        <w:t xml:space="preserve">Scénario de destruction de valeur</w:t>
      </w:r>
    </w:p>
    <w:p>
      <w:pPr>
        <w:pStyle w:val="ListParagraph"/>
        <w:numPr>
          <w:ilvl w:val="0"/>
          <w:numId w:val="2"/>
        </w:numPr>
        <w:spacing w:after="36" w:before="36"/>
      </w:pPr>
      <w:r>
        <w:rPr>
          <w:rFonts w:ascii="Arial" w:cs="Arial" w:eastAsia="Arial" w:hAnsi="Arial"/>
          <w:sz w:val="18"/>
          <w:szCs w:val="18"/>
        </w:rPr>
        <w:t xml:space="preserve">AMF requalifie en CIF : restructuration produit profonde requise avant toute commercialisation. Délai de 6–18 mois supplémentaires. Budget juridique et dev imprévu.</w:t>
      </w:r>
    </w:p>
    <w:p>
      <w:pPr>
        <w:pStyle w:val="ListParagraph"/>
        <w:numPr>
          <w:ilvl w:val="0"/>
          <w:numId w:val="2"/>
        </w:numPr>
        <w:spacing w:after="36" w:before="36"/>
      </w:pPr>
      <w:r>
        <w:rPr>
          <w:rFonts w:ascii="Arial" w:cs="Arial" w:eastAsia="Arial" w:hAnsi="Arial"/>
          <w:sz w:val="18"/>
          <w:szCs w:val="18"/>
        </w:rPr>
        <w:t xml:space="preserve">Les différenciateurs (C-08/C-09/C-11) ne sont pas construits avant le lancement : le produit est lancé comme screener technique. Churn &gt; 10%/mois dès M2. LTV &lt; 6 mois. CAC non récupérable.</w:t>
      </w:r>
    </w:p>
    <w:p>
      <w:pPr>
        <w:pStyle w:val="ListParagraph"/>
        <w:numPr>
          <w:ilvl w:val="0"/>
          <w:numId w:val="2"/>
        </w:numPr>
        <w:spacing w:after="36" w:before="36"/>
      </w:pPr>
      <w:r>
        <w:rPr>
          <w:rFonts w:ascii="Arial" w:cs="Arial" w:eastAsia="Arial" w:hAnsi="Arial"/>
          <w:sz w:val="18"/>
          <w:szCs w:val="18"/>
        </w:rPr>
        <w:t xml:space="preserve">Boursorama lance une feature « analyse pédagogique inline » : contexte post-succès de l'investissement retail FR. Leur audience (7M clients) leur donne une distribution immédiate que PredictFinance ne peut pas atteindre organiquement.</w:t>
      </w:r>
    </w:p>
    <w:p>
      <w:pPr>
        <w:pStyle w:val="ListParagraph"/>
        <w:numPr>
          <w:ilvl w:val="0"/>
          <w:numId w:val="2"/>
        </w:numPr>
        <w:spacing w:after="36" w:before="36"/>
      </w:pPr>
      <w:r>
        <w:rPr>
          <w:rFonts w:ascii="Arial" w:cs="Arial" w:eastAsia="Arial" w:hAnsi="Arial"/>
          <w:sz w:val="18"/>
          <w:szCs w:val="18"/>
        </w:rPr>
        <w:t xml:space="preserve">Fournisseur de données impose des conditions de redistribution restrictives ou coûteuses : le modèle économique devient non viable à faible volume.</w:t>
      </w:r>
    </w:p>
    <w:p>
      <w:pPr>
        <w:pStyle w:val="ListParagraph"/>
        <w:numPr>
          <w:ilvl w:val="0"/>
          <w:numId w:val="2"/>
        </w:numPr>
        <w:spacing w:after="36" w:before="36"/>
      </w:pPr>
      <w:r>
        <w:rPr>
          <w:rFonts w:ascii="Arial" w:cs="Arial" w:eastAsia="Arial" w:hAnsi="Arial"/>
          <w:sz w:val="18"/>
          <w:szCs w:val="18"/>
        </w:rPr>
        <w:t xml:space="preserve">Pas de product-market fit validé en beta : les débutants ne comprennent pas les 4 patterns de continuation — trop complexe pour le segment cible. Le positionnement doit être revu.</w:t>
      </w:r>
    </w:p>
    <w:p>
      <w:pPr>
        <w:spacing w:after="60" w:before="160"/>
      </w:pPr>
      <w:r>
        <w:rPr>
          <w:rFonts w:ascii="Arial" w:cs="Arial" w:eastAsia="Arial" w:hAnsi="Arial"/>
          <w:b/>
          <w:bCs/>
          <w:color w:val="2E75B6"/>
          <w:sz w:val="19"/>
          <w:szCs w:val="19"/>
        </w:rPr>
        <w:t xml:space="preserve">Signaux d'alerte précoce à surveiller</w:t>
      </w:r>
    </w:p>
    <w:p>
      <w:pPr>
        <w:pStyle w:val="ListParagraph"/>
        <w:numPr>
          <w:ilvl w:val="0"/>
          <w:numId w:val="2"/>
        </w:numPr>
        <w:spacing w:after="36" w:before="36"/>
      </w:pPr>
      <w:r>
        <w:rPr>
          <w:rFonts w:ascii="Arial" w:cs="Arial" w:eastAsia="Arial" w:hAnsi="Arial"/>
          <w:sz w:val="18"/>
          <w:szCs w:val="18"/>
        </w:rPr>
        <w:t xml:space="preserve">Boursorama / BNP annonce une feature « pédagogie inline » ou acquiert une startup d'edtech finance</w:t>
      </w:r>
    </w:p>
    <w:p>
      <w:pPr>
        <w:pStyle w:val="ListParagraph"/>
        <w:numPr>
          <w:ilvl w:val="0"/>
          <w:numId w:val="2"/>
        </w:numPr>
        <w:spacing w:after="36" w:before="36"/>
      </w:pPr>
      <w:r>
        <w:rPr>
          <w:rFonts w:ascii="Arial" w:cs="Arial" w:eastAsia="Arial" w:hAnsi="Arial"/>
          <w:sz w:val="18"/>
          <w:szCs w:val="18"/>
        </w:rPr>
        <w:t xml:space="preserve">AMF publie une position sur les outils d'aide à la décision automatisés contextualisés (risque de clarification défavorable)</w:t>
      </w:r>
    </w:p>
    <w:p>
      <w:pPr>
        <w:pStyle w:val="ListParagraph"/>
        <w:numPr>
          <w:ilvl w:val="0"/>
          <w:numId w:val="2"/>
        </w:numPr>
        <w:spacing w:after="36" w:before="36"/>
      </w:pPr>
      <w:r>
        <w:rPr>
          <w:rFonts w:ascii="Arial" w:cs="Arial" w:eastAsia="Arial" w:hAnsi="Arial"/>
          <w:sz w:val="18"/>
          <w:szCs w:val="18"/>
        </w:rPr>
        <w:t xml:space="preserve">NPS beta &lt; 20 ou rétention semaine 4 &lt; 40% (signal PMF raté)</w:t>
      </w:r>
    </w:p>
    <w:p>
      <w:pPr>
        <w:pStyle w:val="ListParagraph"/>
        <w:numPr>
          <w:ilvl w:val="0"/>
          <w:numId w:val="2"/>
        </w:numPr>
        <w:spacing w:after="36" w:before="36"/>
      </w:pPr>
      <w:r>
        <w:rPr>
          <w:rFonts w:ascii="Arial" w:cs="Arial" w:eastAsia="Arial" w:hAnsi="Arial"/>
          <w:sz w:val="18"/>
          <w:szCs w:val="18"/>
        </w:rPr>
        <w:t xml:space="preserve">Fournisseur de données refuse de signer un contrat de redistribution commercial</w:t>
      </w:r>
    </w:p>
    <w:p>
      <w:pPr>
        <w:pStyle w:val="ListParagraph"/>
        <w:numPr>
          <w:ilvl w:val="0"/>
          <w:numId w:val="2"/>
        </w:numPr>
        <w:spacing w:after="36" w:before="36"/>
      </w:pPr>
      <w:r>
        <w:rPr>
          <w:rFonts w:ascii="Arial" w:cs="Arial" w:eastAsia="Arial" w:hAnsi="Arial"/>
          <w:sz w:val="18"/>
          <w:szCs w:val="18"/>
        </w:rPr>
        <w:t xml:space="preserve">L'équipe ne livre pas C-08/C-09 dans les 6 mois → séquençage produit raté</w:t>
      </w:r>
    </w:p>
    <w:p>
      <w:pPr>
        <w:pBdr>
          <w:bottom w:val="single" w:color="7030A0" w:sz="6" w:space="4"/>
        </w:pBdr>
        <w:spacing w:after="80" w:before="280"/>
      </w:pPr>
    </w:p>
    <w:p>
      <w:pPr>
        <w:spacing w:after="100" w:before="300"/>
      </w:pPr>
      <w:r>
        <w:rPr>
          <w:rFonts w:ascii="Arial" w:cs="Arial" w:eastAsia="Arial" w:hAnsi="Arial"/>
          <w:b/>
          <w:bCs/>
          <w:color w:val="1F3864"/>
          <w:sz w:val="34"/>
          <w:szCs w:val="34"/>
        </w:rPr>
        <w:t xml:space="preserve">Analyse FaVeS — Fondamentaux, Valeur, Sentiment</w:t>
      </w:r>
    </w:p>
    <w:p>
      <w:pPr>
        <w:spacing w:after="80" w:before="220"/>
      </w:pPr>
      <w:r>
        <w:rPr>
          <w:rFonts w:ascii="Arial" w:cs="Arial" w:eastAsia="Arial" w:hAnsi="Arial"/>
          <w:b/>
          <w:bCs/>
          <w:color w:val="1F3864"/>
          <w:sz w:val="22"/>
          <w:szCs w:val="22"/>
        </w:rPr>
        <w:t xml:space="preserve">F — Fondamentaux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KPI fondamental</w:t>
            </w:r>
          </w:p>
        </w:tc>
        <w:tc>
          <w:tcPr>
            <w:tcW w:type="dxa" w:w="341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Situation actuelle</w:t>
            </w:r>
          </w:p>
        </w:tc>
        <w:tc>
          <w:tcPr>
            <w:tcW w:type="dxa" w:w="341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Implication</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Complétion du moat pédagogique</w:t>
            </w:r>
          </w:p>
        </w:tc>
        <w:tc>
          <w:tcPr>
            <w:tcW w:type="dxa" w:w="3413"/>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~20% — moteur OK, surfaces zéro</w:t>
            </w:r>
          </w:p>
        </w:tc>
        <w:tc>
          <w:tcPr>
            <w:tcW w:type="dxa" w:w="3413"/>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L'actif différenciant n'est pas encore créé. Valeur actuelle ≈ valeur technique, pas valeur stratégique.</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Complétion infrastructure ex post</w:t>
            </w:r>
          </w:p>
        </w:tc>
        <w:tc>
          <w:tcPr>
            <w:tcW w:type="dxa" w:w="3413"/>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~30% — schema DB OK, batch zéro</w:t>
            </w:r>
          </w:p>
        </w:tc>
        <w:tc>
          <w:tcPr>
            <w:tcW w:type="dxa" w:w="3413"/>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Le mécanisme de rétention le plus fort est proche mais inexistant. Priorité après C-08/C-09.</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Solidité backend (auth, patterns, admin)</w:t>
            </w:r>
          </w:p>
        </w:tc>
        <w:tc>
          <w:tcPr>
            <w:tcW w:type="dxa" w:w="34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Élevée — dépasse la spec</w:t>
            </w:r>
          </w:p>
        </w:tc>
        <w:tc>
          <w:tcPr>
            <w:tcW w:type="dxa" w:w="34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La fondation ne sera pas un facteur limitant. Le risque est dans les surfaces utilisateur et le légal.</w:t>
            </w:r>
          </w:p>
        </w:tc>
      </w:tr>
      <w:tr>
        <w:tc>
          <w:tcPr>
            <w:tcW w:type="dxa" w:w="22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Cadre légal AMF/RGPD</w:t>
            </w:r>
          </w:p>
        </w:tc>
        <w:tc>
          <w:tcPr>
            <w:tcW w:type="dxa" w:w="341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Incomplet — CIF non tranché, Art. 17 absent</w:t>
            </w:r>
          </w:p>
        </w:tc>
        <w:tc>
          <w:tcPr>
            <w:tcW w:type="dxa" w:w="341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Bloque la commercialisation. Résoudre avant toute autre priorité produit.</w:t>
            </w:r>
          </w:p>
        </w:tc>
      </w:tr>
      <w:tr>
        <w:tc>
          <w:tcPr>
            <w:tcW w:type="dxa" w:w="22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Validation marché</w:t>
            </w:r>
          </w:p>
        </w:tc>
        <w:tc>
          <w:tcPr>
            <w:tcW w:type="dxa" w:w="341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Zéro — aucun utilisateur beta</w:t>
            </w:r>
          </w:p>
        </w:tc>
        <w:tc>
          <w:tcPr>
            <w:tcW w:type="dxa" w:w="341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Hypothèses non testées. PMF inconnu. Beta obligatoire avant lancement.</w:t>
            </w:r>
          </w:p>
        </w:tc>
      </w:tr>
    </w:tbl>
    <w:p>
      <w:pPr>
        <w:spacing w:after="80" w:before="220"/>
      </w:pPr>
      <w:r>
        <w:rPr>
          <w:rFonts w:ascii="Arial" w:cs="Arial" w:eastAsia="Arial" w:hAnsi="Arial"/>
          <w:b/>
          <w:bCs/>
          <w:color w:val="1F3864"/>
          <w:sz w:val="22"/>
          <w:szCs w:val="22"/>
        </w:rPr>
        <w:t xml:space="preserve">V — Valeur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713"/>
        <w:gridCol w:w="2713"/>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Scénario</w:t>
            </w:r>
          </w:p>
        </w:tc>
        <w:tc>
          <w:tcPr>
            <w:tcW w:type="dxa" w:w="2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Valeur</w:t>
            </w:r>
          </w:p>
        </w:tc>
        <w:tc>
          <w:tcPr>
            <w:tcW w:type="dxa" w:w="271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Hypothèse clé</w:t>
            </w:r>
          </w:p>
        </w:tc>
        <w:tc>
          <w:tcPr>
            <w:tcW w:type="dxa" w:w="271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Probabilité</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b/>
                <w:bCs/>
                <w:color w:val="375623"/>
                <w:sz w:val="17"/>
                <w:szCs w:val="17"/>
              </w:rPr>
              <w:t xml:space="preserve">Bull</w:t>
            </w:r>
          </w:p>
        </w:tc>
        <w:tc>
          <w:tcPr>
            <w:tcW w:type="dxa" w:w="20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b/>
                <w:bCs/>
                <w:color w:val="375623"/>
                <w:sz w:val="20"/>
                <w:szCs w:val="20"/>
              </w:rPr>
              <w:t xml:space="preserve">€1,47M</w:t>
            </w:r>
          </w:p>
        </w:tc>
        <w:tc>
          <w:tcPr>
            <w:tcW w:type="dxa" w:w="27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5 000 abonnés × €4,90/mois × 12 = €294k ARR × 5 = €1,47M. Fossé ex post constitué, CIF dégagé.</w:t>
            </w:r>
          </w:p>
        </w:tc>
        <w:tc>
          <w:tcPr>
            <w:tcW w:type="dxa" w:w="27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25%</w:t>
            </w:r>
          </w:p>
        </w:tc>
      </w:tr>
      <w:tr>
        <w:tc>
          <w:tcPr>
            <w:tcW w:type="dxa" w:w="1600"/>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b/>
                <w:bCs/>
                <w:color w:val="2E75B6"/>
                <w:sz w:val="17"/>
                <w:szCs w:val="17"/>
              </w:rPr>
              <w:t xml:space="preserve">Base</w:t>
            </w:r>
          </w:p>
        </w:tc>
        <w:tc>
          <w:tcPr>
            <w:tcW w:type="dxa" w:w="2000"/>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b/>
                <w:bCs/>
                <w:color w:val="2E75B6"/>
                <w:sz w:val="20"/>
                <w:szCs w:val="20"/>
              </w:rPr>
              <w:t xml:space="preserve">€176k</w:t>
            </w:r>
          </w:p>
        </w:tc>
        <w:tc>
          <w:tcPr>
            <w:tcW w:type="dxa" w:w="2713"/>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sz w:val="17"/>
                <w:szCs w:val="17"/>
              </w:rPr>
              <w:t xml:space="preserve">1 000 abonnés × €4,90/mois × 12 = €58,8k ARR × 3 = €176k. C-08/C-09 livrés, ex post partiel.</w:t>
            </w:r>
          </w:p>
        </w:tc>
        <w:tc>
          <w:tcPr>
            <w:tcW w:type="dxa" w:w="2713"/>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sz w:val="17"/>
                <w:szCs w:val="17"/>
              </w:rPr>
              <w:t xml:space="preserve">50%</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b/>
                <w:bCs/>
                <w:color w:val="C00000"/>
                <w:sz w:val="17"/>
                <w:szCs w:val="17"/>
              </w:rPr>
              <w:t xml:space="preserve">Bear</w:t>
            </w:r>
          </w:p>
        </w:tc>
        <w:tc>
          <w:tcPr>
            <w:tcW w:type="dxa" w:w="20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b/>
                <w:bCs/>
                <w:color w:val="C00000"/>
                <w:sz w:val="20"/>
                <w:szCs w:val="20"/>
              </w:rPr>
              <w:t xml:space="preserve">€75k</w:t>
            </w:r>
          </w:p>
        </w:tc>
        <w:tc>
          <w:tcPr>
            <w:tcW w:type="dxa" w:w="271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Valeur technique résiduelle. CIF requalifié ou PMF raté.</w:t>
            </w:r>
          </w:p>
        </w:tc>
        <w:tc>
          <w:tcPr>
            <w:tcW w:type="dxa" w:w="271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25%</w:t>
            </w:r>
          </w:p>
        </w:tc>
      </w:tr>
      <w:tr>
        <w:tc>
          <w:tcPr>
            <w:tcW w:type="dxa" w:w="1600"/>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b/>
                <w:bCs/>
                <w:sz w:val="17"/>
                <w:szCs w:val="17"/>
              </w:rPr>
              <w:t xml:space="preserve">EV</w:t>
            </w:r>
          </w:p>
        </w:tc>
        <w:tc>
          <w:tcPr>
            <w:tcW w:type="dxa" w:w="2000"/>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b/>
                <w:bCs/>
                <w:color w:val="1F3864"/>
                <w:sz w:val="20"/>
                <w:szCs w:val="20"/>
              </w:rPr>
              <w:t xml:space="preserve">~€460k</w:t>
            </w:r>
          </w:p>
        </w:tc>
        <w:tc>
          <w:tcPr>
            <w:tcW w:type="dxa" w:w="2713"/>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sz w:val="17"/>
                <w:szCs w:val="17"/>
              </w:rPr>
              <w:t xml:space="preserve">0,25×1,47 + 0,50×0,176 + 0,25×0,030 = €0,46M</w:t>
            </w:r>
          </w:p>
        </w:tc>
        <w:tc>
          <w:tcPr>
            <w:tcW w:type="dxa" w:w="2713"/>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sz w:val="17"/>
                <w:szCs w:val="17"/>
              </w:rPr>
              <w:t xml:space="preserve">100%</w:t>
            </w:r>
          </w:p>
        </w:tc>
      </w:tr>
    </w:tbl>
    <w:p>
      <w:pPr>
        <w:spacing w:after="50" w:before="50"/>
      </w:pPr>
      <w:r>
        <w:rPr>
          <w:rFonts w:ascii="Arial" w:cs="Arial" w:eastAsia="Arial" w:hAnsi="Arial"/>
          <w:color w:val="333333"/>
          <w:sz w:val="18"/>
          <w:szCs w:val="18"/>
        </w:rPr>
        <w:t xml:space="preserve">Le plus grand levier de valeur est la réduction de la probabilité du cas bear : lever le risque AMF et livrer les différenciateurs déplacent mécaniquement de la valeur du bear vers le base/bull.</w:t>
      </w:r>
    </w:p>
    <w:p>
      <w:pPr>
        <w:spacing w:after="50" w:before="50"/>
      </w:pPr>
      <w:r>
        <w:rPr>
          <w:rFonts w:ascii="Arial" w:cs="Arial" w:eastAsia="Arial" w:hAnsi="Arial"/>
          <w:b/>
          <w:bCs/>
          <w:color w:val="1F3864"/>
          <w:sz w:val="18"/>
          <w:szCs w:val="18"/>
        </w:rPr>
        <w:t xml:space="preserve">Analyse LTV/CAC (prix confirmé à €4,90/mois HT, décision 2026-05-28) :</w:t>
      </w:r>
    </w:p>
    <w:p>
      <w:pPr>
        <w:spacing w:after="50" w:before="50"/>
      </w:pPr>
      <w:r>
        <w:rPr>
          <w:rFonts w:ascii="Arial" w:cs="Arial" w:eastAsia="Arial" w:hAnsi="Arial"/>
          <w:color w:val="333333"/>
          <w:sz w:val="18"/>
          <w:szCs w:val="18"/>
        </w:rPr>
        <w:t xml:space="preserve">LTV ~€98 sans boucle ex post (churn ~5%/mois) ; LTV ~€245 avec boucle ex post activée (churn ~2%/mois). CAC cible : &lt;€33 (sans ex post) ou &lt;€82 (avec ex post) pour un ratio LTV/CAC â¥ 3×. Le prix de €4,90/mois HT (décis. 2026-05-28) est confirmé ; le risque « modèle économique non défini » est levé.</w:t>
      </w:r>
    </w:p>
    <w:p>
      <w:pPr>
        <w:spacing w:after="80" w:before="220"/>
      </w:pPr>
      <w:r>
        <w:rPr>
          <w:rFonts w:ascii="Arial" w:cs="Arial" w:eastAsia="Arial" w:hAnsi="Arial"/>
          <w:b/>
          <w:bCs/>
          <w:color w:val="1F3864"/>
          <w:sz w:val="22"/>
          <w:szCs w:val="22"/>
        </w:rPr>
        <w:t xml:space="preserve">S — Sentiment et positionnement</w:t>
      </w:r>
    </w:p>
    <w:p>
      <w:pPr>
        <w:spacing w:after="50" w:before="50"/>
      </w:pPr>
      <w:r>
        <w:rPr>
          <w:rFonts w:ascii="Arial" w:cs="Arial" w:eastAsia="Arial" w:hAnsi="Arial"/>
          <w:color w:val="333333"/>
          <w:sz w:val="18"/>
          <w:szCs w:val="18"/>
        </w:rPr>
        <w:t xml:space="preserve">PredictFinance est une startup pré-lancement sans utilisateurs, sans revenus, et sans communauté. Le « sentiment » s'évalue ici comme la perception probable des early adopters cibles.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Segment</w:t>
            </w:r>
          </w:p>
        </w:tc>
        <w:tc>
          <w:tcPr>
            <w:tcW w:type="dxa" w:w="341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Perception probable actuelle</w:t>
            </w:r>
          </w:p>
        </w:tc>
        <w:tc>
          <w:tcPr>
            <w:tcW w:type="dxa" w:w="341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Déclencheur de changement de perception</w:t>
            </w:r>
          </w:p>
        </w:tc>
      </w:tr>
      <w:tr>
        <w:tc>
          <w:tcPr>
            <w:tcW w:type="dxa" w:w="2200"/>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sz w:val="17"/>
                <w:szCs w:val="17"/>
              </w:rPr>
              <w:t xml:space="preserve">Investisseur débutant FR</w:t>
            </w:r>
          </w:p>
        </w:tc>
        <w:tc>
          <w:tcPr>
            <w:tcW w:type="dxa" w:w="3413"/>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sz w:val="17"/>
                <w:szCs w:val="17"/>
              </w:rPr>
              <w:t xml:space="preserve">"Intéressant mais complexe — je ne sais pas si c'est pour moi"</w:t>
            </w:r>
          </w:p>
        </w:tc>
        <w:tc>
          <w:tcPr>
            <w:tcW w:type="dxa" w:w="3413"/>
            <w:tcBorders>
              <w:top w:val="single" w:color="CCCCCC" w:sz="1"/>
              <w:left w:val="single" w:color="CCCCCC" w:sz="1"/>
              <w:bottom w:val="single" w:color="CCCCCC" w:sz="1"/>
              <w:right w:val="single" w:color="CCCCCC" w:sz="1"/>
            </w:tcBorders>
            <w:shd w:fill="D9E2F3" w:val="clear"/>
            <w:tcMar>
              <w:top w:type="dxa" w:w="80"/>
              <w:left w:type="dxa" w:w="130"/>
              <w:bottom w:type="dxa" w:w="80"/>
              <w:right w:type="dxa" w:w="130"/>
            </w:tcMar>
            <w:vAlign w:val="center"/>
          </w:tcPr>
          <w:p>
            <w:pPr>
              <w:jc w:val="left"/>
            </w:pPr>
            <w:r>
              <w:rPr>
                <w:rFonts w:ascii="Arial" w:cs="Arial" w:eastAsia="Arial" w:hAnsi="Arial"/>
                <w:sz w:val="17"/>
                <w:szCs w:val="17"/>
              </w:rPr>
              <w:t xml:space="preserve">Onboarding guidé (C-05) + Plan d'Action (C-09) en 3 étapes visuelles → "Je comprends ce que je dois faire"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Communauté investissement (Reddit FR, Discord)</w:t>
            </w:r>
          </w:p>
        </w:tc>
        <w:tc>
          <w:tcPr>
            <w:tcW w:type="dxa" w:w="341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"Encore un screener" tant que ex post n'est pas actif</w:t>
            </w:r>
          </w:p>
        </w:tc>
        <w:tc>
          <w:tcPr>
            <w:tcW w:type="dxa" w:w="341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sz w:val="17"/>
                <w:szCs w:val="17"/>
              </w:rPr>
              <w:t xml:space="preserve">Premier post montrant un TARGET_HIT ex post avec preuve → viralité communautaire forte</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Créateurs contenu finance (YouTube, newsletters)</w:t>
            </w:r>
          </w:p>
        </w:tc>
        <w:tc>
          <w:tcPr>
            <w:tcW w:type="dxa" w:w="3413"/>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Pas encore visible sur leur radar</w:t>
            </w:r>
          </w:p>
        </w:tc>
        <w:tc>
          <w:tcPr>
            <w:tcW w:type="dxa" w:w="3413"/>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Partnership / démo : l'outil augmente leur contenu pédagogique. Distribution levier.</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Courtiers (potentiel B2B)</w:t>
            </w:r>
          </w:p>
        </w:tc>
        <w:tc>
          <w:tcPr>
            <w:tcW w:type="dxa" w:w="34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Non approchés</w:t>
            </w:r>
          </w:p>
        </w:tc>
        <w:tc>
          <w:tcPr>
            <w:tcW w:type="dxa" w:w="3413"/>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center"/>
          </w:tcPr>
          <w:p>
            <w:pPr>
              <w:jc w:val="left"/>
            </w:pPr>
            <w:r>
              <w:rPr>
                <w:rFonts w:ascii="Arial" w:cs="Arial" w:eastAsia="Arial" w:hAnsi="Arial"/>
                <w:sz w:val="17"/>
                <w:szCs w:val="17"/>
              </w:rPr>
              <w:t xml:space="preserve">Si PMF validé + 1 000 abonnés → potentiel d'intégration courtier (Fortuneo, Bourse Direct) comme feature "pédagogie".</w:t>
            </w:r>
          </w:p>
        </w:tc>
      </w:tr>
    </w:tbl>
    <w:p>
      <w:pPr>
        <w:pBdr>
          <w:bottom w:val="single" w:color="7030A0" w:sz="6" w:space="4"/>
        </w:pBdr>
        <w:spacing w:after="80" w:before="280"/>
      </w:pPr>
    </w:p>
    <w:p>
      <w:pPr>
        <w:spacing w:after="100" w:before="300"/>
      </w:pPr>
      <w:r>
        <w:rPr>
          <w:rFonts w:ascii="Arial" w:cs="Arial" w:eastAsia="Arial" w:hAnsi="Arial"/>
          <w:b/>
          <w:bCs/>
          <w:color w:val="1F3864"/>
          <w:sz w:val="34"/>
          <w:szCs w:val="34"/>
        </w:rPr>
        <w:t xml:space="preserve">Ce qui ferait évoluer notre thèse</w:t>
      </w:r>
    </w:p>
    <w:p>
      <w:pPr>
        <w:spacing w:after="80" w:before="220"/>
      </w:pPr>
      <w:r>
        <w:rPr>
          <w:rFonts w:ascii="Arial" w:cs="Arial" w:eastAsia="Arial" w:hAnsi="Arial"/>
          <w:b/>
          <w:bCs/>
          <w:color w:val="1F3864"/>
          <w:sz w:val="22"/>
          <w:szCs w:val="22"/>
        </w:rPr>
        <w:t xml:space="preserve">Vers une thèse plus bullish si :</w:t>
      </w:r>
    </w:p>
    <w:p>
      <w:pPr>
        <w:pStyle w:val="ListParagraph"/>
        <w:numPr>
          <w:ilvl w:val="0"/>
          <w:numId w:val="2"/>
        </w:numPr>
        <w:spacing w:after="36" w:before="36"/>
      </w:pPr>
      <w:r>
        <w:rPr>
          <w:rFonts w:ascii="Arial" w:cs="Arial" w:eastAsia="Arial" w:hAnsi="Arial"/>
          <w:sz w:val="18"/>
          <w:szCs w:val="18"/>
        </w:rPr>
        <w:t xml:space="preserve">AMF donne un avis favorable clair sur la nature pédagogique sans agrément CIF → le risque existentiel tombe</w:t>
      </w:r>
    </w:p>
    <w:p>
      <w:pPr>
        <w:pStyle w:val="ListParagraph"/>
        <w:numPr>
          <w:ilvl w:val="0"/>
          <w:numId w:val="2"/>
        </w:numPr>
        <w:spacing w:after="36" w:before="36"/>
      </w:pPr>
      <w:r>
        <w:rPr>
          <w:rFonts w:ascii="Arial" w:cs="Arial" w:eastAsia="Arial" w:hAnsi="Arial"/>
          <w:sz w:val="18"/>
          <w:szCs w:val="18"/>
        </w:rPr>
        <w:t xml:space="preserve">Beta affiche NPS &gt; 40 et rétention semaine 4 &gt; 70% → PMF confirmé plus fort qu'anticipé</w:t>
      </w:r>
    </w:p>
    <w:p>
      <w:pPr>
        <w:pStyle w:val="ListParagraph"/>
        <w:numPr>
          <w:ilvl w:val="0"/>
          <w:numId w:val="2"/>
        </w:numPr>
        <w:spacing w:after="36" w:before="36"/>
      </w:pPr>
      <w:r>
        <w:rPr>
          <w:rFonts w:ascii="Arial" w:cs="Arial" w:eastAsia="Arial" w:hAnsi="Arial"/>
          <w:sz w:val="18"/>
          <w:szCs w:val="18"/>
        </w:rPr>
        <w:t xml:space="preserve">Plan d'Action (C-09) génère un taux de complétion analyse &gt; 85% → l'utilisateur engage plus longtemps</w:t>
      </w:r>
    </w:p>
    <w:p>
      <w:pPr>
        <w:pStyle w:val="ListParagraph"/>
        <w:numPr>
          <w:ilvl w:val="0"/>
          <w:numId w:val="2"/>
        </w:numPr>
        <w:spacing w:after="36" w:before="36"/>
      </w:pPr>
      <w:r>
        <w:rPr>
          <w:rFonts w:ascii="Arial" w:cs="Arial" w:eastAsia="Arial" w:hAnsi="Arial"/>
          <w:sz w:val="18"/>
          <w:szCs w:val="18"/>
        </w:rPr>
        <w:t xml:space="preserve">Premier TARGET_HIT ex post viral sur une communauté FR → acquisition organique rapide</w:t>
      </w:r>
    </w:p>
    <w:p>
      <w:pPr>
        <w:pStyle w:val="ListParagraph"/>
        <w:numPr>
          <w:ilvl w:val="0"/>
          <w:numId w:val="2"/>
        </w:numPr>
        <w:spacing w:after="36" w:before="36"/>
      </w:pPr>
      <w:r>
        <w:rPr>
          <w:rFonts w:ascii="Arial" w:cs="Arial" w:eastAsia="Arial" w:hAnsi="Arial"/>
          <w:sz w:val="18"/>
          <w:szCs w:val="18"/>
        </w:rPr>
        <w:t xml:space="preserve">Partenariat courtier signé → distribution × 10 sans CAC supplémentaire</w:t>
      </w:r>
    </w:p>
    <w:p>
      <w:pPr>
        <w:pStyle w:val="ListParagraph"/>
        <w:numPr>
          <w:ilvl w:val="0"/>
          <w:numId w:val="2"/>
        </w:numPr>
        <w:spacing w:after="36" w:before="36"/>
      </w:pPr>
      <w:r>
        <w:rPr>
          <w:rFonts w:ascii="Arial" w:cs="Arial" w:eastAsia="Arial" w:hAnsi="Arial"/>
          <w:sz w:val="18"/>
          <w:szCs w:val="18"/>
        </w:rPr>
        <w:t xml:space="preserve">Prix confirmé à €4,90/mois HT (décision 2026-05-28) → risque « modèle économique non défini » levé ; unit economics LTV/CAC calculables dès le lancement</w:t>
      </w:r>
    </w:p>
    <w:p>
      <w:pPr>
        <w:spacing w:after="80" w:before="220"/>
      </w:pPr>
      <w:r>
        <w:rPr>
          <w:rFonts w:ascii="Arial" w:cs="Arial" w:eastAsia="Arial" w:hAnsi="Arial"/>
          <w:b/>
          <w:bCs/>
          <w:color w:val="1F3864"/>
          <w:sz w:val="22"/>
          <w:szCs w:val="22"/>
        </w:rPr>
        <w:t xml:space="preserve">Vers une thèse plus bearish si :</w:t>
      </w:r>
    </w:p>
    <w:p>
      <w:pPr>
        <w:pStyle w:val="ListParagraph"/>
        <w:numPr>
          <w:ilvl w:val="0"/>
          <w:numId w:val="2"/>
        </w:numPr>
        <w:spacing w:after="36" w:before="36"/>
      </w:pPr>
      <w:r>
        <w:rPr>
          <w:rFonts w:ascii="Arial" w:cs="Arial" w:eastAsia="Arial" w:hAnsi="Arial"/>
          <w:sz w:val="18"/>
          <w:szCs w:val="18"/>
        </w:rPr>
        <w:t xml:space="preserve">Boursorama ou BNP annonce une feature pédagogie inline → first-mover advantage érodé</w:t>
      </w:r>
    </w:p>
    <w:p>
      <w:pPr>
        <w:pStyle w:val="ListParagraph"/>
        <w:numPr>
          <w:ilvl w:val="0"/>
          <w:numId w:val="2"/>
        </w:numPr>
        <w:spacing w:after="36" w:before="36"/>
      </w:pPr>
      <w:r>
        <w:rPr>
          <w:rFonts w:ascii="Arial" w:cs="Arial" w:eastAsia="Arial" w:hAnsi="Arial"/>
          <w:sz w:val="18"/>
          <w:szCs w:val="18"/>
        </w:rPr>
        <w:t xml:space="preserve">AMF requalifie en CIF → pivot profond requis, délai 6–18 mois</w:t>
      </w:r>
    </w:p>
    <w:p>
      <w:pPr>
        <w:pStyle w:val="ListParagraph"/>
        <w:numPr>
          <w:ilvl w:val="0"/>
          <w:numId w:val="2"/>
        </w:numPr>
        <w:spacing w:after="36" w:before="36"/>
      </w:pPr>
      <w:r>
        <w:rPr>
          <w:rFonts w:ascii="Arial" w:cs="Arial" w:eastAsia="Arial" w:hAnsi="Arial"/>
          <w:sz w:val="18"/>
          <w:szCs w:val="18"/>
        </w:rPr>
        <w:t xml:space="preserve">NPS beta &lt; 20 → le positionnement débutant est mal calibré, refonte requise</w:t>
      </w:r>
    </w:p>
    <w:p>
      <w:pPr>
        <w:pStyle w:val="ListParagraph"/>
        <w:numPr>
          <w:ilvl w:val="0"/>
          <w:numId w:val="2"/>
        </w:numPr>
        <w:spacing w:after="36" w:before="36"/>
      </w:pPr>
      <w:r>
        <w:rPr>
          <w:rFonts w:ascii="Arial" w:cs="Arial" w:eastAsia="Arial" w:hAnsi="Arial"/>
          <w:sz w:val="18"/>
          <w:szCs w:val="18"/>
        </w:rPr>
        <w:t xml:space="preserve">Fournisseur données impose licence &gt;€5k/mois → business model non viable à faible volume</w:t>
      </w:r>
    </w:p>
    <w:p>
      <w:pPr>
        <w:pStyle w:val="ListParagraph"/>
        <w:numPr>
          <w:ilvl w:val="0"/>
          <w:numId w:val="2"/>
        </w:numPr>
        <w:spacing w:after="36" w:before="36"/>
      </w:pPr>
      <w:r>
        <w:rPr>
          <w:rFonts w:ascii="Arial" w:cs="Arial" w:eastAsia="Arial" w:hAnsi="Arial"/>
          <w:sz w:val="18"/>
          <w:szCs w:val="18"/>
        </w:rPr>
        <w:t xml:space="preserve">Différenciateurs C-08/C-09 non livrés en 6 mois → signal d'exécution défaillant</w:t>
      </w:r>
    </w:p>
    <w:p>
      <w:pPr>
        <w:pBdr>
          <w:bottom w:val="single" w:color="7030A0" w:sz="6" w:space="4"/>
        </w:pBdr>
        <w:spacing w:after="80" w:before="280"/>
      </w:pPr>
    </w:p>
    <w:p>
      <w:pPr>
        <w:spacing w:after="100" w:before="300"/>
      </w:pPr>
      <w:r>
        <w:rPr>
          <w:rFonts w:ascii="Arial" w:cs="Arial" w:eastAsia="Arial" w:hAnsi="Arial"/>
          <w:b/>
          <w:bCs/>
          <w:color w:val="1F3864"/>
          <w:sz w:val="34"/>
          <w:szCs w:val="34"/>
        </w:rPr>
        <w:t xml:space="preserve">Recommandations stratégiques issues de la perception différenciée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563"/>
        <w:gridCol w:w="2563"/>
      </w:tblGrid>
      <w:tr>
        <w:tc>
          <w:tcPr>
            <w:tcW w:type="dxa" w:w="7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Prio.</w:t>
            </w:r>
          </w:p>
        </w:tc>
        <w:tc>
          <w:tcPr>
            <w:tcW w:type="dxa" w:w="3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Recommandation</w:t>
            </w:r>
          </w:p>
        </w:tc>
        <w:tc>
          <w:tcPr>
            <w:tcW w:type="dxa" w:w="256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Justification différenciée</w:t>
            </w:r>
          </w:p>
        </w:tc>
        <w:tc>
          <w:tcPr>
            <w:tcW w:type="dxa" w:w="2563"/>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vAlign w:val="center"/>
          </w:tcPr>
          <w:p>
            <w:r>
              <w:rPr>
                <w:rFonts w:ascii="Arial" w:cs="Arial" w:eastAsia="Arial" w:hAnsi="Arial"/>
                <w:b/>
                <w:bCs/>
                <w:color w:val="FFFFFF"/>
                <w:sz w:val="17"/>
                <w:szCs w:val="17"/>
              </w:rPr>
              <w:t xml:space="preserve">Horizon</w:t>
            </w:r>
          </w:p>
        </w:tc>
      </w:tr>
      <w:tr>
        <w:tc>
          <w:tcPr>
            <w:tcW w:type="dxa" w:w="700"/>
            <w:tcBorders>
              <w:top w:val="single" w:color="C00000" w:sz="1"/>
              <w:left w:val="single" w:color="C00000" w:sz="1"/>
              <w:bottom w:val="single" w:color="C00000" w:sz="1"/>
              <w:right w:val="single" w:color="C00000" w:sz="1"/>
            </w:tcBorders>
            <w:shd w:fill="FFE0E0" w:val="clear"/>
            <w:tcMar>
              <w:top w:type="dxa" w:w="80"/>
              <w:left w:type="dxa" w:w="130"/>
              <w:bottom w:type="dxa" w:w="80"/>
              <w:right w:type="dxa" w:w="130"/>
            </w:tcMar>
          </w:tcPr>
          <w:p>
            <w:pPr>
              <w:jc w:val="center"/>
            </w:pPr>
            <w:r>
              <w:rPr>
                <w:rFonts w:ascii="Arial" w:cs="Arial" w:eastAsia="Arial" w:hAnsi="Arial"/>
                <w:b/>
                <w:bCs/>
                <w:color w:val="C00000"/>
                <w:sz w:val="18"/>
                <w:szCs w:val="18"/>
              </w:rPr>
              <w:t xml:space="preserve">P0</w:t>
            </w:r>
          </w:p>
        </w:tc>
        <w:tc>
          <w:tcPr>
            <w:tcW w:type="dxa" w:w="32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Lever le risque AMF avant tout investissement en acquisition</w:t>
            </w:r>
          </w:p>
        </w:tc>
        <w:tc>
          <w:tcPr>
            <w:tcW w:type="dxa" w:w="256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Le consensus sous-estime ce risque. Sans avis favorable, toute dépense marketing est gaspillée.</w:t>
            </w:r>
          </w:p>
        </w:tc>
        <w:tc>
          <w:tcPr>
            <w:tcW w:type="dxa" w:w="256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Immédiat (1–3 mois)</w:t>
            </w:r>
          </w:p>
        </w:tc>
      </w:tr>
      <w:tr>
        <w:tc>
          <w:tcPr>
            <w:tcW w:type="dxa" w:w="700"/>
            <w:tcBorders>
              <w:top w:val="single" w:color="C00000" w:sz="1"/>
              <w:left w:val="single" w:color="C00000" w:sz="1"/>
              <w:bottom w:val="single" w:color="C00000" w:sz="1"/>
              <w:right w:val="single" w:color="C00000" w:sz="1"/>
            </w:tcBorders>
            <w:shd w:fill="FFE0E0" w:val="clear"/>
            <w:tcMar>
              <w:top w:type="dxa" w:w="80"/>
              <w:left w:type="dxa" w:w="130"/>
              <w:bottom w:type="dxa" w:w="80"/>
              <w:right w:type="dxa" w:w="130"/>
            </w:tcMar>
          </w:tcPr>
          <w:p>
            <w:pPr>
              <w:jc w:val="center"/>
            </w:pPr>
            <w:r>
              <w:rPr>
                <w:rFonts w:ascii="Arial" w:cs="Arial" w:eastAsia="Arial" w:hAnsi="Arial"/>
                <w:b/>
                <w:bCs/>
                <w:color w:val="C00000"/>
                <w:sz w:val="18"/>
                <w:szCs w:val="18"/>
              </w:rPr>
              <w:t xml:space="preserve">P0</w:t>
            </w:r>
          </w:p>
        </w:tc>
        <w:tc>
          <w:tcPr>
            <w:tcW w:type="dxa" w:w="3200"/>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Construire Plan d'Action (C-09) avant le lancement — pas après</w:t>
            </w:r>
          </w:p>
        </w:tc>
        <w:tc>
          <w:tcPr>
            <w:tcW w:type="dxa" w:w="256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Le consensus voit C-09 comme une feature V1.1. C'est le moat central — sans lui, le lancement crée la perception de screener.</w:t>
            </w:r>
          </w:p>
        </w:tc>
        <w:tc>
          <w:tcPr>
            <w:tcW w:type="dxa" w:w="2563"/>
            <w:tcBorders>
              <w:top w:val="single" w:color="CCCCCC" w:sz="1"/>
              <w:left w:val="single" w:color="CCCCCC" w:sz="1"/>
              <w:bottom w:val="single" w:color="CCCCCC" w:sz="1"/>
              <w:right w:val="single" w:color="CCCCCC" w:sz="1"/>
            </w:tcBorders>
            <w:shd w:fill="FFE0E0" w:val="clear"/>
            <w:tcMar>
              <w:top w:type="dxa" w:w="80"/>
              <w:left w:type="dxa" w:w="130"/>
              <w:bottom w:type="dxa" w:w="80"/>
              <w:right w:type="dxa" w:w="130"/>
            </w:tcMar>
            <w:vAlign w:val="center"/>
          </w:tcPr>
          <w:p>
            <w:pPr>
              <w:jc w:val="left"/>
            </w:pPr>
            <w:r>
              <w:rPr>
                <w:rFonts w:ascii="Arial" w:cs="Arial" w:eastAsia="Arial" w:hAnsi="Arial"/>
                <w:sz w:val="17"/>
                <w:szCs w:val="17"/>
              </w:rPr>
              <w:t xml:space="preserve">3–6 mois</w:t>
            </w:r>
          </w:p>
        </w:tc>
      </w:tr>
      <w:tr>
        <w:tc>
          <w:tcPr>
            <w:tcW w:type="dxa" w:w="700"/>
            <w:tcBorders>
              <w:top w:val="single" w:color="C05000" w:sz="1"/>
              <w:left w:val="single" w:color="C05000" w:sz="1"/>
              <w:bottom w:val="single" w:color="C05000" w:sz="1"/>
              <w:right w:val="single" w:color="C05000" w:sz="1"/>
            </w:tcBorders>
            <w:shd w:fill="FFD0B0" w:val="clear"/>
            <w:tcMar>
              <w:top w:type="dxa" w:w="80"/>
              <w:left w:type="dxa" w:w="130"/>
              <w:bottom w:type="dxa" w:w="80"/>
              <w:right w:type="dxa" w:w="130"/>
            </w:tcMar>
          </w:tcPr>
          <w:p>
            <w:pPr>
              <w:jc w:val="center"/>
            </w:pPr>
            <w:r>
              <w:rPr>
                <w:rFonts w:ascii="Arial" w:cs="Arial" w:eastAsia="Arial" w:hAnsi="Arial"/>
                <w:b/>
                <w:bCs/>
                <w:color w:val="C05000"/>
                <w:sz w:val="18"/>
                <w:szCs w:val="18"/>
              </w:rPr>
              <w:t xml:space="preserve">P1</w:t>
            </w:r>
          </w:p>
        </w:tc>
        <w:tc>
          <w:tcPr>
            <w:tcW w:type="dxa" w:w="32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Activer ex post (C-11) dans les 6 mois post-lancement</w:t>
            </w:r>
          </w:p>
        </w:tc>
        <w:tc>
          <w:tcPr>
            <w:tcW w:type="dxa" w:w="2563"/>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Le premier TARGET_HIT visible par l'utilisateur est le moment de rétention critique. Aucun concurrent ne peut répliquer 12 mois de preuves accumulées.</w:t>
            </w:r>
          </w:p>
        </w:tc>
        <w:tc>
          <w:tcPr>
            <w:tcW w:type="dxa" w:w="2563"/>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6–12 mois post-lancement</w:t>
            </w:r>
          </w:p>
        </w:tc>
      </w:tr>
      <w:tr>
        <w:tc>
          <w:tcPr>
            <w:tcW w:type="dxa" w:w="700"/>
            <w:tcBorders>
              <w:top w:val="single" w:color="C05000" w:sz="1"/>
              <w:left w:val="single" w:color="C05000" w:sz="1"/>
              <w:bottom w:val="single" w:color="C05000" w:sz="1"/>
              <w:right w:val="single" w:color="C05000" w:sz="1"/>
            </w:tcBorders>
            <w:shd w:fill="FFD0B0" w:val="clear"/>
            <w:tcMar>
              <w:top w:type="dxa" w:w="80"/>
              <w:left w:type="dxa" w:w="130"/>
              <w:bottom w:type="dxa" w:w="80"/>
              <w:right w:type="dxa" w:w="130"/>
            </w:tcMar>
          </w:tcPr>
          <w:p>
            <w:pPr>
              <w:jc w:val="center"/>
            </w:pPr>
            <w:r>
              <w:rPr>
                <w:rFonts w:ascii="Arial" w:cs="Arial" w:eastAsia="Arial" w:hAnsi="Arial"/>
                <w:b/>
                <w:bCs/>
                <w:color w:val="C05000"/>
                <w:sz w:val="18"/>
                <w:szCs w:val="18"/>
              </w:rPr>
              <w:t xml:space="preserve">P1</w:t>
            </w:r>
          </w:p>
        </w:tc>
        <w:tc>
          <w:tcPr>
            <w:tcW w:type="dxa" w:w="3200"/>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Contenu SEO pédagogique FR comme canal d'acquisition principal</w:t>
            </w:r>
          </w:p>
        </w:tc>
        <w:tc>
          <w:tcPr>
            <w:tcW w:type="dxa" w:w="2563"/>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Alignement avec le positionnement : les débutants cherchent « comment analyser une action française ». Le contenu construit le SEO et la marque simultanément.</w:t>
            </w:r>
          </w:p>
        </w:tc>
        <w:tc>
          <w:tcPr>
            <w:tcW w:type="dxa" w:w="2563"/>
            <w:tcBorders>
              <w:top w:val="single" w:color="CCCCCC" w:sz="1"/>
              <w:left w:val="single" w:color="CCCCCC" w:sz="1"/>
              <w:bottom w:val="single" w:color="CCCCCC" w:sz="1"/>
              <w:right w:val="single" w:color="CCCCCC" w:sz="1"/>
            </w:tcBorders>
            <w:shd w:fill="FFD0B0" w:val="clear"/>
            <w:tcMar>
              <w:top w:type="dxa" w:w="80"/>
              <w:left w:type="dxa" w:w="130"/>
              <w:bottom w:type="dxa" w:w="80"/>
              <w:right w:type="dxa" w:w="130"/>
            </w:tcMar>
            <w:vAlign w:val="center"/>
          </w:tcPr>
          <w:p>
            <w:pPr>
              <w:jc w:val="left"/>
            </w:pPr>
            <w:r>
              <w:rPr>
                <w:rFonts w:ascii="Arial" w:cs="Arial" w:eastAsia="Arial" w:hAnsi="Arial"/>
                <w:sz w:val="17"/>
                <w:szCs w:val="17"/>
              </w:rPr>
              <w:t xml:space="preserve">3–12 mois</w:t>
            </w:r>
          </w:p>
        </w:tc>
      </w:tr>
      <w:tr>
        <w:tc>
          <w:tcPr>
            <w:tcW w:type="dxa" w:w="700"/>
            <w:tcBorders>
              <w:top w:val="single" w:color="BF8F00" w:sz="1"/>
              <w:left w:val="single" w:color="BF8F00" w:sz="1"/>
              <w:bottom w:val="single" w:color="BF8F00" w:sz="1"/>
              <w:right w:val="single" w:color="BF8F00" w:sz="1"/>
            </w:tcBorders>
            <w:shd w:fill="FFF2CC" w:val="clear"/>
            <w:tcMar>
              <w:top w:type="dxa" w:w="80"/>
              <w:left w:type="dxa" w:w="130"/>
              <w:bottom w:type="dxa" w:w="80"/>
              <w:right w:type="dxa" w:w="130"/>
            </w:tcMar>
          </w:tcPr>
          <w:p>
            <w:pPr>
              <w:jc w:val="center"/>
            </w:pPr>
            <w:r>
              <w:rPr>
                <w:rFonts w:ascii="Arial" w:cs="Arial" w:eastAsia="Arial" w:hAnsi="Arial"/>
                <w:b/>
                <w:bCs/>
                <w:color w:val="BF8F00"/>
                <w:sz w:val="18"/>
                <w:szCs w:val="18"/>
              </w:rPr>
              <w:t xml:space="preserve">P2</w:t>
            </w:r>
          </w:p>
        </w:tc>
        <w:tc>
          <w:tcPr>
            <w:tcW w:type="dxa" w:w="3200"/>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Explorer intégration courtier (Fortuneo, Bourse Direct) dès 1 000 abonnés</w:t>
            </w:r>
          </w:p>
        </w:tc>
        <w:tc>
          <w:tcPr>
            <w:tcW w:type="dxa" w:w="2563"/>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Les courtiers à commission réduite ont l'incentive d'aider leurs clients à mieux investir (rétention vs. churn). Alignement d'intérêts supérieur à Boursorama.</w:t>
            </w:r>
          </w:p>
        </w:tc>
        <w:tc>
          <w:tcPr>
            <w:tcW w:type="dxa" w:w="2563"/>
            <w:tcBorders>
              <w:top w:val="single" w:color="CCCCCC" w:sz="1"/>
              <w:left w:val="single" w:color="CCCCCC" w:sz="1"/>
              <w:bottom w:val="single" w:color="CCCCCC" w:sz="1"/>
              <w:right w:val="single" w:color="CCCCCC" w:sz="1"/>
            </w:tcBorders>
            <w:shd w:fill="FFF2CC" w:val="clear"/>
            <w:tcMar>
              <w:top w:type="dxa" w:w="80"/>
              <w:left w:type="dxa" w:w="130"/>
              <w:bottom w:type="dxa" w:w="80"/>
              <w:right w:type="dxa" w:w="130"/>
            </w:tcMar>
            <w:vAlign w:val="center"/>
          </w:tcPr>
          <w:p>
            <w:pPr>
              <w:jc w:val="left"/>
            </w:pPr>
            <w:r>
              <w:rPr>
                <w:rFonts w:ascii="Arial" w:cs="Arial" w:eastAsia="Arial" w:hAnsi="Arial"/>
                <w:sz w:val="17"/>
                <w:szCs w:val="17"/>
              </w:rPr>
              <w:t xml:space="preserve">12–24 mois</w:t>
            </w:r>
          </w:p>
        </w:tc>
      </w:tr>
    </w:tbl>
    <w:p>
      <w:pPr>
        <w:pBdr>
          <w:bottom w:val="single" w:color="7030A0" w:sz="6" w:space="4"/>
        </w:pBdr>
        <w:spacing w:after="80" w:before="280"/>
      </w:pPr>
    </w:p>
    <w:p>
      <w:pPr>
        <w:spacing w:after="100" w:before="300"/>
      </w:pPr>
      <w:r>
        <w:rPr>
          <w:rFonts w:ascii="Arial" w:cs="Arial" w:eastAsia="Arial" w:hAnsi="Arial"/>
          <w:b/>
          <w:bCs/>
          <w:color w:val="1F3864"/>
          <w:sz w:val="34"/>
          <w:szCs w:val="34"/>
        </w:rPr>
        <w:t xml:space="preserve">Sources</w:t>
      </w:r>
    </w:p>
    <w:p>
      <w:pPr>
        <w:pStyle w:val="ListParagraph"/>
        <w:numPr>
          <w:ilvl w:val="0"/>
          <w:numId w:val="2"/>
        </w:numPr>
        <w:spacing w:after="36" w:before="36"/>
      </w:pPr>
      <w:r>
        <w:rPr>
          <w:rFonts w:ascii="Arial" w:cs="Arial" w:eastAsia="Arial" w:hAnsi="Arial"/>
          <w:sz w:val="18"/>
          <w:szCs w:val="18"/>
        </w:rPr>
        <w:t xml:space="preserve">Doc/v1/01_specification_produit.md — positionnement, règles RM-01 à RM-29</w:t>
      </w:r>
    </w:p>
    <w:p>
      <w:pPr>
        <w:pStyle w:val="ListParagraph"/>
        <w:numPr>
          <w:ilvl w:val="0"/>
          <w:numId w:val="2"/>
        </w:numPr>
        <w:spacing w:after="36" w:before="36"/>
      </w:pPr>
      <w:r>
        <w:rPr>
          <w:rFonts w:ascii="Arial" w:cs="Arial" w:eastAsia="Arial" w:hAnsi="Arial"/>
          <w:sz w:val="18"/>
          <w:szCs w:val="18"/>
        </w:rPr>
        <w:t xml:space="preserve">Doc/v1/06_ecarts_doc_code.md — différenciateurs C-08/C-09/C-11, état de construction</w:t>
      </w:r>
    </w:p>
    <w:p>
      <w:pPr>
        <w:pStyle w:val="ListParagraph"/>
        <w:numPr>
          <w:ilvl w:val="0"/>
          <w:numId w:val="2"/>
        </w:numPr>
        <w:spacing w:after="36" w:before="36"/>
      </w:pPr>
      <w:r>
        <w:rPr>
          <w:rFonts w:ascii="Arial" w:cs="Arial" w:eastAsia="Arial" w:hAnsi="Arial"/>
          <w:sz w:val="18"/>
          <w:szCs w:val="18"/>
        </w:rPr>
        <w:t xml:space="preserve">Doc/v1/08_analyse_critique_et_legal.md — cadre légal, positionnement concurrentiel</w:t>
      </w:r>
    </w:p>
    <w:p>
      <w:pPr>
        <w:pStyle w:val="ListParagraph"/>
        <w:numPr>
          <w:ilvl w:val="0"/>
          <w:numId w:val="2"/>
        </w:numPr>
        <w:spacing w:after="36" w:before="36"/>
      </w:pPr>
      <w:r>
        <w:rPr>
          <w:rFonts w:ascii="Arial" w:cs="Arial" w:eastAsia="Arial" w:hAnsi="Arial"/>
          <w:sz w:val="18"/>
          <w:szCs w:val="18"/>
        </w:rPr>
        <w:t xml:space="preserve">Analyse codebase PredictFinance — session 2026-05-28</w:t>
      </w:r>
    </w:p>
    <w:p>
      <w:pPr>
        <w:pStyle w:val="ListParagraph"/>
        <w:numPr>
          <w:ilvl w:val="0"/>
          <w:numId w:val="2"/>
        </w:numPr>
        <w:spacing w:after="36" w:before="36"/>
      </w:pPr>
      <w:r>
        <w:rPr>
          <w:rFonts w:ascii="Arial" w:cs="Arial" w:eastAsia="Arial" w:hAnsi="Arial"/>
          <w:sz w:val="18"/>
          <w:szCs w:val="18"/>
        </w:rPr>
        <w:t xml:space="preserve">Études AMF : rapport sur les nouveaux investisseurs retail 2020–2023</w:t>
      </w:r>
    </w:p>
    <w:p>
      <w:pPr>
        <w:spacing w:after="120" w:before="60"/>
      </w:pPr>
      <w:r>
        <w:rPr>
          <w:rFonts w:ascii="Arial" w:cs="Arial" w:eastAsia="Arial" w:hAnsi="Arial"/>
          <w:i/>
          <w:iCs/>
          <w:color w:val="666666"/>
          <w:sz w:val="17"/>
          <w:szCs w:val="17"/>
        </w:rPr>
        <w:t xml:space="preserve">Analyse réalisée sur la base de la documentation interne — session 2026-05-28.</w:t>
      </w:r>
    </w:p>
    <w:p>
      <w:pPr>
        <w:pBdr>
          <w:top w:val="single" w:color="CCCCCC" w:sz="2" w:space="4"/>
        </w:pBdr>
        <w:spacing w:after="60" w:before="160"/>
      </w:pPr>
      <w:hyperlink w:history="1" r:id="rId5ppcnijd9gyujquxgrw0g">
        <w:r>
          <w:rPr>
            <w:rStyle w:val="Hyperlink"/>
            <w:rFonts w:ascii="Arial" w:cs="Arial" w:eastAsia="Arial" w:hAnsi="Arial"/>
            <w:b/>
            <w:bCs/>
            <w:color w:val="2E75B6"/>
            <w:sz w:val="17"/>
            <w:szCs w:val="17"/>
          </w:rPr>
          <w:t xml:space="preserve">Powered by Bigdata.com</w:t>
        </w:r>
      </w:hyperlink>
      <w:r>
        <w:rPr>
          <w:rFonts w:ascii="Arial" w:cs="Arial" w:eastAsia="Arial" w:hAnsi="Arial"/>
          <w:color w:val="888888"/>
          <w:sz w:val="17"/>
          <w:szCs w:val="17"/>
        </w:rPr>
        <w:t xml:space="preserve"> — https://bigdata.com</w:t>
      </w:r>
    </w:p>
    <w:p>
      <w:pPr>
        <w:spacing w:after="40" w:before="60"/>
      </w:pPr>
      <w:r>
        <w:rPr>
          <w:rFonts w:ascii="Arial" w:cs="Arial" w:eastAsia="Arial" w:hAnsi="Arial"/>
          <w:b/>
          <w:bCs/>
          <w:color w:val="666666"/>
          <w:sz w:val="18"/>
          <w:szCs w:val="18"/>
        </w:rPr>
        <w:t xml:space="preserve">Disclaimer</w:t>
      </w:r>
    </w:p>
    <w:p>
      <w:pPr>
        <w:spacing w:after="50" w:before="50"/>
      </w:pPr>
      <w:r>
        <w:rPr>
          <w:rFonts w:ascii="Arial" w:cs="Arial" w:eastAsia="Arial" w:hAnsi="Arial"/>
          <w:color w:val="666666"/>
          <w:sz w:val="15"/>
          <w:szCs w:val="15"/>
        </w:rPr>
        <w:t xml:space="preserve">This output is for informational and research-assistance purposes only. It does not constitute investment, legal, tax, accounting, or other professional advice, and it is not a recommendation to buy, sell, or hold any security or instrument or to pursue any strategy. Information may be incomplete, estimated, delayed, or inaccurate. Past performance does not guarantee future results. Verify material facts independently and consult qualified advisors before making decisions.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60"/>
    </w:pPr>
    <w:r>
      <w:rPr>
        <w:rFonts w:ascii="Arial" w:cs="Arial" w:eastAsia="Arial" w:hAnsi="Arial"/>
        <w:color w:val="888888"/>
        <w:sz w:val="13"/>
        <w:szCs w:val="13"/>
      </w:rPr>
      <w:t xml:space="preserve">Powered by Bigdata.com — https://bigdata.com</w:t>
    </w:r>
    <w:r>
      <w:rPr>
        <w:rFonts w:ascii="Arial" w:cs="Arial" w:eastAsia="Arial" w:hAnsi="Arial"/>
        <w:color w:val="888888"/>
        <w:sz w:val="13"/>
        <w:szCs w:val="13"/>
      </w:rPr>
      <w:t xml:space="preserve">	Page </w:t>
    </w:r>
    <w:r>
      <w:rPr>
        <w:rFonts w:ascii="Arial" w:cs="Arial" w:eastAsia="Arial" w:hAnsi="Arial"/>
        <w:color w:val="888888"/>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30A0" w:sz="4" w:space="4"/>
      </w:pBdr>
      <w:tabs>
        <w:tab w:val="right" w:pos="9026"/>
      </w:tabs>
      <w:spacing w:after="60"/>
    </w:pPr>
    <w:r>
      <w:rPr>
        <w:rFonts w:ascii="Arial" w:cs="Arial" w:eastAsia="Arial" w:hAnsi="Arial"/>
        <w:b/>
        <w:bCs/>
        <w:color w:val="7030A0"/>
        <w:sz w:val="17"/>
        <w:szCs w:val="17"/>
      </w:rPr>
      <w:t xml:space="preserve">PredictFinance — Variant Perception</w:t>
    </w:r>
    <w:r>
      <w:rPr>
        <w:rFonts w:ascii="Arial" w:cs="Arial" w:eastAsia="Arial" w:hAnsi="Arial"/>
        <w:color w:val="888888"/>
        <w:sz w:val="15"/>
        <w:szCs w:val="15"/>
      </w:rPr>
      <w:t xml:space="preserve">	28 mai 2026  |  Analyse différenciée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ppcnijd9gyujquxgrw0g" Type="http://schemas.openxmlformats.org/officeDocument/2006/relationships/hyperlink" Target="https://bigdata.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2026-05-28T10:34:01.086Z</dcterms:created>
  <dcterms:modified xsi:type="dcterms:W3CDTF">2026-05-28T10:34:01.088Z</dcterms:modified>
</cp:coreProperties>
</file>

<file path=docProps/custom.xml><?xml version="1.0" encoding="utf-8"?>
<Properties xmlns="http://schemas.openxmlformats.org/officeDocument/2006/custom-properties" xmlns:vt="http://schemas.openxmlformats.org/officeDocument/2006/docPropsVTypes"/>
</file>