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00A5F" w14:textId="30B02524" w:rsidR="007A408C" w:rsidRPr="00605A71" w:rsidRDefault="007A408C" w:rsidP="007A408C">
      <w:pPr>
        <w:rPr>
          <w:rFonts w:ascii="Arial" w:hAnsi="Arial" w:cs="Arial"/>
          <w:sz w:val="20"/>
          <w:szCs w:val="20"/>
        </w:rPr>
      </w:pPr>
      <w:r w:rsidRPr="00605A71">
        <w:rPr>
          <w:rFonts w:ascii="Arial" w:hAnsi="Arial" w:cs="Arial"/>
          <w:b/>
          <w:bCs/>
          <w:sz w:val="20"/>
          <w:szCs w:val="20"/>
        </w:rPr>
        <w:t>Title (</w:t>
      </w:r>
      <w:r w:rsidR="009474EE">
        <w:rPr>
          <w:rFonts w:ascii="Arial" w:hAnsi="Arial" w:cs="Arial"/>
          <w:b/>
          <w:bCs/>
          <w:sz w:val="20"/>
          <w:szCs w:val="20"/>
        </w:rPr>
        <w:t>20</w:t>
      </w:r>
      <w:r>
        <w:rPr>
          <w:rFonts w:ascii="Arial" w:hAnsi="Arial" w:cs="Arial"/>
          <w:b/>
          <w:bCs/>
          <w:sz w:val="20"/>
          <w:szCs w:val="20"/>
        </w:rPr>
        <w:t>/20 words</w:t>
      </w:r>
      <w:r w:rsidRPr="00605A71">
        <w:rPr>
          <w:rFonts w:ascii="Arial" w:hAnsi="Arial" w:cs="Arial"/>
          <w:b/>
          <w:bCs/>
          <w:sz w:val="20"/>
          <w:szCs w:val="20"/>
        </w:rPr>
        <w:t>):</w:t>
      </w:r>
      <w:r w:rsidRPr="00605A7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PFAS </w:t>
      </w:r>
      <w:proofErr w:type="spellStart"/>
      <w:r>
        <w:rPr>
          <w:rFonts w:ascii="Arial" w:hAnsi="Arial" w:cs="Arial"/>
          <w:sz w:val="20"/>
          <w:szCs w:val="20"/>
        </w:rPr>
        <w:t>IMplementor</w:t>
      </w:r>
      <w:proofErr w:type="spellEnd"/>
      <w:r>
        <w:rPr>
          <w:rFonts w:ascii="Arial" w:hAnsi="Arial" w:cs="Arial"/>
          <w:sz w:val="20"/>
          <w:szCs w:val="20"/>
        </w:rPr>
        <w:t xml:space="preserve"> for Mass Spectrometry (PIMMS): </w:t>
      </w:r>
      <w:bookmarkStart w:id="0" w:name="_Hlk188540330"/>
      <w:r w:rsidR="009474EE">
        <w:rPr>
          <w:rFonts w:ascii="Arial" w:hAnsi="Arial" w:cs="Arial"/>
          <w:sz w:val="20"/>
          <w:szCs w:val="20"/>
        </w:rPr>
        <w:t xml:space="preserve">Non-Targeted Analysis Software for Data with </w:t>
      </w:r>
      <w:r>
        <w:rPr>
          <w:rFonts w:ascii="Arial" w:hAnsi="Arial" w:cs="Arial"/>
          <w:sz w:val="20"/>
          <w:szCs w:val="20"/>
        </w:rPr>
        <w:t>Liquid Chromatography</w:t>
      </w:r>
      <w:r w:rsidR="009474EE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Ion Mobility</w:t>
      </w:r>
      <w:r w:rsidR="009474EE">
        <w:rPr>
          <w:rFonts w:ascii="Arial" w:hAnsi="Arial" w:cs="Arial"/>
          <w:sz w:val="20"/>
          <w:szCs w:val="20"/>
        </w:rPr>
        <w:t>, and</w:t>
      </w:r>
      <w:r>
        <w:rPr>
          <w:rFonts w:ascii="Arial" w:hAnsi="Arial" w:cs="Arial"/>
          <w:sz w:val="20"/>
          <w:szCs w:val="20"/>
        </w:rPr>
        <w:t xml:space="preserve"> Mass Spectrometry</w:t>
      </w:r>
      <w:bookmarkEnd w:id="0"/>
      <w:r w:rsidR="009474EE">
        <w:rPr>
          <w:rFonts w:ascii="Arial" w:hAnsi="Arial" w:cs="Arial"/>
          <w:sz w:val="20"/>
          <w:szCs w:val="20"/>
        </w:rPr>
        <w:t xml:space="preserve"> Separations</w:t>
      </w:r>
      <w:r>
        <w:rPr>
          <w:rFonts w:ascii="Arial" w:hAnsi="Arial" w:cs="Arial"/>
          <w:sz w:val="20"/>
          <w:szCs w:val="20"/>
        </w:rPr>
        <w:t xml:space="preserve"> </w:t>
      </w:r>
    </w:p>
    <w:p w14:paraId="38FE5F6D" w14:textId="3BCABCF5" w:rsidR="007A408C" w:rsidRPr="00605A71" w:rsidRDefault="007A408C" w:rsidP="007A408C">
      <w:pPr>
        <w:pStyle w:val="BCAuthorAddress"/>
        <w:rPr>
          <w:rFonts w:ascii="Arial" w:hAnsi="Arial" w:cs="Arial"/>
          <w:sz w:val="20"/>
          <w:szCs w:val="20"/>
          <w:vertAlign w:val="superscript"/>
        </w:rPr>
      </w:pPr>
      <w:r w:rsidRPr="00605A71">
        <w:rPr>
          <w:rFonts w:ascii="Arial" w:hAnsi="Arial" w:cs="Arial"/>
          <w:b/>
          <w:bCs/>
          <w:sz w:val="20"/>
          <w:szCs w:val="20"/>
        </w:rPr>
        <w:t>Co-Authors</w:t>
      </w:r>
      <w:r w:rsidRPr="00605A71">
        <w:rPr>
          <w:rFonts w:ascii="Arial" w:hAnsi="Arial" w:cs="Arial"/>
          <w:sz w:val="20"/>
          <w:szCs w:val="20"/>
        </w:rPr>
        <w:t xml:space="preserve">: </w:t>
      </w:r>
      <w:bookmarkStart w:id="1" w:name="_Hlk130475545"/>
      <w:bookmarkStart w:id="2" w:name="_Hlk130475493"/>
      <w:r w:rsidRPr="00F5493F">
        <w:rPr>
          <w:rFonts w:ascii="Arial" w:hAnsi="Arial" w:cs="Arial"/>
          <w:sz w:val="20"/>
          <w:szCs w:val="20"/>
          <w:u w:val="single"/>
        </w:rPr>
        <w:t>Gregory Kudzin</w:t>
      </w:r>
      <w:r w:rsidRPr="00F5493F">
        <w:rPr>
          <w:rFonts w:ascii="Arial" w:hAnsi="Arial" w:cs="Arial"/>
          <w:sz w:val="20"/>
          <w:szCs w:val="20"/>
          <w:u w:val="single"/>
          <w:vertAlign w:val="superscript"/>
        </w:rPr>
        <w:t>1</w:t>
      </w:r>
      <w:r w:rsidRPr="00605A71">
        <w:rPr>
          <w:rFonts w:ascii="Arial" w:hAnsi="Arial" w:cs="Arial"/>
          <w:sz w:val="20"/>
          <w:szCs w:val="20"/>
        </w:rPr>
        <w:t>; James N. Dodds</w:t>
      </w:r>
      <w:r w:rsidRPr="00605A71">
        <w:rPr>
          <w:rFonts w:ascii="Arial" w:hAnsi="Arial" w:cs="Arial"/>
          <w:sz w:val="20"/>
          <w:szCs w:val="20"/>
          <w:vertAlign w:val="superscript"/>
        </w:rPr>
        <w:t>1</w:t>
      </w:r>
      <w:r w:rsidRPr="00605A71">
        <w:rPr>
          <w:rFonts w:ascii="Arial" w:hAnsi="Arial" w:cs="Arial"/>
          <w:sz w:val="20"/>
          <w:szCs w:val="20"/>
        </w:rPr>
        <w:t>;</w:t>
      </w:r>
      <w:r w:rsidR="005031D5">
        <w:rPr>
          <w:rFonts w:ascii="Arial" w:hAnsi="Arial" w:cs="Arial"/>
          <w:sz w:val="20"/>
          <w:szCs w:val="20"/>
        </w:rPr>
        <w:t xml:space="preserve"> Anna K. Boatman</w:t>
      </w:r>
      <w:r w:rsidR="005031D5">
        <w:rPr>
          <w:rFonts w:ascii="Arial" w:hAnsi="Arial" w:cs="Arial"/>
          <w:sz w:val="20"/>
          <w:szCs w:val="20"/>
          <w:vertAlign w:val="superscript"/>
        </w:rPr>
        <w:t>1</w:t>
      </w:r>
      <w:r w:rsidR="005031D5">
        <w:rPr>
          <w:rFonts w:ascii="Arial" w:hAnsi="Arial" w:cs="Arial"/>
          <w:sz w:val="20"/>
          <w:szCs w:val="20"/>
        </w:rPr>
        <w:t>;</w:t>
      </w:r>
      <w:r w:rsidRPr="00605A71">
        <w:rPr>
          <w:rFonts w:ascii="Arial" w:hAnsi="Arial" w:cs="Arial"/>
          <w:sz w:val="20"/>
          <w:szCs w:val="20"/>
        </w:rPr>
        <w:t xml:space="preserve"> Kaylie I. Kirkwood-Donelson</w:t>
      </w:r>
      <w:r w:rsidRPr="00605A71">
        <w:rPr>
          <w:rFonts w:ascii="Arial" w:hAnsi="Arial" w:cs="Arial"/>
          <w:sz w:val="20"/>
          <w:szCs w:val="20"/>
          <w:vertAlign w:val="superscript"/>
        </w:rPr>
        <w:t>2</w:t>
      </w:r>
      <w:r w:rsidRPr="00605A71">
        <w:rPr>
          <w:rFonts w:ascii="Arial" w:hAnsi="Arial" w:cs="Arial"/>
          <w:sz w:val="20"/>
          <w:szCs w:val="20"/>
        </w:rPr>
        <w:t>; Jessie Chappel</w:t>
      </w:r>
      <w:r>
        <w:rPr>
          <w:rFonts w:ascii="Arial" w:hAnsi="Arial" w:cs="Arial"/>
          <w:sz w:val="20"/>
          <w:szCs w:val="20"/>
          <w:vertAlign w:val="superscript"/>
        </w:rPr>
        <w:t>1</w:t>
      </w:r>
      <w:r w:rsidRPr="00605A71">
        <w:rPr>
          <w:rFonts w:ascii="Arial" w:hAnsi="Arial" w:cs="Arial"/>
          <w:sz w:val="20"/>
          <w:szCs w:val="20"/>
        </w:rPr>
        <w:t>; Dylan Johnson</w:t>
      </w:r>
      <w:r w:rsidRPr="00605A71">
        <w:rPr>
          <w:rFonts w:ascii="Arial" w:hAnsi="Arial" w:cs="Arial"/>
          <w:sz w:val="20"/>
          <w:szCs w:val="20"/>
          <w:vertAlign w:val="superscript"/>
        </w:rPr>
        <w:t>4</w:t>
      </w:r>
      <w:r w:rsidRPr="00605A71">
        <w:rPr>
          <w:rFonts w:ascii="Arial" w:hAnsi="Arial" w:cs="Arial"/>
          <w:sz w:val="20"/>
          <w:szCs w:val="20"/>
        </w:rPr>
        <w:t>; Adam Schiffenbauer</w:t>
      </w:r>
      <w:r w:rsidRPr="00605A71">
        <w:rPr>
          <w:rFonts w:ascii="Arial" w:hAnsi="Arial" w:cs="Arial"/>
          <w:sz w:val="20"/>
          <w:szCs w:val="20"/>
          <w:vertAlign w:val="superscript"/>
        </w:rPr>
        <w:t>3</w:t>
      </w:r>
      <w:r w:rsidRPr="00605A71">
        <w:rPr>
          <w:rFonts w:ascii="Arial" w:hAnsi="Arial" w:cs="Arial"/>
          <w:sz w:val="20"/>
          <w:szCs w:val="20"/>
        </w:rPr>
        <w:t>; Kakali Sarkar</w:t>
      </w:r>
      <w:r w:rsidRPr="00605A71">
        <w:rPr>
          <w:rFonts w:ascii="Arial" w:hAnsi="Arial" w:cs="Arial"/>
          <w:sz w:val="20"/>
          <w:szCs w:val="20"/>
          <w:vertAlign w:val="superscript"/>
        </w:rPr>
        <w:t>3</w:t>
      </w:r>
      <w:r w:rsidRPr="00CD2D23">
        <w:rPr>
          <w:rFonts w:ascii="Arial" w:hAnsi="Arial" w:cs="Arial"/>
          <w:sz w:val="20"/>
          <w:szCs w:val="20"/>
        </w:rPr>
        <w:t>;</w:t>
      </w:r>
      <w:r w:rsidRPr="00605A71">
        <w:rPr>
          <w:rFonts w:ascii="Arial" w:hAnsi="Arial" w:cs="Arial"/>
          <w:sz w:val="20"/>
          <w:szCs w:val="20"/>
        </w:rPr>
        <w:t xml:space="preserve"> Payam Noroozi Farhadi</w:t>
      </w:r>
      <w:r w:rsidRPr="00605A71">
        <w:rPr>
          <w:rFonts w:ascii="Arial" w:hAnsi="Arial" w:cs="Arial"/>
          <w:sz w:val="20"/>
          <w:szCs w:val="20"/>
          <w:vertAlign w:val="superscript"/>
        </w:rPr>
        <w:t>3</w:t>
      </w:r>
      <w:r w:rsidRPr="00605A71">
        <w:rPr>
          <w:rFonts w:ascii="Arial" w:hAnsi="Arial" w:cs="Arial"/>
          <w:sz w:val="20"/>
          <w:szCs w:val="20"/>
        </w:rPr>
        <w:t>; Frederick W. Miller</w:t>
      </w:r>
      <w:r w:rsidRPr="00605A71">
        <w:rPr>
          <w:rFonts w:ascii="Arial" w:hAnsi="Arial" w:cs="Arial"/>
          <w:sz w:val="20"/>
          <w:szCs w:val="20"/>
          <w:vertAlign w:val="superscript"/>
        </w:rPr>
        <w:t>3</w:t>
      </w:r>
      <w:r w:rsidRPr="00605A71">
        <w:rPr>
          <w:rFonts w:ascii="Arial" w:hAnsi="Arial" w:cs="Arial"/>
          <w:sz w:val="20"/>
          <w:szCs w:val="20"/>
        </w:rPr>
        <w:t>; Alan K. Jarmusch</w:t>
      </w:r>
      <w:r w:rsidRPr="00605A71">
        <w:rPr>
          <w:rFonts w:ascii="Arial" w:hAnsi="Arial" w:cs="Arial"/>
          <w:sz w:val="20"/>
          <w:szCs w:val="20"/>
          <w:vertAlign w:val="superscript"/>
        </w:rPr>
        <w:t>2</w:t>
      </w:r>
      <w:r w:rsidRPr="00605A71">
        <w:rPr>
          <w:rFonts w:ascii="Arial" w:hAnsi="Arial" w:cs="Arial"/>
          <w:sz w:val="20"/>
          <w:szCs w:val="20"/>
        </w:rPr>
        <w:t>; Lisa G. Rider</w:t>
      </w:r>
      <w:r w:rsidRPr="00605A71">
        <w:rPr>
          <w:rFonts w:ascii="Arial" w:hAnsi="Arial" w:cs="Arial"/>
          <w:sz w:val="20"/>
          <w:szCs w:val="20"/>
          <w:vertAlign w:val="superscript"/>
        </w:rPr>
        <w:t>3</w:t>
      </w:r>
      <w:r w:rsidRPr="00605A71">
        <w:rPr>
          <w:rFonts w:ascii="Arial" w:hAnsi="Arial" w:cs="Arial"/>
          <w:sz w:val="20"/>
          <w:szCs w:val="20"/>
        </w:rPr>
        <w:t>; Erin S. Baker</w:t>
      </w:r>
      <w:r w:rsidRPr="00605A71">
        <w:rPr>
          <w:rFonts w:ascii="Arial" w:hAnsi="Arial" w:cs="Arial"/>
          <w:sz w:val="20"/>
          <w:szCs w:val="20"/>
          <w:vertAlign w:val="superscript"/>
        </w:rPr>
        <w:t>1</w:t>
      </w:r>
      <w:bookmarkEnd w:id="1"/>
      <w:bookmarkEnd w:id="2"/>
      <w:r w:rsidR="008924E0">
        <w:rPr>
          <w:rFonts w:ascii="Arial" w:hAnsi="Arial" w:cs="Arial"/>
          <w:sz w:val="20"/>
          <w:szCs w:val="20"/>
          <w:vertAlign w:val="superscript"/>
        </w:rPr>
        <w:t xml:space="preserve"> </w:t>
      </w:r>
    </w:p>
    <w:p w14:paraId="119FA1E1" w14:textId="77777777" w:rsidR="007A408C" w:rsidRPr="00605A71" w:rsidRDefault="007A408C" w:rsidP="007A408C">
      <w:pPr>
        <w:pStyle w:val="BIEmailAddress"/>
        <w:rPr>
          <w:rFonts w:ascii="Arial" w:hAnsi="Arial" w:cs="Arial"/>
          <w:sz w:val="20"/>
        </w:rPr>
      </w:pPr>
    </w:p>
    <w:p w14:paraId="341200F1" w14:textId="77777777" w:rsidR="007A408C" w:rsidRPr="00611CF8" w:rsidRDefault="007A408C" w:rsidP="007A408C">
      <w:pPr>
        <w:pStyle w:val="StyleBIEmailAddress95pt"/>
        <w:rPr>
          <w:rFonts w:ascii="Arial" w:hAnsi="Arial" w:cs="Arial"/>
          <w:iCs/>
          <w:sz w:val="20"/>
          <w:lang w:val="en-GB"/>
        </w:rPr>
      </w:pPr>
      <w:r w:rsidRPr="00611CF8">
        <w:rPr>
          <w:rFonts w:ascii="Arial" w:hAnsi="Arial" w:cs="Arial"/>
          <w:iCs/>
          <w:sz w:val="20"/>
          <w:vertAlign w:val="superscript"/>
        </w:rPr>
        <w:t>1</w:t>
      </w:r>
      <w:r w:rsidRPr="00611CF8">
        <w:rPr>
          <w:rFonts w:ascii="Arial" w:hAnsi="Arial" w:cs="Arial"/>
          <w:iCs/>
          <w:sz w:val="20"/>
          <w:lang w:val="en-GB"/>
        </w:rPr>
        <w:t>University of North Carolina, Department of Chemistry, Chapel Hill, NC 27599, USA</w:t>
      </w:r>
    </w:p>
    <w:p w14:paraId="31BAECFA" w14:textId="77777777" w:rsidR="007A408C" w:rsidRPr="00611CF8" w:rsidRDefault="007A408C" w:rsidP="007A408C">
      <w:pPr>
        <w:pStyle w:val="StyleBIEmailAddress95pt"/>
        <w:rPr>
          <w:rFonts w:ascii="Arial" w:hAnsi="Arial" w:cs="Arial"/>
          <w:iCs/>
          <w:sz w:val="20"/>
          <w:lang w:val="en-GB"/>
        </w:rPr>
      </w:pPr>
      <w:r w:rsidRPr="00611CF8">
        <w:rPr>
          <w:rFonts w:ascii="Arial" w:hAnsi="Arial" w:cs="Arial"/>
          <w:iCs/>
          <w:sz w:val="20"/>
          <w:vertAlign w:val="superscript"/>
          <w:lang w:val="en-GB"/>
        </w:rPr>
        <w:t>2</w:t>
      </w:r>
      <w:r w:rsidRPr="00611CF8">
        <w:rPr>
          <w:rFonts w:ascii="Arial" w:hAnsi="Arial" w:cs="Arial"/>
          <w:iCs/>
          <w:sz w:val="20"/>
          <w:lang w:val="en-GB"/>
        </w:rPr>
        <w:t>Immunity, Inflammation, and Disease Laboratory, Division of Intramural Research, NIEHS, NIH, Research Triangle Park, NC 27709, USA</w:t>
      </w:r>
    </w:p>
    <w:p w14:paraId="6B21FAF9" w14:textId="77777777" w:rsidR="007A408C" w:rsidRPr="00611CF8" w:rsidRDefault="007A408C" w:rsidP="007A408C">
      <w:pPr>
        <w:pStyle w:val="StyleBIEmailAddress95pt"/>
        <w:rPr>
          <w:rFonts w:ascii="Arial" w:hAnsi="Arial" w:cs="Arial"/>
          <w:iCs/>
          <w:sz w:val="20"/>
          <w:lang w:val="en-GB"/>
        </w:rPr>
      </w:pPr>
      <w:r w:rsidRPr="00611CF8">
        <w:rPr>
          <w:rFonts w:ascii="Arial" w:hAnsi="Arial" w:cs="Arial"/>
          <w:iCs/>
          <w:sz w:val="20"/>
          <w:vertAlign w:val="superscript"/>
          <w:lang w:val="en-GB"/>
        </w:rPr>
        <w:t>3</w:t>
      </w:r>
      <w:r w:rsidRPr="00611CF8">
        <w:rPr>
          <w:rFonts w:ascii="Arial" w:hAnsi="Arial" w:cs="Arial"/>
          <w:iCs/>
          <w:sz w:val="20"/>
          <w:lang w:val="en-GB"/>
        </w:rPr>
        <w:t>Environmental Autoimmunity Group, Clinical Research Branch, NIEHS, NIH, Bethesda, MD 20892, USA</w:t>
      </w:r>
    </w:p>
    <w:p w14:paraId="11A61F97" w14:textId="77777777" w:rsidR="007A408C" w:rsidRPr="00611CF8" w:rsidRDefault="007A408C" w:rsidP="007A408C">
      <w:pPr>
        <w:pStyle w:val="StyleBIEmailAddress95pt"/>
        <w:rPr>
          <w:rFonts w:ascii="Arial" w:hAnsi="Arial" w:cs="Arial"/>
          <w:iCs/>
          <w:sz w:val="20"/>
          <w:lang w:val="en-GB"/>
        </w:rPr>
      </w:pPr>
      <w:r w:rsidRPr="00611CF8">
        <w:rPr>
          <w:rFonts w:ascii="Arial" w:hAnsi="Arial" w:cs="Arial"/>
          <w:iCs/>
          <w:sz w:val="20"/>
          <w:vertAlign w:val="superscript"/>
          <w:lang w:val="en-GB"/>
        </w:rPr>
        <w:t>4</w:t>
      </w:r>
      <w:r w:rsidRPr="00611CF8">
        <w:rPr>
          <w:rFonts w:ascii="Arial" w:hAnsi="Arial" w:cs="Arial"/>
          <w:iCs/>
          <w:sz w:val="20"/>
          <w:lang w:val="en-GB"/>
        </w:rPr>
        <w:t>Integrative Bioinformatics Support Group, Division of Intramural Research, NIEHS, NIH, Research Triangle Park, NC 27709, USA</w:t>
      </w:r>
    </w:p>
    <w:p w14:paraId="2D7975EC" w14:textId="77777777" w:rsidR="007A408C" w:rsidRDefault="007A408C" w:rsidP="007A408C">
      <w:pPr>
        <w:rPr>
          <w:rFonts w:ascii="Arial" w:hAnsi="Arial" w:cs="Arial"/>
          <w:b/>
          <w:bCs/>
          <w:sz w:val="20"/>
        </w:rPr>
      </w:pPr>
    </w:p>
    <w:p w14:paraId="387FBB08" w14:textId="15C6FA74" w:rsidR="00B63741" w:rsidRPr="004147A6" w:rsidRDefault="007A408C" w:rsidP="004C0FDF">
      <w:pPr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</w:pPr>
      <w:r w:rsidRPr="000A4336">
        <w:rPr>
          <w:rFonts w:ascii="Arial" w:hAnsi="Arial" w:cs="Arial"/>
          <w:b/>
          <w:bCs/>
          <w:sz w:val="20"/>
        </w:rPr>
        <w:t>Introduction</w:t>
      </w:r>
      <w:r>
        <w:rPr>
          <w:rFonts w:ascii="Arial" w:hAnsi="Arial" w:cs="Arial"/>
          <w:b/>
          <w:bCs/>
          <w:sz w:val="20"/>
        </w:rPr>
        <w:t xml:space="preserve"> (1</w:t>
      </w:r>
      <w:r w:rsidR="00756999">
        <w:rPr>
          <w:rFonts w:ascii="Arial" w:hAnsi="Arial" w:cs="Arial"/>
          <w:b/>
          <w:bCs/>
          <w:sz w:val="20"/>
        </w:rPr>
        <w:t>19</w:t>
      </w:r>
      <w:r>
        <w:rPr>
          <w:rFonts w:ascii="Arial" w:hAnsi="Arial" w:cs="Arial"/>
          <w:b/>
          <w:bCs/>
          <w:sz w:val="20"/>
        </w:rPr>
        <w:t>/120)</w:t>
      </w:r>
      <w:r w:rsidRPr="000A4336">
        <w:rPr>
          <w:rFonts w:ascii="Arial" w:hAnsi="Arial" w:cs="Arial"/>
          <w:b/>
          <w:bCs/>
          <w:sz w:val="20"/>
        </w:rPr>
        <w:t xml:space="preserve">: </w:t>
      </w:r>
      <w:bookmarkStart w:id="3" w:name="_Hlk182815557"/>
      <w:r w:rsidR="004147A6" w:rsidRPr="004147A6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 xml:space="preserve">Per- and polyfluoroalkyl substances (PFAS) are a diverse class of fluorinated molecules </w:t>
      </w:r>
      <w:r w:rsidR="00756999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>of great concern for human health.</w:t>
      </w:r>
      <w:r w:rsidR="004147A6" w:rsidRPr="004147A6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 xml:space="preserve"> PFAS are typically analysed </w:t>
      </w:r>
      <w:r w:rsidR="009474EE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>with</w:t>
      </w:r>
      <w:r w:rsidR="004147A6" w:rsidRPr="004147A6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 xml:space="preserve"> </w:t>
      </w:r>
      <w:r w:rsidR="009474EE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>targeted liquid chromatography</w:t>
      </w:r>
      <w:r w:rsidR="00756999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>-</w:t>
      </w:r>
      <w:r w:rsidR="009474EE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>mass spectrometry (</w:t>
      </w:r>
      <w:r w:rsidR="004147A6" w:rsidRPr="004147A6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>LC-MS</w:t>
      </w:r>
      <w:r w:rsidR="009474EE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 xml:space="preserve">) </w:t>
      </w:r>
      <w:r w:rsidR="00756999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>platforms,</w:t>
      </w:r>
      <w:r w:rsidR="009474EE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 xml:space="preserve"> </w:t>
      </w:r>
      <w:r w:rsidR="004147A6" w:rsidRPr="004147A6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 xml:space="preserve">limited to </w:t>
      </w:r>
      <w:r w:rsidR="009474EE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 xml:space="preserve">only </w:t>
      </w:r>
      <w:r w:rsidR="004147A6" w:rsidRPr="004147A6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>compounds with available standards. Non-target</w:t>
      </w:r>
      <w:r w:rsidR="009474EE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>ed</w:t>
      </w:r>
      <w:r w:rsidR="004147A6" w:rsidRPr="004147A6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 xml:space="preserve"> analysis (NTA) has emerged as a</w:t>
      </w:r>
      <w:r w:rsidR="009474EE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 xml:space="preserve"> powerful </w:t>
      </w:r>
      <w:r w:rsidR="004147A6" w:rsidRPr="004147A6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 xml:space="preserve">alternative, enabling the detection of PFAS without standards. While </w:t>
      </w:r>
      <w:r w:rsidR="009474EE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 xml:space="preserve">current </w:t>
      </w:r>
      <w:r w:rsidR="004147A6" w:rsidRPr="004147A6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>NTA software</w:t>
      </w:r>
      <w:r w:rsidR="009474EE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 xml:space="preserve"> </w:t>
      </w:r>
      <w:r w:rsidR="00756999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 xml:space="preserve">for LC-MS </w:t>
      </w:r>
      <w:r w:rsidR="009474EE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>can</w:t>
      </w:r>
      <w:r w:rsidR="004147A6" w:rsidRPr="004147A6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 xml:space="preserve"> accelerate this workflow, </w:t>
      </w:r>
      <w:r w:rsidR="006154EA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 xml:space="preserve">it </w:t>
      </w:r>
      <w:r w:rsidR="009474EE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>often</w:t>
      </w:r>
      <w:r w:rsidR="005031D5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 xml:space="preserve"> produce</w:t>
      </w:r>
      <w:r w:rsidR="009474EE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>s</w:t>
      </w:r>
      <w:r w:rsidR="005031D5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 xml:space="preserve"> false positives </w:t>
      </w:r>
      <w:r w:rsidR="009474EE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>in</w:t>
      </w:r>
      <w:r w:rsidR="005031D5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 xml:space="preserve"> complex matrices such as blood</w:t>
      </w:r>
      <w:r w:rsidR="004147A6" w:rsidRPr="004147A6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 xml:space="preserve">. Ion </w:t>
      </w:r>
      <w:r w:rsidR="009474EE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>m</w:t>
      </w:r>
      <w:r w:rsidR="004147A6" w:rsidRPr="004147A6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 xml:space="preserve">obility </w:t>
      </w:r>
      <w:r w:rsidR="009474EE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>s</w:t>
      </w:r>
      <w:r w:rsidR="004147A6" w:rsidRPr="004147A6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 xml:space="preserve">pectrometry (IMS) has </w:t>
      </w:r>
      <w:r w:rsidR="00756999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>recently</w:t>
      </w:r>
      <w:r w:rsidR="009474EE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 xml:space="preserve"> </w:t>
      </w:r>
      <w:r w:rsidR="004147A6" w:rsidRPr="004147A6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 xml:space="preserve">gained popularity for NTA, as it can separate PFAS from </w:t>
      </w:r>
      <w:r w:rsidR="009474EE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>endogenous molecules in the</w:t>
      </w:r>
      <w:r w:rsidR="004147A6" w:rsidRPr="004147A6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 xml:space="preserve"> matrix. The PFAS </w:t>
      </w:r>
      <w:proofErr w:type="spellStart"/>
      <w:r w:rsidR="004147A6" w:rsidRPr="004147A6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>IMplementor</w:t>
      </w:r>
      <w:proofErr w:type="spellEnd"/>
      <w:r w:rsidR="004147A6" w:rsidRPr="004147A6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 xml:space="preserve"> for Mass Spectrometry (PIMMS) was </w:t>
      </w:r>
      <w:r w:rsidR="009474EE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 xml:space="preserve">therefore </w:t>
      </w:r>
      <w:r w:rsidR="004147A6" w:rsidRPr="004147A6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>developed to automate LC-IMS-MS workflow</w:t>
      </w:r>
      <w:r w:rsidR="004147A6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>s</w:t>
      </w:r>
      <w:r w:rsidR="004147A6" w:rsidRPr="004147A6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>, prioritiz</w:t>
      </w:r>
      <w:r w:rsidR="009474EE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>e</w:t>
      </w:r>
      <w:r w:rsidR="004147A6" w:rsidRPr="004147A6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 xml:space="preserve"> suspects</w:t>
      </w:r>
      <w:r w:rsidR="00756999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>,</w:t>
      </w:r>
      <w:r w:rsidR="004147A6" w:rsidRPr="004147A6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 xml:space="preserve"> and facilitat</w:t>
      </w:r>
      <w:r w:rsidR="009474EE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>e</w:t>
      </w:r>
      <w:r w:rsidR="00756999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 xml:space="preserve"> the</w:t>
      </w:r>
      <w:r w:rsidR="004147A6" w:rsidRPr="004147A6">
        <w:rPr>
          <w:rFonts w:ascii="Arial" w:eastAsia="Times New Roman" w:hAnsi="Arial" w:cs="Arial"/>
          <w:iCs/>
          <w:kern w:val="0"/>
          <w:sz w:val="20"/>
          <w:szCs w:val="20"/>
          <w:lang w:val="en-GB"/>
          <w14:ligatures w14:val="none"/>
        </w:rPr>
        <w:t xml:space="preserve"> identification of novel and emerging PFAS.</w:t>
      </w:r>
    </w:p>
    <w:p w14:paraId="2C3A5191" w14:textId="4383E95D" w:rsidR="00E717AD" w:rsidRPr="00E507DE" w:rsidRDefault="004B0DD5" w:rsidP="00001438">
      <w:pPr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sz w:val="20"/>
        </w:rPr>
        <w:t>Methods (1</w:t>
      </w:r>
      <w:r w:rsidR="007D25A9">
        <w:rPr>
          <w:rFonts w:ascii="Arial" w:hAnsi="Arial" w:cs="Arial"/>
          <w:b/>
          <w:bCs/>
          <w:sz w:val="20"/>
        </w:rPr>
        <w:t>20</w:t>
      </w:r>
      <w:r>
        <w:rPr>
          <w:rFonts w:ascii="Arial" w:hAnsi="Arial" w:cs="Arial"/>
          <w:b/>
          <w:bCs/>
          <w:sz w:val="20"/>
        </w:rPr>
        <w:t>/120)</w:t>
      </w:r>
      <w:r w:rsidRPr="000A4336">
        <w:rPr>
          <w:rFonts w:ascii="Arial" w:hAnsi="Arial" w:cs="Arial"/>
          <w:b/>
          <w:bCs/>
          <w:sz w:val="20"/>
        </w:rPr>
        <w:t>:</w:t>
      </w:r>
      <w:r>
        <w:rPr>
          <w:rFonts w:ascii="Arial" w:hAnsi="Arial" w:cs="Arial"/>
          <w:b/>
          <w:bCs/>
          <w:sz w:val="20"/>
        </w:rPr>
        <w:t xml:space="preserve"> </w:t>
      </w:r>
      <w:r w:rsidR="00E717AD">
        <w:rPr>
          <w:rFonts w:ascii="Arial" w:hAnsi="Arial" w:cs="Arial"/>
          <w:sz w:val="20"/>
        </w:rPr>
        <w:t xml:space="preserve">PIMMS is </w:t>
      </w:r>
      <w:r w:rsidR="00001438">
        <w:rPr>
          <w:rFonts w:ascii="Arial" w:hAnsi="Arial" w:cs="Arial"/>
          <w:sz w:val="20"/>
        </w:rPr>
        <w:t>a stand-alone,</w:t>
      </w:r>
      <w:r w:rsidR="00E717AD">
        <w:rPr>
          <w:rFonts w:ascii="Arial" w:hAnsi="Arial" w:cs="Arial"/>
          <w:sz w:val="20"/>
        </w:rPr>
        <w:t xml:space="preserve"> open-source software </w:t>
      </w:r>
      <w:r w:rsidR="00001438">
        <w:rPr>
          <w:rFonts w:ascii="Arial" w:hAnsi="Arial" w:cs="Arial"/>
          <w:sz w:val="20"/>
        </w:rPr>
        <w:t>designed to rapidly identify fluorinated suspects in complex matrices including serum and whole blood.</w:t>
      </w:r>
      <w:r w:rsidR="00E717AD">
        <w:rPr>
          <w:rFonts w:ascii="Arial" w:hAnsi="Arial" w:cs="Arial"/>
          <w:sz w:val="20"/>
        </w:rPr>
        <w:t xml:space="preserve"> The workflow starts with a</w:t>
      </w:r>
      <w:r w:rsidR="00001438">
        <w:rPr>
          <w:rFonts w:ascii="Arial" w:hAnsi="Arial" w:cs="Arial"/>
          <w:sz w:val="20"/>
        </w:rPr>
        <w:t xml:space="preserve"> .csv</w:t>
      </w:r>
      <w:r w:rsidR="00E717AD">
        <w:rPr>
          <w:rFonts w:ascii="Arial" w:hAnsi="Arial" w:cs="Arial"/>
          <w:sz w:val="20"/>
        </w:rPr>
        <w:t xml:space="preserve"> feature list containing </w:t>
      </w:r>
      <w:r w:rsidR="00E717AD" w:rsidRPr="000B3498">
        <w:rPr>
          <w:rFonts w:ascii="Arial" w:hAnsi="Arial" w:cs="Arial"/>
          <w:sz w:val="20"/>
          <w:szCs w:val="20"/>
        </w:rPr>
        <w:t>intensity, retention time, IMS drift time, collisional cross section (CCS), and mass-to-charge ratio (</w:t>
      </w:r>
      <w:r w:rsidR="00E717AD" w:rsidRPr="00E717AD">
        <w:rPr>
          <w:rFonts w:ascii="Arial" w:hAnsi="Arial" w:cs="Arial"/>
          <w:i/>
          <w:iCs/>
          <w:sz w:val="20"/>
          <w:szCs w:val="20"/>
        </w:rPr>
        <w:t>m/z</w:t>
      </w:r>
      <w:r w:rsidR="00E717AD" w:rsidRPr="000B3498">
        <w:rPr>
          <w:rFonts w:ascii="Arial" w:hAnsi="Arial" w:cs="Arial"/>
          <w:sz w:val="20"/>
          <w:szCs w:val="20"/>
        </w:rPr>
        <w:t>)</w:t>
      </w:r>
      <w:r w:rsidR="00E507DE">
        <w:rPr>
          <w:rFonts w:ascii="Arial" w:hAnsi="Arial" w:cs="Arial"/>
          <w:sz w:val="20"/>
          <w:szCs w:val="20"/>
        </w:rPr>
        <w:t xml:space="preserve">. Following this, a series of 9 user-controlled feature-filtration steps </w:t>
      </w:r>
      <w:proofErr w:type="gramStart"/>
      <w:r w:rsidR="00E507DE">
        <w:rPr>
          <w:rFonts w:ascii="Arial" w:hAnsi="Arial" w:cs="Arial"/>
          <w:sz w:val="20"/>
          <w:szCs w:val="20"/>
        </w:rPr>
        <w:t>are</w:t>
      </w:r>
      <w:proofErr w:type="gramEnd"/>
      <w:r w:rsidR="00E507DE">
        <w:rPr>
          <w:rFonts w:ascii="Arial" w:hAnsi="Arial" w:cs="Arial"/>
          <w:sz w:val="20"/>
          <w:szCs w:val="20"/>
        </w:rPr>
        <w:t xml:space="preserve"> initiated to reduce the potential for false positive identification</w:t>
      </w:r>
      <w:r w:rsidR="007D25A9">
        <w:rPr>
          <w:rFonts w:ascii="Arial" w:hAnsi="Arial" w:cs="Arial"/>
          <w:sz w:val="20"/>
          <w:szCs w:val="20"/>
        </w:rPr>
        <w:t>s and</w:t>
      </w:r>
      <w:r w:rsidR="00E507DE">
        <w:rPr>
          <w:rFonts w:ascii="Arial" w:hAnsi="Arial" w:cs="Arial"/>
          <w:sz w:val="20"/>
          <w:szCs w:val="20"/>
        </w:rPr>
        <w:t xml:space="preserve"> </w:t>
      </w:r>
      <w:r w:rsidR="00001438">
        <w:rPr>
          <w:rFonts w:ascii="Arial" w:hAnsi="Arial" w:cs="Arial"/>
          <w:sz w:val="20"/>
          <w:szCs w:val="20"/>
        </w:rPr>
        <w:t>eliminat</w:t>
      </w:r>
      <w:r w:rsidR="007D25A9">
        <w:rPr>
          <w:rFonts w:ascii="Arial" w:hAnsi="Arial" w:cs="Arial"/>
          <w:sz w:val="20"/>
          <w:szCs w:val="20"/>
        </w:rPr>
        <w:t>e</w:t>
      </w:r>
      <w:r w:rsidR="00E507DE">
        <w:rPr>
          <w:rFonts w:ascii="Arial" w:hAnsi="Arial" w:cs="Arial"/>
          <w:sz w:val="20"/>
          <w:szCs w:val="20"/>
        </w:rPr>
        <w:t xml:space="preserve"> </w:t>
      </w:r>
      <w:r w:rsidR="00001438">
        <w:rPr>
          <w:rFonts w:ascii="Arial" w:hAnsi="Arial" w:cs="Arial"/>
          <w:sz w:val="20"/>
          <w:szCs w:val="20"/>
        </w:rPr>
        <w:t>~</w:t>
      </w:r>
      <w:r w:rsidR="00E507DE">
        <w:rPr>
          <w:rFonts w:ascii="Arial" w:hAnsi="Arial" w:cs="Arial"/>
          <w:sz w:val="20"/>
          <w:szCs w:val="20"/>
        </w:rPr>
        <w:t>98%</w:t>
      </w:r>
      <w:r w:rsidR="00001438">
        <w:rPr>
          <w:rFonts w:ascii="Arial" w:hAnsi="Arial" w:cs="Arial"/>
          <w:sz w:val="20"/>
          <w:szCs w:val="20"/>
        </w:rPr>
        <w:t xml:space="preserve"> of features</w:t>
      </w:r>
      <w:r w:rsidR="007D25A9">
        <w:rPr>
          <w:rFonts w:ascii="Arial" w:hAnsi="Arial" w:cs="Arial"/>
          <w:sz w:val="20"/>
          <w:szCs w:val="20"/>
        </w:rPr>
        <w:t>. These steps address areas including:</w:t>
      </w:r>
      <w:r w:rsidR="00E507DE">
        <w:rPr>
          <w:rFonts w:ascii="Arial" w:hAnsi="Arial" w:cs="Arial"/>
          <w:sz w:val="20"/>
          <w:szCs w:val="20"/>
        </w:rPr>
        <w:t xml:space="preserve"> </w:t>
      </w:r>
      <w:r w:rsidR="00E507DE" w:rsidRPr="000B3498">
        <w:rPr>
          <w:rFonts w:ascii="Arial" w:hAnsi="Arial" w:cs="Arial"/>
          <w:sz w:val="20"/>
          <w:szCs w:val="20"/>
        </w:rPr>
        <w:t xml:space="preserve">(1) </w:t>
      </w:r>
      <w:r w:rsidR="00001438">
        <w:rPr>
          <w:rFonts w:ascii="Arial" w:hAnsi="Arial" w:cs="Arial"/>
          <w:sz w:val="20"/>
          <w:szCs w:val="20"/>
        </w:rPr>
        <w:t>b</w:t>
      </w:r>
      <w:r w:rsidR="00E507DE" w:rsidRPr="000B3498">
        <w:rPr>
          <w:rFonts w:ascii="Arial" w:hAnsi="Arial" w:cs="Arial"/>
          <w:sz w:val="20"/>
          <w:szCs w:val="20"/>
        </w:rPr>
        <w:t>lank subtraction, (2)</w:t>
      </w:r>
      <w:r w:rsidR="00E507DE">
        <w:rPr>
          <w:rFonts w:ascii="Arial" w:hAnsi="Arial" w:cs="Arial"/>
          <w:sz w:val="20"/>
          <w:szCs w:val="20"/>
        </w:rPr>
        <w:t xml:space="preserve"> retention time, </w:t>
      </w:r>
      <w:r w:rsidR="00E507DE">
        <w:rPr>
          <w:rFonts w:ascii="Arial" w:hAnsi="Arial" w:cs="Arial"/>
          <w:i/>
          <w:iCs/>
          <w:sz w:val="20"/>
          <w:szCs w:val="20"/>
        </w:rPr>
        <w:t>m/z</w:t>
      </w:r>
      <w:r w:rsidR="00E507DE">
        <w:rPr>
          <w:rFonts w:ascii="Arial" w:hAnsi="Arial" w:cs="Arial"/>
          <w:sz w:val="20"/>
          <w:szCs w:val="20"/>
        </w:rPr>
        <w:t>, intensity cutoffs</w:t>
      </w:r>
      <w:r w:rsidR="00E507DE" w:rsidRPr="000B3498">
        <w:rPr>
          <w:rFonts w:ascii="Arial" w:hAnsi="Arial" w:cs="Arial"/>
          <w:sz w:val="20"/>
          <w:szCs w:val="20"/>
        </w:rPr>
        <w:t xml:space="preserve">, (3) </w:t>
      </w:r>
      <w:r w:rsidR="00001438">
        <w:rPr>
          <w:rFonts w:ascii="Arial" w:hAnsi="Arial" w:cs="Arial"/>
          <w:sz w:val="20"/>
          <w:szCs w:val="20"/>
        </w:rPr>
        <w:t>s</w:t>
      </w:r>
      <w:r w:rsidR="00E507DE" w:rsidRPr="000B3498">
        <w:rPr>
          <w:rFonts w:ascii="Arial" w:hAnsi="Arial" w:cs="Arial"/>
          <w:sz w:val="20"/>
          <w:szCs w:val="20"/>
        </w:rPr>
        <w:t>mearin</w:t>
      </w:r>
      <w:r w:rsidR="00E507DE">
        <w:rPr>
          <w:rFonts w:ascii="Arial" w:hAnsi="Arial" w:cs="Arial"/>
          <w:sz w:val="20"/>
          <w:szCs w:val="20"/>
        </w:rPr>
        <w:t>g</w:t>
      </w:r>
      <w:r w:rsidR="00E507DE" w:rsidRPr="000B3498">
        <w:rPr>
          <w:rFonts w:ascii="Arial" w:hAnsi="Arial" w:cs="Arial"/>
          <w:sz w:val="20"/>
          <w:szCs w:val="20"/>
        </w:rPr>
        <w:t xml:space="preserve">, (4) </w:t>
      </w:r>
      <w:r w:rsidR="00001438">
        <w:rPr>
          <w:rFonts w:ascii="Arial" w:hAnsi="Arial" w:cs="Arial"/>
          <w:sz w:val="20"/>
          <w:szCs w:val="20"/>
        </w:rPr>
        <w:t>b</w:t>
      </w:r>
      <w:r w:rsidR="00E507DE">
        <w:rPr>
          <w:rFonts w:ascii="Arial" w:hAnsi="Arial" w:cs="Arial"/>
          <w:sz w:val="20"/>
          <w:szCs w:val="20"/>
        </w:rPr>
        <w:t>ranching</w:t>
      </w:r>
      <w:r w:rsidR="00E507DE" w:rsidRPr="000B3498">
        <w:rPr>
          <w:rFonts w:ascii="Arial" w:hAnsi="Arial" w:cs="Arial"/>
          <w:sz w:val="20"/>
          <w:szCs w:val="20"/>
        </w:rPr>
        <w:t xml:space="preserve">, (5) </w:t>
      </w:r>
      <w:r w:rsidR="00001438">
        <w:rPr>
          <w:rFonts w:ascii="Arial" w:hAnsi="Arial" w:cs="Arial"/>
          <w:sz w:val="20"/>
          <w:szCs w:val="20"/>
        </w:rPr>
        <w:t>i</w:t>
      </w:r>
      <w:r w:rsidR="00E507DE" w:rsidRPr="000B3498">
        <w:rPr>
          <w:rFonts w:ascii="Arial" w:hAnsi="Arial" w:cs="Arial"/>
          <w:sz w:val="20"/>
          <w:szCs w:val="20"/>
        </w:rPr>
        <w:t>sotopic packet</w:t>
      </w:r>
      <w:r w:rsidR="00001438">
        <w:rPr>
          <w:rFonts w:ascii="Arial" w:hAnsi="Arial" w:cs="Arial"/>
          <w:sz w:val="20"/>
          <w:szCs w:val="20"/>
        </w:rPr>
        <w:t xml:space="preserve"> condensing</w:t>
      </w:r>
      <w:r w:rsidR="00E507DE" w:rsidRPr="000B3498">
        <w:rPr>
          <w:rFonts w:ascii="Arial" w:hAnsi="Arial" w:cs="Arial"/>
          <w:sz w:val="20"/>
          <w:szCs w:val="20"/>
        </w:rPr>
        <w:t xml:space="preserve">, (6) </w:t>
      </w:r>
      <w:r w:rsidR="00E507DE">
        <w:rPr>
          <w:rFonts w:ascii="Arial" w:hAnsi="Arial" w:cs="Arial"/>
          <w:sz w:val="20"/>
          <w:szCs w:val="20"/>
        </w:rPr>
        <w:t xml:space="preserve">machine learning CCS v </w:t>
      </w:r>
      <w:r w:rsidR="00E507DE">
        <w:rPr>
          <w:rFonts w:ascii="Arial" w:hAnsi="Arial" w:cs="Arial"/>
          <w:i/>
          <w:iCs/>
          <w:sz w:val="20"/>
          <w:szCs w:val="20"/>
        </w:rPr>
        <w:t>m/z</w:t>
      </w:r>
      <w:r w:rsidR="00E507DE">
        <w:rPr>
          <w:rFonts w:ascii="Arial" w:hAnsi="Arial" w:cs="Arial"/>
          <w:sz w:val="20"/>
          <w:szCs w:val="20"/>
        </w:rPr>
        <w:t xml:space="preserve"> separation</w:t>
      </w:r>
      <w:r w:rsidR="00E507DE" w:rsidRPr="000B3498">
        <w:rPr>
          <w:rFonts w:ascii="Arial" w:hAnsi="Arial" w:cs="Arial"/>
          <w:sz w:val="20"/>
          <w:szCs w:val="20"/>
        </w:rPr>
        <w:t xml:space="preserve">, (7) </w:t>
      </w:r>
      <w:r w:rsidR="00E507DE">
        <w:rPr>
          <w:rFonts w:ascii="Arial" w:hAnsi="Arial" w:cs="Arial"/>
          <w:sz w:val="20"/>
          <w:szCs w:val="20"/>
        </w:rPr>
        <w:t>mass defect</w:t>
      </w:r>
      <w:r w:rsidR="00E507DE" w:rsidRPr="000B3498">
        <w:rPr>
          <w:rFonts w:ascii="Arial" w:hAnsi="Arial" w:cs="Arial"/>
          <w:sz w:val="20"/>
          <w:szCs w:val="20"/>
        </w:rPr>
        <w:t>, (8)</w:t>
      </w:r>
      <w:r w:rsidR="00E507DE">
        <w:rPr>
          <w:rFonts w:ascii="Arial" w:hAnsi="Arial" w:cs="Arial"/>
          <w:sz w:val="20"/>
          <w:szCs w:val="20"/>
        </w:rPr>
        <w:t xml:space="preserve"> feature detection frequency</w:t>
      </w:r>
      <w:r w:rsidR="00E507DE" w:rsidRPr="000B3498">
        <w:rPr>
          <w:rFonts w:ascii="Arial" w:hAnsi="Arial" w:cs="Arial"/>
          <w:sz w:val="20"/>
          <w:szCs w:val="20"/>
        </w:rPr>
        <w:t>, (</w:t>
      </w:r>
      <w:r w:rsidR="00E507DE">
        <w:rPr>
          <w:rFonts w:ascii="Arial" w:hAnsi="Arial" w:cs="Arial"/>
          <w:sz w:val="20"/>
          <w:szCs w:val="20"/>
        </w:rPr>
        <w:t>9</w:t>
      </w:r>
      <w:r w:rsidR="00E507DE" w:rsidRPr="000B3498">
        <w:rPr>
          <w:rFonts w:ascii="Arial" w:hAnsi="Arial" w:cs="Arial"/>
          <w:sz w:val="20"/>
          <w:szCs w:val="20"/>
        </w:rPr>
        <w:t xml:space="preserve">) </w:t>
      </w:r>
      <w:r w:rsidR="00E507DE">
        <w:rPr>
          <w:rFonts w:ascii="Arial" w:hAnsi="Arial" w:cs="Arial"/>
          <w:sz w:val="20"/>
          <w:szCs w:val="20"/>
        </w:rPr>
        <w:t xml:space="preserve">stable isotope standard removal. Scoring steps are then initiated to aid in the identification of features. </w:t>
      </w:r>
    </w:p>
    <w:p w14:paraId="0C41CB10" w14:textId="04E5C751" w:rsidR="00AC5145" w:rsidRDefault="000B3498" w:rsidP="008A6A1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Preliminary Data or Plenary Speakers Abstract (</w:t>
      </w:r>
      <w:r w:rsidR="007F33D5">
        <w:rPr>
          <w:rFonts w:ascii="Arial" w:hAnsi="Arial" w:cs="Arial"/>
          <w:b/>
          <w:bCs/>
          <w:sz w:val="20"/>
          <w:szCs w:val="20"/>
        </w:rPr>
        <w:t>298</w:t>
      </w:r>
      <w:r>
        <w:rPr>
          <w:rFonts w:ascii="Arial" w:hAnsi="Arial" w:cs="Arial"/>
          <w:b/>
          <w:bCs/>
          <w:sz w:val="20"/>
          <w:szCs w:val="20"/>
        </w:rPr>
        <w:t xml:space="preserve">/300): </w:t>
      </w:r>
      <w:r w:rsidR="00AC5145">
        <w:rPr>
          <w:rFonts w:ascii="Arial" w:hAnsi="Arial" w:cs="Arial"/>
          <w:sz w:val="20"/>
          <w:szCs w:val="20"/>
        </w:rPr>
        <w:t xml:space="preserve">PIMMS was designed to accelerate the NTA workflow by prioritizing fluorinated suspects and eliminating </w:t>
      </w:r>
      <w:r w:rsidR="003045CD">
        <w:rPr>
          <w:rFonts w:ascii="Arial" w:hAnsi="Arial" w:cs="Arial"/>
          <w:sz w:val="20"/>
          <w:szCs w:val="20"/>
        </w:rPr>
        <w:t xml:space="preserve">endogenous </w:t>
      </w:r>
      <w:r w:rsidR="00AC5145">
        <w:rPr>
          <w:rFonts w:ascii="Arial" w:hAnsi="Arial" w:cs="Arial"/>
          <w:sz w:val="20"/>
          <w:szCs w:val="20"/>
        </w:rPr>
        <w:t>features. PIMMS was developed and tested using data collected from human and alligator plasma and serum. Feature lists for these sample sets are often above 12,000 features per sample with often &lt;1% of these features being identifiable PFAS</w:t>
      </w:r>
      <w:r w:rsidR="00F50A0E">
        <w:rPr>
          <w:rFonts w:ascii="Arial" w:hAnsi="Arial" w:cs="Arial"/>
          <w:sz w:val="20"/>
          <w:szCs w:val="20"/>
        </w:rPr>
        <w:t xml:space="preserve"> after extensive manual validation</w:t>
      </w:r>
      <w:r w:rsidR="00AC5145">
        <w:rPr>
          <w:rFonts w:ascii="Arial" w:hAnsi="Arial" w:cs="Arial"/>
          <w:sz w:val="20"/>
          <w:szCs w:val="20"/>
        </w:rPr>
        <w:t xml:space="preserve">. As a result, </w:t>
      </w:r>
      <w:r w:rsidR="00F50A0E">
        <w:rPr>
          <w:rFonts w:ascii="Arial" w:hAnsi="Arial" w:cs="Arial"/>
          <w:sz w:val="20"/>
          <w:szCs w:val="20"/>
        </w:rPr>
        <w:t xml:space="preserve">numerous </w:t>
      </w:r>
      <w:r w:rsidR="00AC5145">
        <w:rPr>
          <w:rFonts w:ascii="Arial" w:hAnsi="Arial" w:cs="Arial"/>
          <w:sz w:val="20"/>
          <w:szCs w:val="20"/>
        </w:rPr>
        <w:t xml:space="preserve">filtering steps are necessary prior analysis to </w:t>
      </w:r>
      <w:r w:rsidR="00F50A0E">
        <w:rPr>
          <w:rFonts w:ascii="Arial" w:hAnsi="Arial" w:cs="Arial"/>
          <w:sz w:val="20"/>
          <w:szCs w:val="20"/>
        </w:rPr>
        <w:t xml:space="preserve">prioritize potential candidates, </w:t>
      </w:r>
      <w:r w:rsidR="00AC5145">
        <w:rPr>
          <w:rFonts w:ascii="Arial" w:hAnsi="Arial" w:cs="Arial"/>
          <w:sz w:val="20"/>
          <w:szCs w:val="20"/>
        </w:rPr>
        <w:t>reduce false positive identification</w:t>
      </w:r>
      <w:r w:rsidR="00F50A0E">
        <w:rPr>
          <w:rFonts w:ascii="Arial" w:hAnsi="Arial" w:cs="Arial"/>
          <w:sz w:val="20"/>
          <w:szCs w:val="20"/>
        </w:rPr>
        <w:t>s</w:t>
      </w:r>
      <w:r w:rsidR="00AC5145">
        <w:rPr>
          <w:rFonts w:ascii="Arial" w:hAnsi="Arial" w:cs="Arial"/>
          <w:sz w:val="20"/>
          <w:szCs w:val="20"/>
        </w:rPr>
        <w:t xml:space="preserve"> and increase computational demand. </w:t>
      </w:r>
    </w:p>
    <w:p w14:paraId="3ED03494" w14:textId="1B3E4BE3" w:rsidR="00AC5145" w:rsidRPr="006F1ADA" w:rsidRDefault="00AC5145" w:rsidP="008A6A1D">
      <w:r w:rsidRPr="008A6A1D">
        <w:rPr>
          <w:rFonts w:ascii="Arial" w:hAnsi="Arial" w:cs="Arial"/>
          <w:sz w:val="20"/>
          <w:szCs w:val="20"/>
        </w:rPr>
        <w:t xml:space="preserve">Currently, several automated </w:t>
      </w:r>
      <w:r w:rsidR="006F1ADA">
        <w:rPr>
          <w:rFonts w:ascii="Arial" w:hAnsi="Arial" w:cs="Arial"/>
          <w:sz w:val="20"/>
          <w:szCs w:val="20"/>
        </w:rPr>
        <w:t xml:space="preserve">NTA </w:t>
      </w:r>
      <w:r w:rsidRPr="008A6A1D">
        <w:rPr>
          <w:rFonts w:ascii="Arial" w:hAnsi="Arial" w:cs="Arial"/>
          <w:sz w:val="20"/>
          <w:szCs w:val="20"/>
        </w:rPr>
        <w:t xml:space="preserve">PFAS </w:t>
      </w:r>
      <w:r w:rsidR="006F1ADA">
        <w:rPr>
          <w:rFonts w:ascii="Arial" w:hAnsi="Arial" w:cs="Arial"/>
          <w:sz w:val="20"/>
          <w:szCs w:val="20"/>
        </w:rPr>
        <w:t>software</w:t>
      </w:r>
      <w:r w:rsidR="00F50A0E">
        <w:rPr>
          <w:rFonts w:ascii="Arial" w:hAnsi="Arial" w:cs="Arial"/>
          <w:sz w:val="20"/>
          <w:szCs w:val="20"/>
        </w:rPr>
        <w:t xml:space="preserve"> tools</w:t>
      </w:r>
      <w:r w:rsidRPr="008A6A1D">
        <w:rPr>
          <w:rFonts w:ascii="Arial" w:hAnsi="Arial" w:cs="Arial"/>
          <w:sz w:val="20"/>
          <w:szCs w:val="20"/>
        </w:rPr>
        <w:t xml:space="preserve"> exist, but none utilize the </w:t>
      </w:r>
      <w:r>
        <w:rPr>
          <w:rFonts w:ascii="Arial" w:hAnsi="Arial" w:cs="Arial"/>
          <w:sz w:val="20"/>
          <w:szCs w:val="20"/>
        </w:rPr>
        <w:t>separation</w:t>
      </w:r>
      <w:r w:rsidRPr="008A6A1D">
        <w:rPr>
          <w:rFonts w:ascii="Arial" w:hAnsi="Arial" w:cs="Arial"/>
          <w:sz w:val="20"/>
          <w:szCs w:val="20"/>
        </w:rPr>
        <w:t xml:space="preserve"> provided by </w:t>
      </w:r>
      <w:r w:rsidR="00E039C7">
        <w:rPr>
          <w:rFonts w:ascii="Arial" w:hAnsi="Arial" w:cs="Arial"/>
          <w:sz w:val="20"/>
          <w:szCs w:val="20"/>
        </w:rPr>
        <w:t>IMS or enable the 9 filtering steps of PIMMS</w:t>
      </w:r>
      <w:r w:rsidRPr="008A6A1D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r w:rsidR="00E039C7">
        <w:rPr>
          <w:rFonts w:ascii="Arial" w:hAnsi="Arial" w:cs="Arial"/>
          <w:sz w:val="20"/>
          <w:szCs w:val="20"/>
        </w:rPr>
        <w:t xml:space="preserve">For example, </w:t>
      </w:r>
      <w:r w:rsidR="007F33D5">
        <w:rPr>
          <w:rFonts w:ascii="Arial" w:hAnsi="Arial" w:cs="Arial"/>
          <w:sz w:val="20"/>
          <w:szCs w:val="20"/>
        </w:rPr>
        <w:t>processing a feature file</w:t>
      </w:r>
      <w:r w:rsidR="00E039C7">
        <w:rPr>
          <w:rFonts w:ascii="Arial" w:hAnsi="Arial" w:cs="Arial"/>
          <w:sz w:val="20"/>
          <w:szCs w:val="20"/>
        </w:rPr>
        <w:t xml:space="preserve"> through steps 1-5, step 6 enables the use of the IMS dimension, which is extremely helpful in PFAS identification. </w:t>
      </w:r>
      <w:r w:rsidR="00C90203">
        <w:rPr>
          <w:rFonts w:ascii="Arial" w:hAnsi="Arial" w:cs="Arial"/>
          <w:sz w:val="20"/>
          <w:szCs w:val="20"/>
        </w:rPr>
        <w:t xml:space="preserve">Since </w:t>
      </w:r>
      <w:r w:rsidR="008A6A1D" w:rsidRPr="008A6A1D">
        <w:rPr>
          <w:rFonts w:ascii="Arial" w:hAnsi="Arial" w:cs="Arial"/>
          <w:sz w:val="20"/>
          <w:szCs w:val="20"/>
        </w:rPr>
        <w:t>PFAS</w:t>
      </w:r>
      <w:r w:rsidR="00C90203">
        <w:rPr>
          <w:rFonts w:ascii="Arial" w:hAnsi="Arial" w:cs="Arial"/>
          <w:sz w:val="20"/>
          <w:szCs w:val="20"/>
        </w:rPr>
        <w:t xml:space="preserve"> are</w:t>
      </w:r>
      <w:r w:rsidR="008A6A1D" w:rsidRPr="008A6A1D">
        <w:rPr>
          <w:rFonts w:ascii="Arial" w:hAnsi="Arial" w:cs="Arial"/>
          <w:sz w:val="20"/>
          <w:szCs w:val="20"/>
        </w:rPr>
        <w:t xml:space="preserve"> highly fluorinated</w:t>
      </w:r>
      <w:r w:rsidR="00C90203">
        <w:rPr>
          <w:rFonts w:ascii="Arial" w:hAnsi="Arial" w:cs="Arial"/>
          <w:sz w:val="20"/>
          <w:szCs w:val="20"/>
        </w:rPr>
        <w:t xml:space="preserve"> compared to </w:t>
      </w:r>
      <w:r w:rsidR="00C90203" w:rsidRPr="008A6A1D">
        <w:rPr>
          <w:rFonts w:ascii="Arial" w:hAnsi="Arial" w:cs="Arial"/>
          <w:sz w:val="20"/>
          <w:szCs w:val="20"/>
        </w:rPr>
        <w:t>biological molecules</w:t>
      </w:r>
      <w:r w:rsidR="008A6A1D" w:rsidRPr="008A6A1D">
        <w:rPr>
          <w:rFonts w:ascii="Arial" w:hAnsi="Arial" w:cs="Arial"/>
          <w:sz w:val="20"/>
          <w:szCs w:val="20"/>
        </w:rPr>
        <w:t xml:space="preserve">, </w:t>
      </w:r>
      <w:r w:rsidR="00E039C7">
        <w:rPr>
          <w:rFonts w:ascii="Arial" w:hAnsi="Arial" w:cs="Arial"/>
          <w:sz w:val="20"/>
          <w:szCs w:val="20"/>
        </w:rPr>
        <w:t>they</w:t>
      </w:r>
      <w:r w:rsidR="00C90203">
        <w:rPr>
          <w:rFonts w:ascii="Arial" w:hAnsi="Arial" w:cs="Arial"/>
          <w:sz w:val="20"/>
          <w:szCs w:val="20"/>
        </w:rPr>
        <w:t xml:space="preserve"> </w:t>
      </w:r>
      <w:r w:rsidR="008A6A1D" w:rsidRPr="008A6A1D">
        <w:rPr>
          <w:rFonts w:ascii="Arial" w:hAnsi="Arial" w:cs="Arial"/>
          <w:sz w:val="20"/>
          <w:szCs w:val="20"/>
        </w:rPr>
        <w:t xml:space="preserve">exhibit much </w:t>
      </w:r>
      <w:r>
        <w:rPr>
          <w:rFonts w:ascii="Arial" w:hAnsi="Arial" w:cs="Arial"/>
          <w:sz w:val="20"/>
          <w:szCs w:val="20"/>
        </w:rPr>
        <w:t xml:space="preserve">lower CCS values relative to </w:t>
      </w:r>
      <w:r>
        <w:rPr>
          <w:rFonts w:ascii="Arial" w:hAnsi="Arial" w:cs="Arial"/>
          <w:i/>
          <w:iCs/>
          <w:sz w:val="20"/>
          <w:szCs w:val="20"/>
        </w:rPr>
        <w:t>m/z</w:t>
      </w:r>
      <w:r>
        <w:rPr>
          <w:rFonts w:ascii="Arial" w:hAnsi="Arial" w:cs="Arial"/>
          <w:sz w:val="20"/>
          <w:szCs w:val="20"/>
        </w:rPr>
        <w:t xml:space="preserve">. The algorithm </w:t>
      </w:r>
      <w:r w:rsidR="00E039C7">
        <w:rPr>
          <w:rFonts w:ascii="Arial" w:hAnsi="Arial" w:cs="Arial"/>
          <w:sz w:val="20"/>
          <w:szCs w:val="20"/>
        </w:rPr>
        <w:t xml:space="preserve">in step 6 therefore </w:t>
      </w:r>
      <w:r>
        <w:rPr>
          <w:rFonts w:ascii="Arial" w:hAnsi="Arial" w:cs="Arial"/>
          <w:sz w:val="20"/>
          <w:szCs w:val="20"/>
        </w:rPr>
        <w:t>use</w:t>
      </w:r>
      <w:r w:rsidR="007F33D5"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 xml:space="preserve"> the Baker Lab’s PFAS and lipid library containing over 1000 CCS and </w:t>
      </w:r>
      <w:r>
        <w:rPr>
          <w:rFonts w:ascii="Arial" w:hAnsi="Arial" w:cs="Arial"/>
          <w:i/>
          <w:iCs/>
          <w:sz w:val="20"/>
          <w:szCs w:val="20"/>
        </w:rPr>
        <w:t>m/z</w:t>
      </w:r>
      <w:r>
        <w:rPr>
          <w:rFonts w:ascii="Arial" w:hAnsi="Arial" w:cs="Arial"/>
          <w:sz w:val="20"/>
          <w:szCs w:val="20"/>
        </w:rPr>
        <w:t xml:space="preserve"> features to find a gradient that can separate PFAS from a wide range of different lipids. This one filter alone was able to reduce the experimental feature list of human serum samples by </w:t>
      </w:r>
      <w:r w:rsidR="003045CD">
        <w:rPr>
          <w:rFonts w:ascii="Arial" w:hAnsi="Arial" w:cs="Arial"/>
          <w:sz w:val="20"/>
          <w:szCs w:val="20"/>
        </w:rPr>
        <w:t>~90</w:t>
      </w:r>
      <w:r w:rsidR="007D56DC">
        <w:rPr>
          <w:rFonts w:ascii="Arial" w:hAnsi="Arial" w:cs="Arial"/>
          <w:sz w:val="20"/>
          <w:szCs w:val="20"/>
        </w:rPr>
        <w:t>%</w:t>
      </w:r>
      <w:r w:rsidR="007F33D5">
        <w:rPr>
          <w:rFonts w:ascii="Arial" w:hAnsi="Arial" w:cs="Arial"/>
          <w:sz w:val="20"/>
          <w:szCs w:val="20"/>
        </w:rPr>
        <w:t>, enabling higher confidence identifications</w:t>
      </w:r>
      <w:r w:rsidR="006F1ADA">
        <w:rPr>
          <w:rFonts w:ascii="Arial" w:hAnsi="Arial" w:cs="Arial"/>
          <w:sz w:val="20"/>
          <w:szCs w:val="20"/>
        </w:rPr>
        <w:t xml:space="preserve">. </w:t>
      </w:r>
    </w:p>
    <w:p w14:paraId="36864F1C" w14:textId="554631FE" w:rsidR="008A6A1D" w:rsidRPr="008A6A1D" w:rsidRDefault="008A6A1D" w:rsidP="008A6A1D">
      <w:pPr>
        <w:rPr>
          <w:rFonts w:ascii="Arial" w:hAnsi="Arial" w:cs="Arial"/>
          <w:sz w:val="20"/>
          <w:szCs w:val="20"/>
        </w:rPr>
      </w:pPr>
      <w:r w:rsidRPr="008A6A1D">
        <w:rPr>
          <w:rFonts w:ascii="Arial" w:hAnsi="Arial" w:cs="Arial"/>
          <w:sz w:val="20"/>
          <w:szCs w:val="20"/>
        </w:rPr>
        <w:lastRenderedPageBreak/>
        <w:t>PIMMS has been rigorously benchmarked against manual identification workflows performed</w:t>
      </w:r>
      <w:r w:rsidR="007D56DC">
        <w:rPr>
          <w:rFonts w:ascii="Arial" w:hAnsi="Arial" w:cs="Arial"/>
          <w:sz w:val="20"/>
          <w:szCs w:val="20"/>
        </w:rPr>
        <w:t xml:space="preserve"> by</w:t>
      </w:r>
      <w:r w:rsidRPr="008A6A1D">
        <w:rPr>
          <w:rFonts w:ascii="Arial" w:hAnsi="Arial" w:cs="Arial"/>
          <w:sz w:val="20"/>
          <w:szCs w:val="20"/>
        </w:rPr>
        <w:t xml:space="preserve"> </w:t>
      </w:r>
      <w:r w:rsidR="007D56DC">
        <w:rPr>
          <w:rFonts w:ascii="Arial" w:hAnsi="Arial" w:cs="Arial"/>
          <w:sz w:val="20"/>
          <w:szCs w:val="20"/>
        </w:rPr>
        <w:t xml:space="preserve">analysts. </w:t>
      </w:r>
      <w:r w:rsidRPr="008A6A1D">
        <w:rPr>
          <w:rFonts w:ascii="Arial" w:hAnsi="Arial" w:cs="Arial"/>
          <w:sz w:val="20"/>
          <w:szCs w:val="20"/>
        </w:rPr>
        <w:t xml:space="preserve">PIMMS achieved &gt;88% concordance </w:t>
      </w:r>
      <w:r w:rsidR="007D56DC">
        <w:rPr>
          <w:rFonts w:ascii="Arial" w:hAnsi="Arial" w:cs="Arial"/>
          <w:sz w:val="20"/>
          <w:szCs w:val="20"/>
        </w:rPr>
        <w:t xml:space="preserve">for emerging </w:t>
      </w:r>
      <w:r w:rsidR="003045CD">
        <w:rPr>
          <w:rFonts w:ascii="Arial" w:hAnsi="Arial" w:cs="Arial"/>
          <w:sz w:val="20"/>
          <w:szCs w:val="20"/>
        </w:rPr>
        <w:t>PFAS</w:t>
      </w:r>
      <w:r w:rsidR="007D56DC">
        <w:rPr>
          <w:rFonts w:ascii="Arial" w:hAnsi="Arial" w:cs="Arial"/>
          <w:sz w:val="20"/>
          <w:szCs w:val="20"/>
        </w:rPr>
        <w:t xml:space="preserve"> in human serum despite </w:t>
      </w:r>
      <w:r w:rsidR="00C90203">
        <w:rPr>
          <w:rFonts w:ascii="Arial" w:hAnsi="Arial" w:cs="Arial"/>
          <w:sz w:val="20"/>
          <w:szCs w:val="20"/>
        </w:rPr>
        <w:t xml:space="preserve">having </w:t>
      </w:r>
      <w:r w:rsidR="007D56DC">
        <w:rPr>
          <w:rFonts w:ascii="Arial" w:hAnsi="Arial" w:cs="Arial"/>
          <w:sz w:val="20"/>
          <w:szCs w:val="20"/>
        </w:rPr>
        <w:t>differing workflows</w:t>
      </w:r>
      <w:r w:rsidR="00C90203">
        <w:rPr>
          <w:rFonts w:ascii="Arial" w:hAnsi="Arial" w:cs="Arial"/>
          <w:sz w:val="20"/>
          <w:szCs w:val="20"/>
        </w:rPr>
        <w:t>. It also had</w:t>
      </w:r>
      <w:r w:rsidR="00230F6A">
        <w:rPr>
          <w:rFonts w:ascii="Arial" w:hAnsi="Arial" w:cs="Arial"/>
          <w:sz w:val="20"/>
          <w:szCs w:val="20"/>
        </w:rPr>
        <w:t xml:space="preserve"> 100% concordance for stable isotope label mixes added to samples</w:t>
      </w:r>
      <w:r w:rsidR="00C90203">
        <w:rPr>
          <w:rFonts w:ascii="Arial" w:hAnsi="Arial" w:cs="Arial"/>
          <w:sz w:val="20"/>
          <w:szCs w:val="20"/>
        </w:rPr>
        <w:t xml:space="preserve"> and enabled </w:t>
      </w:r>
      <w:r w:rsidR="003045CD">
        <w:rPr>
          <w:rFonts w:ascii="Arial" w:hAnsi="Arial" w:cs="Arial"/>
          <w:sz w:val="20"/>
          <w:szCs w:val="20"/>
        </w:rPr>
        <w:t>analysis in under one minute per sample</w:t>
      </w:r>
      <w:r w:rsidR="00230F6A">
        <w:rPr>
          <w:rFonts w:ascii="Arial" w:hAnsi="Arial" w:cs="Arial"/>
          <w:sz w:val="20"/>
          <w:szCs w:val="20"/>
        </w:rPr>
        <w:t xml:space="preserve">. </w:t>
      </w:r>
      <w:r w:rsidR="007D56DC">
        <w:rPr>
          <w:rFonts w:ascii="Arial" w:hAnsi="Arial" w:cs="Arial"/>
          <w:sz w:val="20"/>
          <w:szCs w:val="20"/>
        </w:rPr>
        <w:t xml:space="preserve">Moreover, in testing, no false positives were found. </w:t>
      </w:r>
      <w:r w:rsidRPr="008A6A1D">
        <w:rPr>
          <w:rFonts w:ascii="Arial" w:hAnsi="Arial" w:cs="Arial"/>
          <w:sz w:val="20"/>
          <w:szCs w:val="20"/>
        </w:rPr>
        <w:t xml:space="preserve">PIMMS has also demonstrated its utility in </w:t>
      </w:r>
      <w:r w:rsidR="007D56DC">
        <w:rPr>
          <w:rFonts w:ascii="Arial" w:hAnsi="Arial" w:cs="Arial"/>
          <w:sz w:val="20"/>
          <w:szCs w:val="20"/>
        </w:rPr>
        <w:t xml:space="preserve">aiding novel PFAS discovery </w:t>
      </w:r>
      <w:r w:rsidRPr="008A6A1D">
        <w:rPr>
          <w:rFonts w:ascii="Arial" w:hAnsi="Arial" w:cs="Arial"/>
          <w:sz w:val="20"/>
          <w:szCs w:val="20"/>
        </w:rPr>
        <w:t xml:space="preserve">such as </w:t>
      </w:r>
      <w:r w:rsidR="007D56DC">
        <w:rPr>
          <w:rFonts w:ascii="Arial" w:hAnsi="Arial" w:cs="Arial"/>
          <w:sz w:val="20"/>
          <w:szCs w:val="20"/>
        </w:rPr>
        <w:t xml:space="preserve">in </w:t>
      </w:r>
      <w:r w:rsidRPr="008A6A1D">
        <w:rPr>
          <w:rFonts w:ascii="Arial" w:hAnsi="Arial" w:cs="Arial"/>
          <w:sz w:val="20"/>
          <w:szCs w:val="20"/>
        </w:rPr>
        <w:t>analyzing blood samples from alligators</w:t>
      </w:r>
      <w:r w:rsidR="007F33D5">
        <w:rPr>
          <w:rFonts w:ascii="Arial" w:hAnsi="Arial" w:cs="Arial"/>
          <w:sz w:val="20"/>
          <w:szCs w:val="20"/>
        </w:rPr>
        <w:t>,</w:t>
      </w:r>
      <w:r w:rsidRPr="008A6A1D">
        <w:rPr>
          <w:rFonts w:ascii="Arial" w:hAnsi="Arial" w:cs="Arial"/>
          <w:sz w:val="20"/>
          <w:szCs w:val="20"/>
        </w:rPr>
        <w:t xml:space="preserve"> </w:t>
      </w:r>
      <w:r w:rsidR="007F33D5">
        <w:rPr>
          <w:rFonts w:ascii="Arial" w:hAnsi="Arial" w:cs="Arial"/>
          <w:sz w:val="20"/>
          <w:szCs w:val="20"/>
        </w:rPr>
        <w:t>which will be showcased</w:t>
      </w:r>
      <w:r w:rsidRPr="008A6A1D">
        <w:rPr>
          <w:rFonts w:ascii="Arial" w:hAnsi="Arial" w:cs="Arial"/>
          <w:sz w:val="20"/>
          <w:szCs w:val="20"/>
        </w:rPr>
        <w:t xml:space="preserve">. As such, PIMMS offers a powerful, user-friendly, and customizable solution for </w:t>
      </w:r>
      <w:r w:rsidR="00230F6A" w:rsidRPr="008A6A1D">
        <w:rPr>
          <w:rFonts w:ascii="Arial" w:hAnsi="Arial" w:cs="Arial"/>
          <w:sz w:val="20"/>
          <w:szCs w:val="20"/>
        </w:rPr>
        <w:t xml:space="preserve">PFAS </w:t>
      </w:r>
      <w:r w:rsidR="00230F6A">
        <w:rPr>
          <w:rFonts w:ascii="Arial" w:hAnsi="Arial" w:cs="Arial"/>
          <w:sz w:val="20"/>
          <w:szCs w:val="20"/>
        </w:rPr>
        <w:t>NTA</w:t>
      </w:r>
      <w:r w:rsidR="00C90203">
        <w:rPr>
          <w:rFonts w:ascii="Arial" w:hAnsi="Arial" w:cs="Arial"/>
          <w:sz w:val="20"/>
          <w:szCs w:val="20"/>
        </w:rPr>
        <w:t xml:space="preserve"> data workflows</w:t>
      </w:r>
      <w:r w:rsidRPr="008A6A1D">
        <w:rPr>
          <w:rFonts w:ascii="Arial" w:hAnsi="Arial" w:cs="Arial"/>
          <w:sz w:val="20"/>
          <w:szCs w:val="20"/>
        </w:rPr>
        <w:t xml:space="preserve">. </w:t>
      </w:r>
    </w:p>
    <w:bookmarkEnd w:id="3"/>
    <w:p w14:paraId="307A2852" w14:textId="4EEFF3D4" w:rsidR="008F0AB9" w:rsidRPr="003045CD" w:rsidRDefault="008F0AB9" w:rsidP="008F0AB9">
      <w:pPr>
        <w:rPr>
          <w:rFonts w:ascii="Arial" w:hAnsi="Arial" w:cs="Arial"/>
          <w:sz w:val="20"/>
          <w:szCs w:val="20"/>
        </w:rPr>
      </w:pPr>
      <w:r w:rsidRPr="008F0AB9">
        <w:rPr>
          <w:b/>
          <w:bCs/>
        </w:rPr>
        <w:t>Novel aspect (</w:t>
      </w:r>
      <w:r w:rsidR="00756999">
        <w:rPr>
          <w:b/>
          <w:bCs/>
        </w:rPr>
        <w:t>1</w:t>
      </w:r>
      <w:r w:rsidR="00504872">
        <w:rPr>
          <w:b/>
          <w:bCs/>
        </w:rPr>
        <w:t>8</w:t>
      </w:r>
      <w:r w:rsidRPr="008F0AB9">
        <w:rPr>
          <w:b/>
          <w:bCs/>
        </w:rPr>
        <w:t xml:space="preserve">/20): </w:t>
      </w:r>
      <w:r w:rsidRPr="008F0AB9">
        <w:rPr>
          <w:rFonts w:ascii="Arial" w:hAnsi="Arial" w:cs="Arial"/>
          <w:sz w:val="20"/>
          <w:szCs w:val="20"/>
        </w:rPr>
        <w:t xml:space="preserve">The development </w:t>
      </w:r>
      <w:r w:rsidR="003045CD">
        <w:rPr>
          <w:rFonts w:ascii="Arial" w:hAnsi="Arial" w:cs="Arial"/>
          <w:sz w:val="20"/>
          <w:szCs w:val="20"/>
        </w:rPr>
        <w:t xml:space="preserve">and validation </w:t>
      </w:r>
      <w:r w:rsidRPr="008F0AB9">
        <w:rPr>
          <w:rFonts w:ascii="Arial" w:hAnsi="Arial" w:cs="Arial"/>
          <w:sz w:val="20"/>
          <w:szCs w:val="20"/>
        </w:rPr>
        <w:t>of</w:t>
      </w:r>
      <w:r w:rsidR="003045CD">
        <w:rPr>
          <w:rFonts w:ascii="Arial" w:hAnsi="Arial" w:cs="Arial"/>
          <w:sz w:val="20"/>
          <w:szCs w:val="20"/>
        </w:rPr>
        <w:t xml:space="preserve"> an open-source</w:t>
      </w:r>
      <w:r w:rsidRPr="008F0AB9">
        <w:rPr>
          <w:rFonts w:ascii="Arial" w:hAnsi="Arial" w:cs="Arial"/>
          <w:sz w:val="20"/>
          <w:szCs w:val="20"/>
        </w:rPr>
        <w:t xml:space="preserve"> </w:t>
      </w:r>
      <w:r w:rsidR="003045CD">
        <w:rPr>
          <w:rFonts w:ascii="Arial" w:hAnsi="Arial" w:cs="Arial"/>
          <w:sz w:val="20"/>
          <w:szCs w:val="20"/>
        </w:rPr>
        <w:t xml:space="preserve">software designed to drastically accelerate </w:t>
      </w:r>
      <w:r w:rsidR="00C90203">
        <w:rPr>
          <w:rFonts w:ascii="Arial" w:hAnsi="Arial" w:cs="Arial"/>
          <w:sz w:val="20"/>
          <w:szCs w:val="20"/>
        </w:rPr>
        <w:t xml:space="preserve">PFAS </w:t>
      </w:r>
      <w:r w:rsidR="003045CD">
        <w:rPr>
          <w:rFonts w:ascii="Arial" w:hAnsi="Arial" w:cs="Arial"/>
          <w:sz w:val="20"/>
          <w:szCs w:val="20"/>
        </w:rPr>
        <w:t>NTA workflow</w:t>
      </w:r>
      <w:r w:rsidR="004C57C5">
        <w:rPr>
          <w:rFonts w:ascii="Arial" w:hAnsi="Arial" w:cs="Arial"/>
          <w:sz w:val="20"/>
          <w:szCs w:val="20"/>
        </w:rPr>
        <w:t>s</w:t>
      </w:r>
      <w:r w:rsidR="00756999">
        <w:rPr>
          <w:rFonts w:ascii="Arial" w:hAnsi="Arial" w:cs="Arial"/>
          <w:sz w:val="20"/>
          <w:szCs w:val="20"/>
        </w:rPr>
        <w:t xml:space="preserve"> with LC-IMS-MS separations</w:t>
      </w:r>
      <w:r w:rsidR="003045CD">
        <w:rPr>
          <w:rFonts w:ascii="Arial" w:hAnsi="Arial" w:cs="Arial"/>
          <w:sz w:val="20"/>
          <w:szCs w:val="20"/>
        </w:rPr>
        <w:t>.</w:t>
      </w:r>
    </w:p>
    <w:p w14:paraId="2AA722F2" w14:textId="5969AF13" w:rsidR="008F0AB9" w:rsidRPr="008F0AB9" w:rsidRDefault="008F0AB9" w:rsidP="008F0AB9"/>
    <w:p w14:paraId="60B53E69" w14:textId="68F46A44" w:rsidR="008F0AB9" w:rsidRDefault="008F0AB9"/>
    <w:p w14:paraId="330B359B" w14:textId="77777777" w:rsidR="008F0AB9" w:rsidRDefault="008F0AB9"/>
    <w:sectPr w:rsidR="008F0A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no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8C"/>
    <w:rsid w:val="00001438"/>
    <w:rsid w:val="000119DD"/>
    <w:rsid w:val="000A466C"/>
    <w:rsid w:val="000B3498"/>
    <w:rsid w:val="000D2AFB"/>
    <w:rsid w:val="001E7C7D"/>
    <w:rsid w:val="00230F6A"/>
    <w:rsid w:val="003045CD"/>
    <w:rsid w:val="004147A6"/>
    <w:rsid w:val="00460831"/>
    <w:rsid w:val="004B0DD5"/>
    <w:rsid w:val="004C0FDF"/>
    <w:rsid w:val="004C57C5"/>
    <w:rsid w:val="005031D5"/>
    <w:rsid w:val="00504872"/>
    <w:rsid w:val="00537F63"/>
    <w:rsid w:val="005450E4"/>
    <w:rsid w:val="005B3DC0"/>
    <w:rsid w:val="006154EA"/>
    <w:rsid w:val="00640701"/>
    <w:rsid w:val="006F1ADA"/>
    <w:rsid w:val="00756999"/>
    <w:rsid w:val="00757645"/>
    <w:rsid w:val="007A408C"/>
    <w:rsid w:val="007D25A9"/>
    <w:rsid w:val="007D56DC"/>
    <w:rsid w:val="007F33D5"/>
    <w:rsid w:val="00891BB6"/>
    <w:rsid w:val="008924E0"/>
    <w:rsid w:val="008A6A1D"/>
    <w:rsid w:val="008F0AB9"/>
    <w:rsid w:val="009474EE"/>
    <w:rsid w:val="009720CF"/>
    <w:rsid w:val="009B6DDE"/>
    <w:rsid w:val="00A5213F"/>
    <w:rsid w:val="00A56E0D"/>
    <w:rsid w:val="00AB07F3"/>
    <w:rsid w:val="00AC5145"/>
    <w:rsid w:val="00B63741"/>
    <w:rsid w:val="00BF0E58"/>
    <w:rsid w:val="00C90203"/>
    <w:rsid w:val="00D80AE6"/>
    <w:rsid w:val="00D97F8E"/>
    <w:rsid w:val="00DA6DF6"/>
    <w:rsid w:val="00E039C7"/>
    <w:rsid w:val="00E50641"/>
    <w:rsid w:val="00E507DE"/>
    <w:rsid w:val="00E6690E"/>
    <w:rsid w:val="00E717AD"/>
    <w:rsid w:val="00F50A0E"/>
    <w:rsid w:val="00FA6BE6"/>
    <w:rsid w:val="00FB2A5C"/>
    <w:rsid w:val="00FB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32F3B"/>
  <w15:chartTrackingRefBased/>
  <w15:docId w15:val="{1C1AC261-35D2-4A2F-AF30-18C15841E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08C"/>
  </w:style>
  <w:style w:type="paragraph" w:styleId="Heading1">
    <w:name w:val="heading 1"/>
    <w:basedOn w:val="Normal"/>
    <w:next w:val="Normal"/>
    <w:link w:val="Heading1Char"/>
    <w:uiPriority w:val="9"/>
    <w:qFormat/>
    <w:rsid w:val="007A4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08C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A40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A40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408C"/>
    <w:rPr>
      <w:sz w:val="20"/>
      <w:szCs w:val="20"/>
    </w:rPr>
  </w:style>
  <w:style w:type="paragraph" w:customStyle="1" w:styleId="BCAuthorAddress">
    <w:name w:val="BC_Author_Address"/>
    <w:basedOn w:val="Normal"/>
    <w:next w:val="BIEmailAddress"/>
    <w:autoRedefine/>
    <w:rsid w:val="007A408C"/>
    <w:pPr>
      <w:spacing w:after="60" w:line="240" w:lineRule="auto"/>
    </w:pPr>
    <w:rPr>
      <w:rFonts w:ascii="Arno Pro" w:eastAsia="Times New Roman" w:hAnsi="Arno Pro" w:cs="Times New Roman"/>
      <w:kern w:val="26"/>
      <w:sz w:val="24"/>
      <w:szCs w:val="24"/>
      <w14:ligatures w14:val="none"/>
    </w:rPr>
  </w:style>
  <w:style w:type="paragraph" w:customStyle="1" w:styleId="BIEmailAddress">
    <w:name w:val="BI_Email_Address"/>
    <w:basedOn w:val="Normal"/>
    <w:next w:val="Normal"/>
    <w:autoRedefine/>
    <w:rsid w:val="007A408C"/>
    <w:pPr>
      <w:spacing w:after="100" w:line="240" w:lineRule="auto"/>
    </w:pPr>
    <w:rPr>
      <w:rFonts w:ascii="Arno Pro" w:eastAsia="Times New Roman" w:hAnsi="Arno Pro" w:cs="Times New Roman"/>
      <w:kern w:val="0"/>
      <w:sz w:val="18"/>
      <w:szCs w:val="20"/>
      <w14:ligatures w14:val="none"/>
    </w:rPr>
  </w:style>
  <w:style w:type="paragraph" w:customStyle="1" w:styleId="StyleBIEmailAddress95pt">
    <w:name w:val="Style BI_Email_Address + 9.5 pt"/>
    <w:basedOn w:val="BIEmailAddress"/>
    <w:rsid w:val="007A408C"/>
    <w:pPr>
      <w:spacing w:after="60"/>
    </w:pPr>
    <w:rPr>
      <w:sz w:val="19"/>
    </w:rPr>
  </w:style>
  <w:style w:type="paragraph" w:styleId="NormalWeb">
    <w:name w:val="Normal (Web)"/>
    <w:basedOn w:val="Normal"/>
    <w:uiPriority w:val="99"/>
    <w:semiHidden/>
    <w:unhideWhenUsed/>
    <w:rsid w:val="007A408C"/>
    <w:rPr>
      <w:rFonts w:ascii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06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0641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154E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2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2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1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8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2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1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2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92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7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84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4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0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86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2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3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92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72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3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6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16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6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06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36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5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8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0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95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0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35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95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5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0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8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3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57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7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43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9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2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4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11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7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9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35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9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8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75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1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8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2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4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9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63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1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889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2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8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2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6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4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9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29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9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2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22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85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7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5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03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27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12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2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63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2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0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6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86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2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690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7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18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15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1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56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77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2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6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52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36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2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476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723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Kudzin, Rachel Grace Augustine</dc:creator>
  <cp:keywords/>
  <dc:description/>
  <cp:lastModifiedBy>Kudzin, Gregory Phillip</cp:lastModifiedBy>
  <cp:revision>2</cp:revision>
  <dcterms:created xsi:type="dcterms:W3CDTF">2025-01-31T13:35:00Z</dcterms:created>
  <dcterms:modified xsi:type="dcterms:W3CDTF">2025-01-31T13:35:00Z</dcterms:modified>
</cp:coreProperties>
</file>