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C5234"/>
          <w:sz w:val="24"/>
          <w:szCs w:val="24"/>
        </w:rPr>
        <w:t xml:space="preserve">PRELIMINARY ECOLOGICAL APPRAISAL</w:t>
      </w:r>
    </w:p>
    <w:p>
      <w:pPr>
        <w:spacing w:after="960"/>
        <w:jc w:val="center"/>
      </w:pPr>
      <w:r>
        <w:rPr>
          <w:b/>
          <w:bCs/>
          <w:sz w:val="52"/>
          <w:szCs w:val="52"/>
        </w:rPr>
        <w:t xml:space="preserve">Natura Impact Assessment (NIA) - Abdurrahim</w:t>
      </w:r>
    </w:p>
    <w:p>
      <w:pPr>
        <w:spacing w:after="160"/>
        <w:jc w:val="center"/>
      </w:pPr>
      <w:r>
        <w:rPr>
          <w:sz w:val="22"/>
          <w:szCs w:val="22"/>
        </w:rPr>
        <w:t xml:space="preserve">Prepared For: LNKL</w:t>
      </w:r>
    </w:p>
    <w:p>
      <w:pPr>
        <w:spacing w:after="160"/>
        <w:jc w:val="center"/>
      </w:pPr>
      <w:r>
        <w:rPr>
          <w:sz w:val="22"/>
          <w:szCs w:val="22"/>
        </w:rPr>
        <w:t xml:space="preserve">Site Reference: A-2026-244</w:t>
      </w:r>
    </w:p>
    <w:p>
      <w:pPr>
        <w:spacing w:after="160"/>
        <w:jc w:val="center"/>
      </w:pPr>
      <w:r>
        <w:rPr>
          <w:sz w:val="22"/>
          <w:szCs w:val="22"/>
        </w:rPr>
        <w:t xml:space="preserve">Version: 2</w:t>
      </w:r>
    </w:p>
    <w:p>
      <w:pPr>
        <w:spacing w:after="960"/>
        <w:jc w:val="center"/>
      </w:pPr>
      <w:r>
        <w:rPr>
          <w:sz w:val="22"/>
          <w:szCs w:val="22"/>
        </w:rPr>
        <w:t xml:space="preserve">Date: 7/4/2026</w:t>
      </w:r>
    </w:p>
    <w:p>
      <w:pPr>
        <w:jc w:val="center"/>
      </w:pPr>
      <w:r>
        <w:rPr>
          <w:i/>
          <w:iCs/>
          <w:color w:val="999999"/>
          <w:sz w:val="18"/>
          <w:szCs w:val="18"/>
        </w:rPr>
        <w:t xml:space="preserve">Generated by Dulra Ecological Platform</w:t>
      </w:r>
    </w:p>
    <w:p>
      <w:r>
        <w:br w:type="page"/>
      </w:r>
    </w:p>
    <w:p>
      <w:pPr>
        <w:spacing w:before="240" w:after="400"/>
      </w:pPr>
      <w:r>
        <w:rPr>
          <w:b/>
          <w:bCs/>
          <w:color w:val="2C5234"/>
          <w:sz w:val="32"/>
          <w:szCs w:val="32"/>
        </w:rPr>
        <w:t xml:space="preserve">Table of Contents</w:t>
      </w:r>
    </w:p>
    <w:p>
      <w:pPr>
        <w:spacing w:after="160"/>
      </w:pPr>
      <w:r>
        <w:rPr>
          <w:sz w:val="22"/>
          <w:szCs w:val="22"/>
        </w:rPr>
        <w:t xml:space="preserve">1.  Introduction  —  3</w:t>
      </w:r>
    </w:p>
    <w:p>
      <w:pPr>
        <w:spacing w:after="160"/>
      </w:pPr>
      <w:r>
        <w:rPr>
          <w:sz w:val="22"/>
          <w:szCs w:val="22"/>
        </w:rPr>
        <w:t xml:space="preserve">2.  Methodology  —  4</w:t>
      </w:r>
    </w:p>
    <w:p>
      <w:pPr>
        <w:spacing w:after="160"/>
      </w:pPr>
      <w:r>
        <w:rPr>
          <w:sz w:val="22"/>
          <w:szCs w:val="22"/>
        </w:rPr>
        <w:t xml:space="preserve">3.  Project &amp; Site Description  —  5</w:t>
      </w:r>
    </w:p>
    <w:p>
      <w:pPr>
        <w:spacing w:after="160"/>
      </w:pPr>
      <w:r>
        <w:rPr>
          <w:sz w:val="22"/>
          <w:szCs w:val="22"/>
        </w:rPr>
        <w:t xml:space="preserve">4.  Natura 2000 Sites  —  6</w:t>
      </w:r>
    </w:p>
    <w:p>
      <w:pPr>
        <w:spacing w:after="160"/>
      </w:pPr>
      <w:r>
        <w:rPr>
          <w:sz w:val="22"/>
          <w:szCs w:val="22"/>
        </w:rPr>
        <w:t xml:space="preserve">5.  Assessment of Effects on Site Integrity  —  7</w:t>
      </w:r>
    </w:p>
    <w:p>
      <w:pPr>
        <w:spacing w:after="160"/>
      </w:pPr>
      <w:r>
        <w:rPr>
          <w:sz w:val="22"/>
          <w:szCs w:val="22"/>
        </w:rPr>
        <w:t xml:space="preserve">6.  Mitigation Measures  —  8</w:t>
      </w:r>
    </w:p>
    <w:p>
      <w:pPr>
        <w:spacing w:after="160"/>
      </w:pPr>
      <w:r>
        <w:rPr>
          <w:sz w:val="22"/>
          <w:szCs w:val="22"/>
        </w:rPr>
        <w:t xml:space="preserve">7.  Residual Effects &amp; In-Combination  —  9</w:t>
      </w:r>
    </w:p>
    <w:p>
      <w:pPr>
        <w:spacing w:after="160"/>
      </w:pPr>
      <w:r>
        <w:rPr>
          <w:sz w:val="22"/>
          <w:szCs w:val="22"/>
        </w:rPr>
        <w:t xml:space="preserve">8.  Conclusion  —  10</w:t>
      </w:r>
    </w:p>
    <w:p>
      <w:pPr>
        <w:spacing w:before="240"/>
      </w:pPr>
    </w:p>
    <w:p>
      <w:pPr>
        <w:spacing w:after="160"/>
      </w:pPr>
      <w:r>
        <w:rPr>
          <w:b/>
          <w:bCs/>
          <w:sz w:val="22"/>
          <w:szCs w:val="22"/>
        </w:rPr>
        <w:t xml:space="preserve">Appendices</w:t>
      </w:r>
    </w:p>
    <w:p>
      <w:pPr>
        <w:spacing w:after="120"/>
      </w:pPr>
      <w:r>
        <w:rPr>
          <w:sz w:val="22"/>
          <w:szCs w:val="22"/>
        </w:rPr>
        <w:t xml:space="preserve">Appendix A:  Habitat Map</w:t>
      </w:r>
    </w:p>
    <w:p>
      <w:pPr>
        <w:spacing w:after="120"/>
      </w:pPr>
      <w:r>
        <w:rPr>
          <w:sz w:val="22"/>
          <w:szCs w:val="22"/>
        </w:rPr>
        <w:t xml:space="preserve">Appendix B:  Species List</w:t>
      </w:r>
    </w:p>
    <w:p>
      <w:pPr>
        <w:spacing w:after="120"/>
      </w:pPr>
      <w:r>
        <w:rPr>
          <w:sz w:val="22"/>
          <w:szCs w:val="22"/>
        </w:rPr>
        <w:t xml:space="preserve">Appendix C:  Site Photographs</w:t>
      </w:r>
    </w:p>
    <w:p>
      <w:pPr>
        <w:spacing w:after="120"/>
      </w:pPr>
      <w:r>
        <w:rPr>
          <w:sz w:val="22"/>
          <w:szCs w:val="22"/>
        </w:rPr>
        <w:t xml:space="preserve">Appendix D:  habitat_data</w:t>
      </w:r>
    </w:p>
    <w:p>
      <w:pPr>
        <w:spacing w:after="120"/>
      </w:pPr>
      <w:r>
        <w:rPr>
          <w:sz w:val="22"/>
          <w:szCs w:val="22"/>
        </w:rPr>
        <w:t xml:space="preserve">Appendix E:  aquatic_data</w:t>
      </w:r>
    </w:p>
    <w:p>
      <w:r>
        <w:br w:type="page"/>
      </w:r>
    </w:p>
    <w:p>
      <w:pPr>
        <w:spacing w:before="480" w:after="200"/>
      </w:pPr>
      <w:r>
        <w:rPr>
          <w:b/>
          <w:bCs/>
          <w:color w:val="2C5234"/>
          <w:sz w:val="28"/>
          <w:szCs w:val="28"/>
          <w:u w:val="single" w:color="2C5234"/>
        </w:rPr>
        <w:t xml:space="preserve">1. Introduction</w:t>
      </w:r>
    </w:p>
    <w:p>
      <w:pPr>
        <w:spacing w:after="120"/>
      </w:pPr>
      <w:r>
        <w:rPr>
          <w:b w:val="false"/>
          <w:bCs w:val="false"/>
          <w:i w:val="false"/>
          <w:iCs w:val="false"/>
        </w:rPr>
        <w:t xml:space="preserve">{"type":"doc","content":[{"type":"heading","attrs":{"level":3},"content":[{"type":"text","text":"1.1 Background"}]},{"type":"paragraph","content":[{"type":"text","text":"This Natura Impact Statement (NIS) has been prepared for "},{"type":"text","marks":[{"type":"bold"}],"text":"Abdurrahim"},{"type":"text","text":" located at "},{"type":"text","marks":[{"type":"italic"}],"text":"[Location not available]"},{"type":"text","text":". The site is referenced under site code A-2026-244 at Irish Grid Reference "},{"type":"text","marks":[{"type":"italic"}],"text":"[Not available]"},{"type":"text","text":"."}]},{"type":"heading","attrs":{"level":3},"content":[{"type":"text","text":"1.2 Requirement for NIS"}]},{"type":"paragraph","content":[{"type":"text","text":"AA Screening concluded that significant effects on one or more European sites could not be excluded. This NIS has been prepared to provide the competent authority with the scientific evidence required to carry out an Appropriate Assessment in accordance with Article 6(3) of the EU Habitats Directive (92/43/EEC)."}]},{"type":"heading","attrs":{"level":3},"content":[{"type":"text","text":"1.3 Legislative Framework"}]},{"type":"paragraph","content":[{"type":"text","text":"This NIS has been prepared with reference to:"}]},{"type":"bulletList","attrs":{"tight":true},"content":[{"type":"listItem","content":[{"type":"paragraph","content":[{"type":"text","marks":[{"type":"bold"}],"text":"Article 6(3) and 6(4) of the EU Habitats Directive (92/43/EEC)"}]}]},{"type":"listItem","content":[{"type":"paragraph","content":[{"type":"text","marks":[{"type":"bold"}],"text":"Part XAB of the Planning and Development Act 2000"},{"type":"text","text":" (as amended)"}]}]},{"type":"listItem","content":[{"type":"paragraph","content":[{"type":"text","marks":[{"type":"bold"}],"text":"European Communities (Birds and Natural Habitats) Regulations 2011"},{"type":"text","text":" (S.I. No. 477 of 2011)"}]}]},{"type":"listItem","content":[{"type":"paragraph","content":[{"type":"text","marks":[{"type":"bold"}],"text":"DoEHLG (2010)"},{"type":"text","text":" "},{"type":"text","marks":[{"type":"italic"}],"text":"Appropriate Assessment of Plans and Projects in Ireland — Guidance for Planning Authorities"}]}]},{"type":"listItem","content":[{"type":"paragraph","content":[{"type":"text","marks":[{"type":"bold"}],"text":"European Commission (2021)"},{"type":"text","text":" "},{"type":"text","marks":[{"type":"italic"}],"text":"Assessment of Plans and Projects in Relation to Natura 2000 Sites — Methodological Guidance"}]}]},{"type":"listItem","content":[{"type":"paragraph","content":[{"type":"text","marks":[{"type":"bold"}],"text":"European Commission (2019)"},{"type":"text","text":" "},{"type":"text","marks":[{"type":"italic"}],"text":"Managing Natura 2000 Sites: Provisions of Article 6"}]}]}]},{"type":"heading","attrs":{"level":3},"content":[{"type":"text","text":"1.4 The Appropriate Assessment Process"}]},{"type":"paragraph","content":[{"type":"text","text":"The Appropriate Assessment is a four-stage process:"}]},{"type":"orderedList","attrs":{"tight":true,"start":1,"type":null},"content":[{"type":"listItem","content":[{"type":"paragraph","content":[{"type":"text","marks":[{"type":"bold"}],"text":"Stage 1 — Screening"},{"type":"text","text":" — determine if the project is likely to have significant effects (completed)"}]}]},{"type":"listItem","content":[{"type":"paragraph","content":[{"type":"text","marks":[{"type":"bold"}],"text":"Stage 2 — Appropriate Assessment"},{"type":"text","text":" — assess effects on site integrity in view of conservation objectives (this NIS)"}]}]},{"type":"listItem","content":[{"type":"paragraph","content":[{"type":"text","marks":[{"type":"bold"}],"text":"Stage 3 — Alternative Solutions"},{"type":"text","text":" — examine alternative ways to achieve the project objectives"}]}]},{"type":"listItem","content":[{"type":"paragraph","content":[{"type":"text","marks":[{"type":"bold"}],"text":"Stage 4 — IROPI"},{"type":"text","text":" — Imperative Reasons of Overriding Public Interest (only if Stages 2-3 fail)"}]}]}]},{"type":"paragraph","content":[{"type":"text","text":"This NIS addresses Stage 2 of the process."}]}]}</w:t>
      </w:r>
    </w:p>
    <w:p>
      <w:pPr>
        <w:spacing w:before="480" w:after="200"/>
      </w:pPr>
      <w:r>
        <w:rPr>
          <w:b/>
          <w:bCs/>
          <w:color w:val="2C5234"/>
          <w:sz w:val="28"/>
          <w:szCs w:val="28"/>
          <w:u w:val="single" w:color="2C5234"/>
        </w:rPr>
        <w:t xml:space="preserve">2. Methodology</w:t>
      </w:r>
    </w:p>
    <w:p>
      <w:pPr>
        <w:spacing w:after="120"/>
      </w:pPr>
      <w:r>
        <w:rPr>
          <w:b w:val="false"/>
          <w:bCs w:val="false"/>
          <w:i w:val="false"/>
          <w:iCs w:val="false"/>
        </w:rPr>
        <w:t xml:space="preserve">{"type":"doc","content":[{"type":"heading","attrs":{"level":3},"content":[{"type":"text","text":"2.1 Guidance &amp; Standards"}]},{"type":"paragraph","content":[{"type":"text","text":"This NIS has been prepared following:"}]},{"type":"bulletList","attrs":{"tight":true},"content":[{"type":"listItem","content":[{"type":"paragraph","content":[{"type":"text","marks":[{"type":"bold"}],"text":"DoEHLG (2010)"},{"type":"text","text":" guidance for planning authorities"}]}]},{"type":"listItem","content":[{"type":"paragraph","content":[{"type":"text","marks":[{"type":"bold"}],"text":"European Commission (2021)"},{"type":"text","text":" methodological guidance on Article 6(3) and 6(4)"}]}]},{"type":"listItem","content":[{"type":"paragraph","content":[{"type":"text","marks":[{"type":"bold"}],"text":"CIEEM (2018)"},{"type":"text","text":" Guidelines for Ecological Impact Assessment"}]}]},{"type":"listItem","content":[{"type":"paragraph","content":[{"type":"text","marks":[{"type":"bold"}],"text":"NPWS Site-Specific Conservation Objectives"},{"type":"text","text":" for relevant European sites"}]}]}]},{"type":"heading","attrs":{"level":3},"content":[{"type":"text","text":"2.2 Desk Study"}]},{"type":"paragraph","content":[{"type":"text","text":"The following data sources were consulted:"}]},{"type":"bulletList","attrs":{"tight":true},"content":[{"type":"listItem","content":[{"type":"paragraph","content":[{"type":"text","marks":[{"type":"bold"}],"text":"COMPANY_REPORTS"},{"type":"text","text":" — COMPANY_REPORTS (1 record retrieved)"}]}]},{"type":"listItem","content":[{"type":"paragraph","content":[{"type":"text","marks":[{"type":"bold"}],"text":"EPA"},{"type":"text","text":" — Environmental Protection Agency water quality and catchment data (3 records retrieved)"}]}]},{"type":"listItem","content":[{"type":"paragraph","content":[{"type":"text","marks":[{"type":"bold"}],"text":"NBDC"},{"type":"text","text":" — National Biodiversity Data Centre species records and distribution data (54 records retrieved)"}]}]},{"type":"listItem","content":[{"type":"paragraph","content":[{"type":"text","marks":[{"type":"bold"}],"text":"MANUAL"},{"type":"text","text":" — Manual data entry and additional sources (28 records retrieved)"}]}]},{"type":"listItem","content":[{"type":"paragraph","content":[{"type":"text","marks":[{"type":"bold"}],"text":"NPWS"},{"type":"text","text":" — National Parks &amp; Wildlife Service designated sites database (2 records retrieved)"}]}]}]},{"type":"heading","attrs":{"level":3},"content":[{"type":"text","text":"2.3 Field Surveys"}]},{"type":"paragraph","content":[{"type":"text","text":"A total of "},{"type":"text","marks":[{"type":"bold"}],"text":"3"},{"type":"text","text":" field surveys were undertaken:"}]},{"type":"bulletList","attrs":{"tight":true},"content":[{"type":"listItem","content":[{"type":"paragraph","content":[{"type":"text","marks":[{"type":"bold"}],"text":"Walkover Survey"},{"type":"text","text":" on 7 April 2026"}]}]},{"type":"listItem","content":[{"type":"paragraph","content":[{"type":"text","marks":[{"type":"bold"}],"text":"Habitat Mapping"},{"type":"text","text":" on 7 April 2026"}]}]},{"type":"listItem","content":[{"type":"paragraph","content":[{"type":"text","marks":[{"type":"bold"}],"text":"Walkover Survey"},{"type":"text","text":" on 7 April 2026"}]},{"type":"bulletList","attrs":{"tight":true},"content":[{"type":"listItem","content":[{"type":"paragraph","content":[{"type":"text","text":"Notes: lnlk"}]}]}]}]}]},{"type":"heading","attrs":{"level":3},"content":[{"type":"text","text":"2.4 Relevé Vegetation Surveys"}]},{"type":"paragraph","content":[{"type":"text","marks":[{"type":"italic"}],"text":"[No relevé vegetation surveys recorded.]"}]},{"type":"heading","attrs":{"level":3},"content":[{"type":"text","text":"2.5 Assessment Framework"}]},{"type":"paragraph","content":[{"type":"text","text":"The assessment considers whether the proposed development would adversely affect the integrity of each relevant European site, having regard to:"}]},{"type":"bulletList","attrs":{"tight":true},"content":[{"type":"listItem","content":[{"type":"paragraph","content":[{"type":"text","text":"The structure and function of the site"}]}]},{"type":"listItem","content":[{"type":"paragraph","content":[{"type":"text","text":"The conservation objectives of the site"}]}]},{"type":"listItem","content":[{"type":"paragraph","content":[{"type":"text","text":"The ecological requirements of the qualifying interests/special conservation interests"}]}]}]},{"type":"paragraph","content":[{"type":"text","text":"The test of site integrity follows the definition in DoEHLG (2010): "},{"type":"text","marks":[{"type":"italic"}],"text":"\"the coherence of the site's ecological structure and function, across its whole area, that enables it to sustain the habitat, complex of habitats and/or the levels of populations of the species for which the site is designated.\""}]},{"type":"heading","attrs":{"level":3},"content":[{"type":"text","text":"2.6 Limitations"}]},{"type":"paragraph","content":[{"type":"text","marks":[{"type":"italic"}],"text":"[Survey limitations, seasonal constraints, data gaps]"}]}]}</w:t>
      </w:r>
    </w:p>
    <w:p>
      <w:pPr>
        <w:spacing w:before="480" w:after="200"/>
      </w:pPr>
      <w:r>
        <w:rPr>
          <w:b/>
          <w:bCs/>
          <w:color w:val="2C5234"/>
          <w:sz w:val="28"/>
          <w:szCs w:val="28"/>
          <w:u w:val="single" w:color="2C5234"/>
        </w:rPr>
        <w:t xml:space="preserve">3. Project &amp; Site Description</w:t>
      </w:r>
    </w:p>
    <w:p>
      <w:pPr>
        <w:spacing w:after="120"/>
      </w:pPr>
      <w:r>
        <w:rPr>
          <w:b w:val="false"/>
          <w:bCs w:val="false"/>
          <w:i w:val="false"/>
          <w:iCs w:val="false"/>
        </w:rPr>
        <w:t xml:space="preserve">{"type":"doc","content":[{"type":"heading","attrs":{"level":3},"content":[{"type":"text","text":"3.1 Project Description"}]},{"type":"paragraph","content":[{"type":"text","marks":[{"type":"italic"}],"text":"[Detailed description of the proposed development including: nature and scale, construction methodology, phasing, operational characteristics, and decommissioning plans]"}]},{"type":"heading","attrs":{"level":3},"content":[{"type":"text","text":"3.2 Site Characteristics"}]},{"type":"paragraph","content":[{"type":"text","text":"The project site is located at "},{"type":"text","marks":[{"type":"italic"}],"text":"[Location not available]"},{"type":"text","text":". The following habitats are present:"}]},{"type":"table","content":[{"type":"tableRow","content":[{"type":"tableHeader","attrs":{"colspan":1,"rowspan":1,"colwidth":null},"content":[{"type":"paragraph","content":[{"type":"text","text":"FOSSITT Code"}]}]},{"type":"tableHeader","attrs":{"colspan":1,"rowspan":1,"colwidth":null},"content":[{"type":"paragraph","content":[{"type":"text","text":"Habitat Name"}]}]},{"type":"tableHeader","attrs":{"colspan":1,"rowspan":1,"colwidth":null},"content":[{"type":"paragraph","content":[{"type":"text","text":"Area (ha)"}]}]},{"type":"tableHeader","attrs":{"colspan":1,"rowspan":1,"colwidth":null},"content":[{"type":"paragraph","content":[{"type":"text","text":"Condition"}]}]}]},{"type":"tableRow","content":[{"type":"tableCell","attrs":{"colspan":1,"rowspan":1,"colwidth":null},"content":[{"type":"paragraph","content":[{"type":"text","text":"GA1"}]}]},{"type":"tableCell","attrs":{"colspan":1,"rowspan":1,"colwidth":null},"content":[{"type":"paragraph","content":[{"type":"text","text":"Improved agricultural grassland"}]}]},{"type":"tableCell","attrs":{"colspan":1,"rowspan":1,"colwidth":null},"content":[{"type":"paragraph","content":[{"type":"text","text":"9399.13"}]}]},{"type":"tableCell","attrs":{"colspan":1,"rowspan":1,"colwidth":null},"content":[{"type":"paragraph","content":[{"type":"text","text":"moderate"}]}]}]},{"type":"tableRow","content":[{"type":"tableCell","attrs":{"colspan":1,"rowspan":1,"colwidth":null},"content":[{"type":"paragraph","content":[{"type":"text","text":"GS4"}]}]},{"type":"tableCell","attrs":{"colspan":1,"rowspan":1,"colwidth":null},"content":[{"type":"paragraph","content":[{"type":"text","text":"Wet grassland"}]}]},{"type":"tableCell","attrs":{"colspan":1,"rowspan":1,"colwidth":null},"content":[{"type":"paragraph","content":[{"type":"text","text":"1998.76"}]}]},{"type":"tableCell","attrs":{"colspan":1,"rowspan":1,"colwidth":null},"content":[{"type":"paragraph","content":[{"type":"text","text":"moderate"}]}]}]},{"type":"tableRow","content":[{"type":"tableCell","attrs":{"colspan":1,"rowspan":1,"colwidth":null},"content":[{"type":"paragraph","content":[{"type":"text","text":"WL1"}]}]},{"type":"tableCell","attrs":{"colspan":1,"rowspan":1,"colwidth":null},"content":[{"type":"paragraph","content":[{"type":"text","text":"Hedgerows"}]}]},{"type":"tableCell","attrs":{"colspan":1,"rowspan":1,"colwidth":null},"content":[{"type":"paragraph","content":[{"type":"text","text":"944.68"}]}]},{"type":"tableCell","attrs":{"colspan":1,"rowspan":1,"colwidth":null},"content":[{"type":"paragraph","content":[{"type":"text","text":"moderate"}]}]}]},{"type":"tableRow","content":[{"type":"tableCell","attrs":{"colspan":1,"rowspan":1,"colwidth":null},"content":[{"type":"paragraph","content":[{"type":"text","text":"WN"}]}]},{"type":"tableCell","attrs":{"colspan":1,"rowspan":1,"colwidth":null},"content":[{"type":"paragraph","content":[{"type":"text","text":"Semi-natural woodland"}]}]},{"type":"tableCell","attrs":{"colspan":1,"rowspan":1,"colwidth":null},"content":[{"type":"paragraph","content":[{"type":"text","text":"923.55"}]}]},{"type":"tableCell","attrs":{"colspan":1,"rowspan":1,"colwidth":null},"content":[{"type":"paragraph","content":[{"type":"text","text":"moderate"}]}]}]},{"type":"tableRow","content":[{"type":"tableCell","attrs":{"colspan":1,"rowspan":1,"colwidth":null},"content":[{"type":"paragraph","content":[{"type":"text","text":"FL"}]}]},{"type":"tableCell","attrs":{"colspan":1,"rowspan":1,"colwidth":null},"content":[{"type":"paragraph","content":[{"type":"text","text":"Lakes and ponds"}]}]},{"type":"tableCell","attrs":{"colspan":1,"rowspan":1,"colwidth":null},"content":[{"type":"paragraph","content":[{"type":"text","text":"544.18"}]}]},{"type":"tableCell","attrs":{"colspan":1,"rowspan":1,"colwidth":null},"content":[{"type":"paragraph","content":[{"type":"text","text":"moderate"}]}]}]},{"type":"tableRow","content":[{"type":"tableCell","attrs":{"colspan":1,"rowspan":1,"colwidth":null},"content":[{"type":"paragraph","content":[{"type":"text","text":"WS1"}]}]},{"type":"tableCell","attrs":{"colspan":1,"rowspan":1,"colwidth":null},"content":[{"type":"paragraph","content":[{"type":"text","text":"Scrub"}]}]},{"type":"tableCell","attrs":{"colspan":1,"rowspan":1,"colwidth":null},"content":[{"type":"paragraph","content":[{"type":"text","text":"522.76"}]}]},{"type":"tableCell","attrs":{"colspan":1,"rowspan":1,"colwidth":null},"content":[{"type":"paragraph","content":[{"type":"text","text":"moderate"}]}]}]},{"type":"tableRow","content":[{"type":"tableCell","attrs":{"colspan":1,"rowspan":1,"colwidth":null},"content":[{"type":"paragraph","content":[{"type":"text","text":"WS2"}]}]},{"type":"tableCell","attrs":{"colspan":1,"rowspan":1,"colwidth":null},"content":[{"type":"paragraph","content":[{"type":"text","text":"Immature woodland"}]}]},{"type":"tableCell","attrs":{"colspan":1,"rowspan":1,"colwidth":null},"content":[{"type":"paragraph","content":[{"type":"text","text":"480.86"}]}]},{"type":"tableCell","attrs":{"colspan":1,"rowspan":1,"colwidth":null},"content":[{"type":"paragraph","content":[{"type":"text","text":"moderate"}]}]}]},{"type":"tableRow","content":[{"type":"tableCell","attrs":{"colspan":1,"rowspan":1,"colwidth":null},"content":[{"type":"paragraph","content":[{"type":"text","text":"WD3"}]}]},{"type":"tableCell","attrs":{"colspan":1,"rowspan":1,"colwidth":null},"content":[{"type":"paragraph","content":[{"type":"text","text":"Conifer plantation"}]}]},{"type":"tableCell","attrs":{"colspan":1,"rowspan":1,"colwidth":null},"content":[{"type":"paragraph","content":[{"type":"text","text":"445.97"}]}]},{"type":"tableCell","attrs":{"colspan":1,"rowspan":1,"colwidth":null},"content":[{"type":"paragraph","content":[{"type":"text","text":"moderate"}]}]}]},{"type":"tableRow","content":[{"type":"tableCell","attrs":{"colspan":1,"rowspan":1,"colwidth":null},"content":[{"type":"paragraph","content":[{"type":"text","text":"GA2"}]}]},{"type":"tableCell","attrs":{"colspan":1,"rowspan":1,"colwidth":null},"content":[{"type":"paragraph","content":[{"type":"text","text":"Amenity grassland (improved)"}]}]},{"type":"tableCell","attrs":{"colspan":1,"rowspan":1,"colwidth":null},"content":[{"type":"paragraph","content":[{"type":"text","text":"445.11"}]}]},{"type":"tableCell","attrs":{"colspan":1,"rowspan":1,"colwidth":null},"content":[{"type":"paragraph","content":[{"type":"text","text":"moderate"}]}]}]},{"type":"tableRow","content":[{"type":"tableCell","attrs":{"colspan":1,"rowspan":1,"colwidth":null},"content":[{"type":"paragraph","content":[{"type":"text","text":"BL3"}]}]},{"type":"tableCell","attrs":{"colspan":1,"rowspan":1,"colwidth":null},"content":[{"type":"paragraph","content":[{"type":"text","text":"Buildings and artificial surfaces"}]}]},{"type":"tableCell","attrs":{"colspan":1,"rowspan":1,"colwidth":null},"content":[{"type":"paragraph","content":[{"type":"text","text":"439.94"}]}]},{"type":"tableCell","attrs":{"colspan":1,"rowspan":1,"colwidth":null},"content":[{"type":"paragraph","content":[{"type":"text","text":"moderate"}]}]}]},{"type":"tableRow","content":[{"type":"tableCell","attrs":{"colspan":1,"rowspan":1,"colwidth":null},"content":[{"type":"paragraph","content":[{"type":"text","text":"PB4"}]}]},{"type":"tableCell","attrs":{"colspan":1,"rowspan":1,"colwidth":null},"content":[{"type":"paragraph","content":[{"type":"text","text":"Cutover bog"}]}]},{"type":"tableCell","attrs":{"colspan":1,"rowspan":1,"colwidth":null},"content":[{"type":"paragraph","content":[{"type":"text","text":"415.64"}]}]},{"type":"tableCell","attrs":{"colspan":1,"rowspan":1,"colwidth":null},"content":[{"type":"paragraph","content":[{"type":"text","text":"moderate"}]}]}]},{"type":"tableRow","content":[{"type":"tableCell","attrs":{"colspan":1,"rowspan":1,"colwidth":null},"content":[{"type":"paragraph","content":[{"type":"text","text":"BL3"}]}]},{"type":"tableCell","attrs":{"colspan":1,"rowspan":1,"colwidth":null},"content":[{"type":"paragraph","content":[{"type":"text","text":"Buildings and artificial surfaces"}]}]},{"type":"tableCell","attrs":{"colspan":1,"rowspan":1,"colwidth":null},"content":[{"type":"paragraph","content":[{"type":"text","text":"379.99"}]}]},{"type":"tableCell","attrs":{"colspan":1,"rowspan":1,"colwidth":null},"content":[{"type":"paragraph","content":[{"type":"text","text":"moderate"}]}]}]},{"type":"tableRow","content":[{"type":"tableCell","attrs":{"colspan":1,"rowspan":1,"colwidth":null},"content":[{"type":"paragraph","content":[{"type":"text","text":"PB2"}]}]},{"type":"tableCell","attrs":{"colspan":1,"rowspan":1,"colwidth":null},"content":[{"type":"paragraph","content":[{"type":"text","text":"Upland blanket bog"}]}]},{"type":"tableCell","attrs":{"colspan":1,"rowspan":1,"colwidth":null},"content":[{"type":"paragraph","content":[{"type":"text","text":"246.75"}]}]},{"type":"tableCell","attrs":{"colspan":1,"rowspan":1,"colwidth":null},"content":[{"type":"paragraph","content":[{"type":"text","text":"moderate"}]}]}]},{"type":"tableRow","content":[{"type":"tableCell","attrs":{"colspan":1,"rowspan":1,"colwidth":null},"content":[{"type":"paragraph","content":[{"type":"text","text":"WL2"}]}]},{"type":"tableCell","attrs":{"colspan":1,"rowspan":1,"colwidth":null},"content":[{"type":"paragraph","content":[{"type":"text","text":"Treelines"}]}]},{"type":"tableCell","attrs":{"colspan":1,"rowspan":1,"colwidth":null},"content":[{"type":"paragraph","content":[{"type":"text","text":"224.51"}]}]},{"type":"tableCell","attrs":{"colspan":1,"rowspan":1,"colwidth":null},"content":[{"type":"paragraph","content":[{"type":"text","text":"moderate"}]}]}]},{"type":"tableRow","content":[{"type":"tableCell","attrs":{"colspan":1,"rowspan":1,"colwidth":null},"content":[{"type":"paragraph","content":[{"type":"text","text":"BL3"}]}]},{"type":"tableCell","attrs":{"colspan":1,"rowspan":1,"colwidth":null},"content":[{"type":"paragraph","content":[{"type":"text","text":"Buildings and artificial surfaces"}]}]},{"type":"tableCell","attrs":{"colspan":1,"rowspan":1,"colwidth":null},"content":[{"type":"paragraph","content":[{"type":"text","text":"170.07"}]}]},{"type":"tableCell","attrs":{"colspan":1,"rowspan":1,"colwidth":null},"content":[{"type":"paragraph","content":[{"type":"text","text":"moderate"}]}]}]},{"type":"tableRow","content":[{"type":"tableCell","attrs":{"colspan":1,"rowspan":1,"colwidth":null},"content":[{"type":"paragraph","content":[{"type":"text","text":"FW"}]}]},{"type":"tableCell","attrs":{"colspan":1,"rowspan":1,"colwidth":null},"content":[{"type":"paragraph","content":[{"type":"text","text":"Watercourses"}]}]},{"type":"tableCell","attrs":{"colspan":1,"rowspan":1,"colwidth":null},"content":[{"type":"paragraph","content":[{"type":"text","text":"87.03"}]}]},{"type":"tableCell","attrs":{"colspan":1,"rowspan":1,"colwidth":null},"content":[{"type":"paragraph","content":[{"type":"text","text":"moderate"}]}]}]},{"type":"tableRow","content":[{"type":"tableCell","attrs":{"colspan":1,"rowspan":1,"colwidth":null},"content":[{"type":"paragraph","content":[{"type":"text","text":"WD2"}]}]},{"type":"tableCell","attrs":{"colspan":1,"rowspan":1,"colwidth":null},"content":[{"type":"paragraph","content":[{"type":"text","text":"Mixed broadleaved/conifer woodland"}]}]},{"type":"tableCell","attrs":{"colspan":1,"rowspan":1,"colwidth":null},"content":[{"type":"paragraph","content":[{"type":"text","text":"86.66"}]}]},{"type":"tableCell","attrs":{"colspan":1,"rowspan":1,"colwidth":null},"content":[{"type":"paragraph","content":[{"type":"text","text":"moderate"}]}]}]},{"type":"tableRow","content":[{"type":"tableCell","attrs":{"colspan":1,"rowspan":1,"colwidth":null},"content":[{"type":"paragraph","content":[{"type":"text","text":"GS"}]}]},{"type":"tableCell","attrs":{"colspan":1,"rowspan":1,"colwidth":null},"content":[{"type":"paragraph","content":[{"type":"text","text":"Semi-natural grassland"}]}]},{"type":"tableCell","attrs":{"colspan":1,"rowspan":1,"colwidth":null},"content":[{"type":"paragraph","content":[{"type":"text","text":"61.68"}]}]},{"type":"tableCell","attrs":{"colspan":1,"rowspan":1,"colwidth":null},"content":[{"type":"paragraph","content":[{"type":"text","text":"moderate"}]}]}]},{"type":"tableRow","content":[{"type":"tableCell","attrs":{"colspan":1,"rowspan":1,"colwidth":null},"content":[{"type":"paragraph","content":[{"type":"text","text":"ED2"}]}]},{"type":"tableCell","attrs":{"colspan":1,"rowspan":1,"colwidth":null},"content":[{"type":"paragraph","content":[{"type":"text","text":"Spoil and bare ground"}]}]},{"type":"tableCell","attrs":{"colspan":1,"rowspan":1,"colwidth":null},"content":[{"type":"paragraph","content":[{"type":"text","text":"60.12"}]}]},{"type":"tableCell","attrs":{"colspan":1,"rowspan":1,"colwidth":null},"content":[{"type":"paragraph","content":[{"type":"text","text":"moderate"}]}]}]},{"type":"tableRow","content":[{"type":"tableCell","attrs":{"colspan":1,"rowspan":1,"colwidth":null},"content":[{"type":"paragraph","content":[{"type":"text","text":"ER"}]}]},{"type":"tableCell","attrs":{"colspan":1,"rowspan":1,"colwidth":null},"content":[{"type":"paragraph","content":[{"type":"text","text":"Exposed rock"}]}]},{"type":"tableCell","attrs":{"colspan":1,"rowspan":1,"colwidth":null},"content":[{"type":"paragraph","content":[{"type":"text","text":"45.93"}]}]},{"type":"tableCell","attrs":{"colspan":1,"rowspan":1,"colwidth":null},"content":[{"type":"paragraph","content":[{"type":"text","text":"moderate"}]}]}]},{"type":"tableRow","content":[{"type":"tableCell","attrs":{"colspan":1,"rowspan":1,"colwidth":null},"content":[{"type":"paragraph","content":[{"type":"text","text":"HH3"}]}]},{"type":"tableCell","attrs":{"colspan":1,"rowspan":1,"colwidth":null},"content":[{"type":"paragraph","content":[{"type":"text","text":"Wet heath"}]}]},{"type":"tableCell","attrs":{"colspan":1,"rowspan":1,"colwidth":null},"content":[{"type":"paragraph","content":[{"type":"text","text":"26.13"}]}]},{"type":"tableCell","attrs":{"colspan":1,"rowspan":1,"colwidth":null},"content":[{"type":"paragraph","content":[{"type":"text","text":"moderate"}]}]}]},{"type":"tableRow","content":[{"type":"tableCell","attrs":{"colspan":1,"rowspan":1,"colwidth":null},"content":[{"type":"paragraph","content":[{"type":"text","text":"PB4"}]}]},{"type":"tableCell","attrs":{"colspan":1,"rowspan":1,"colwidth":null},"content":[{"type":"paragraph","content":[{"type":"text","text":"Cutover bog"}]}]},{"type":"tableCell","attrs":{"colspan":1,"rowspan":1,"colwidth":null},"content":[{"type":"paragraph","content":[{"type":"text","text":"22.88"}]}]},{"type":"tableCell","attrs":{"colspan":1,"rowspan":1,"colwidth":null},"content":[{"type":"paragraph","content":[{"type":"text","text":"moderate"}]}]}]},{"type":"tableRow","content":[{"type":"tableCell","attrs":{"colspan":1,"rowspan":1,"colwidth":null},"content":[{"type":"paragraph","content":[{"type":"text","text":"PB1"}]}]},{"type":"tableCell","attrs":{"colspan":1,"rowspan":1,"colwidth":null},"content":[{"type":"paragraph","content":[{"type":"text","text":"Raised bog"}]}]},{"type":"tableCell","attrs":{"colspan":1,"rowspan":1,"colwidth":null},"content":[{"type":"paragraph","content":[{"type":"text","text":"17.55"}]}]},{"type":"tableCell","attrs":{"colspan":1,"rowspan":1,"colwidth":null},"content":[{"type":"paragraph","content":[{"type":"text","text":"moderate"}]}]}]},{"type":"tableRow","content":[{"type":"tableCell","attrs":{"colspan":1,"rowspan":1,"colwidth":null},"content":[{"type":"paragraph","content":[{"type":"text","text":"BC1"}]}]},{"type":"tableCell","attrs":{"colspan":1,"rowspan":1,"colwidth":null},"content":[{"type":"paragraph","content":[{"type":"text","text":"Arable crops"}]}]},{"type":"tableCell","attrs":{"colspan":1,"rowspan":1,"colwidth":null},"content":[{"type":"paragraph","content":[{"type":"text","text":"16.24"}]}]},{"type":"tableCell","attrs":{"colspan":1,"rowspan":1,"colwidth":null},"content":[{"type":"paragraph","content":[{"type":"text","text":"moderate"}]}]}]},{"type":"tableRow","content":[{"type":"tableCell","attrs":{"colspan":1,"rowspan":1,"colwidth":null},"content":[{"type":"paragraph","content":[{"type":"text","text":"FS1"}]}]},{"type":"tableCell","attrs":{"colspan":1,"rowspan":1,"colwidth":null},"content":[{"type":"paragraph","content":[{"type":"text","text":"Reed and large sedge swamps"}]}]},{"type":"tableCell","attrs":{"colspan":1,"rowspan":1,"colwidth":null},"content":[{"type":"paragraph","content":[{"type":"text","text":"5.29"}]}]},{"type":"tableCell","attrs":{"colspan":1,"rowspan":1,"colwidth":null},"content":[{"type":"paragraph","content":[{"type":"text","text":"moderate"}]}]}]},{"type":"tableRow","content":[{"type":"tableCell","attrs":{"colspan":1,"rowspan":1,"colwidth":null},"content":[{"type":"paragraph","content":[{"type":"text","text":"PF"}]}]},{"type":"tableCell","attrs":{"colspan":1,"rowspan":1,"colwidth":null},"content":[{"type":"paragraph","content":[{"type":"text","text":"Fens and Flushes"}]}]},{"type":"tableCell","attrs":{"colspan":1,"rowspan":1,"colwidth":null},"content":[{"type":"paragraph","content":[{"type":"text","text":"3.05"}]}]},{"type":"tableCell","attrs":{"colspan":1,"rowspan":1,"colwidth":null},"content":[{"type":"paragraph","content":[{"type":"text","text":"moderate"}]}]}]},{"type":"tableRow","content":[{"type":"tableCell","attrs":{"colspan":1,"rowspan":1,"colwidth":null},"content":[{"type":"paragraph","content":[{"type":"text","text":"HH1"}]}]},{"type":"tableCell","attrs":{"colspan":1,"rowspan":1,"colwidth":null},"content":[{"type":"paragraph","content":[{"type":"text","text":"Dry siliceous heath"}]}]},{"type":"tableCell","attrs":{"colspan":1,"rowspan":1,"colwidth":null},"content":[{"type":"paragraph","content":[{"type":"text","text":"1.85"}]}]},{"type":"tableCell","attrs":{"colspan":1,"rowspan":1,"colwidth":null},"content":[{"type":"paragraph","content":[{"type":"text","text":"moderate"}]}]}]},{"type":"tableRow","content":[{"type":"tableCell","attrs":{"colspan":1,"rowspan":1,"colwidth":null},"content":[{"type":"paragraph","content":[{"type":"text","text":"HD1"}]}]},{"type":"tableCell","attrs":{"colspan":1,"rowspan":1,"colwidth":null},"content":[{"type":"paragraph","content":[{"type":"text","text":"Dense bracken"}]}]},{"type":"tableCell","attrs":{"colspan":1,"rowspan":1,"colwidth":null},"content":[{"type":"paragraph","content":[{"type":"text","text":"1.44"}]}]},{"type":"tableCell","attrs":{"colspan":1,"rowspan":1,"colwidth":null},"content":[{"type":"paragraph","content":[{"type":"text","text":"moderate"}]}]}]}]},{"type":"paragraph","content":[{"type":"text","text":"Total mapped area: "},{"type":"text","marks":[{"type":"bold"}],"text":"18017.75 ha"}]},{"type":"heading","attrs":{"level":3},"content":[{"type":"text","text":"3.3 Hydrological Environment"}]},{"type":"paragraph","content":[{"type":"text","marks":[{"type":"italic"}],"text":"[Detailed description of surface water drainage, groundwater conditions, and hydrological connectivity to European sites. Include watercourse names, sub-catchments, and distance to nearest receiving waters]"}]},{"type":"heading","attrs":{"level":3},"content":[{"type":"text","text":"3.4 Source-Pathway-Receptor Linkages"}]},{"type":"paragraph","content":[{"type":"text","text":"The following potential pathways for effects on European sites have been identified:"}]},{"type":"table","content":[{"type":"tableRow","content":[{"type":"tableHeader","attrs":{"colspan":1,"rowspan":1,"colwidth":null},"content":[{"type":"paragraph","content":[{"type":"text","text":"Source"}]}]},{"type":"tableHeader","attrs":{"colspan":1,"rowspan":1,"colwidth":null},"content":[{"type":"paragraph","content":[{"type":"text","text":"Pathway"}]}]},{"type":"tableHeader","attrs":{"colspan":1,"rowspan":1,"colwidth":null},"content":[{"type":"paragraph","content":[{"type":"text","text":"Receptor"}]}]}]},{"type":"tableRow","content":[{"type":"tableCell","attrs":{"colspan":1,"rowspan":1,"colwidth":null},"content":[{"type":"paragraph","content":[{"type":"text","marks":[{"type":"italic"}],"text":"[To be populated based on site-specific assessment]"}]}]},{"type":"tableCell","attrs":{"colspan":1,"rowspan":1,"colwidth":null},"content":[{"type":"paragraph"}]},{"type":"tableCell","attrs":{"colspan":1,"rowspan":1,"colwidth":null},"content":[{"type":"paragraph"}]}]}]},{"type":"paragraph"}]}</w:t>
      </w:r>
    </w:p>
    <w:p>
      <w:pPr>
        <w:spacing w:before="480" w:after="200"/>
      </w:pPr>
      <w:r>
        <w:rPr>
          <w:b/>
          <w:bCs/>
          <w:color w:val="2C5234"/>
          <w:sz w:val="28"/>
          <w:szCs w:val="28"/>
          <w:u w:val="single" w:color="2C5234"/>
        </w:rPr>
        <w:t xml:space="preserve">4. Natura 2000 Sites</w:t>
      </w:r>
    </w:p>
    <w:p>
      <w:pPr>
        <w:spacing w:after="120"/>
      </w:pPr>
      <w:r>
        <w:rPr>
          <w:b w:val="false"/>
          <w:bCs w:val="false"/>
          <w:i w:val="false"/>
          <w:iCs w:val="false"/>
        </w:rPr>
        <w:t xml:space="preserve">{"type":"doc","content":[{"type":"heading","attrs":{"level":3},"content":[{"type":"text","text":"4.1 European Sites Assessed"}]},{"type":"paragraph","content":[{"type":"text","text":"The following European sites were identified at AA Screening as requiring further assessment:"}]},{"type":"table","content":[{"type":"tableRow","content":[{"type":"tableHeader","attrs":{"colspan":1,"rowspan":1,"colwidth":null},"content":[{"type":"paragraph","content":[{"type":"text","text":"Site Name"}]}]},{"type":"tableHeader","attrs":{"colspan":1,"rowspan":1,"colwidth":null},"content":[{"type":"paragraph","content":[{"type":"text","text":"Designation"}]}]},{"type":"tableHeader","attrs":{"colspan":1,"rowspan":1,"colwidth":null},"content":[{"type":"paragraph","content":[{"type":"text","text":"Site Code"}]}]},{"type":"tableHeader","attrs":{"colspan":1,"rowspan":1,"colwidth":null},"content":[{"type":"paragraph","content":[{"type":"text","text":"Distance (km)"}]}]}]},{"type":"tableRow","content":[{"type":"tableCell","attrs":{"colspan":1,"rowspan":1,"colwidth":null},"content":[{"type":"paragraph","content":[{"type":"text","text":"Dambaduff Lough"}]}]},{"type":"tableCell","attrs":{"colspan":1,"rowspan":1,"colwidth":null},"content":[{"type":"paragraph","content":[{"type":"text","text":"NPWS"}]}]},{"type":"tableCell","attrs":{"colspan":1,"rowspan":1,"colwidth":null},"content":[{"type":"paragraph","content":[{"type":"text","text":"001491"}]}]},{"type":"tableCell","attrs":{"colspan":1,"rowspan":1,"colwidth":null},"content":[{"type":"paragraph","content":[{"type":"text","text":"0.23"}]}]}]},{"type":"tableRow","content":[{"type":"tableCell","attrs":{"colspan":1,"rowspan":1,"colwidth":null},"content":[{"type":"paragraph","content":[{"type":"text","text":"River Moy SAC"}]}]},{"type":"tableCell","attrs":{"colspan":1,"rowspan":1,"colwidth":null},"content":[{"type":"paragraph","content":[{"type":"text","text":"NPWS"}]}]},{"type":"tableCell","attrs":{"colspan":1,"rowspan":1,"colwidth":null},"content":[{"type":"paragraph","content":[{"type":"text","text":"002298"}]}]},{"type":"tableCell","attrs":{"colspan":1,"rowspan":1,"colwidth":null},"content":[{"type":"paragraph","content":[{"type":"text","text":"—"}]}]}]}]},{"type":"heading","attrs":{"level":3},"content":[{"type":"text","text":"4.2 Qualifying Interests &amp; Conservation Objectives"}]},{"type":"paragraph","content":[{"type":"text","text":"For each European site, the qualifying interests (SACs) and special conservation interests (SPAs) are detailed below with their conservation objectives, as set out in the NPWS Site-Specific Conservation Objectives documents."}]},{"type":"paragraph","content":[{"type":"text","marks":[{"type":"italic"}],"text":"[For each European site, provide:]"}]},{"type":"bulletList","attrs":{"tight":true},"content":[{"type":"listItem","content":[{"type":"paragraph","content":[{"type":"text","marks":[{"type":"bold"}],"text":"Site name and code"}]}]},{"type":"listItem","content":[{"type":"paragraph","content":[{"type":"text","marks":[{"type":"bold"}],"text":"Qualifying interests/special conservation interests"},{"type":"text","text":" (habitat codes, species)"}]}]},{"type":"listItem","content":[{"type":"paragraph","content":[{"type":"text","marks":[{"type":"bold"}],"text":"Conservation objectives"},{"type":"text","text":" — maintain/restore favourable conservation condition"}]}]},{"type":"listItem","content":[{"type":"paragraph","content":[{"type":"text","marks":[{"type":"bold"}],"text":"Conservation objective attributes"},{"type":"text","text":" — area, distribution, structure &amp; functions, future prospects"}]}]},{"type":"listItem","content":[{"type":"paragraph","content":[{"type":"text","marks":[{"type":"bold"}],"text":"Target values"},{"type":"text","text":" for each attribute"}]}]},{"type":"listItem","content":[{"type":"paragraph","content":[{"type":"text","marks":[{"type":"bold"}],"text":"Current conservation status"},{"type":"text","text":" of qualifying interests"}]}]},{"type":"listItem","content":[{"type":"paragraph","content":[{"type":"text","marks":[{"type":"bold"}],"text":"Known threats and pressures"},{"type":"text","text":" from NPWS Threat Assessment"}]}]}]},{"type":"heading","attrs":{"level":3},"content":[{"type":"text","text":"4.3 Ecological Requirements"}]},{"type":"paragraph","content":[{"type":"text","marks":[{"type":"italic"}],"text":"[Describe the ecological requirements of the qualifying interests, including habitat conditions, water quality, prey availability, and disturbance sensitivity]"}]}]}</w:t>
      </w:r>
    </w:p>
    <w:p>
      <w:pPr>
        <w:spacing w:before="480" w:after="200"/>
      </w:pPr>
      <w:r>
        <w:rPr>
          <w:b/>
          <w:bCs/>
          <w:color w:val="2C5234"/>
          <w:sz w:val="28"/>
          <w:szCs w:val="28"/>
          <w:u w:val="single" w:color="2C5234"/>
        </w:rPr>
        <w:t xml:space="preserve">5. Assessment of Effects on Site Integrity</w:t>
      </w:r>
    </w:p>
    <w:p>
      <w:pPr>
        <w:spacing w:after="120"/>
      </w:pPr>
      <w:r>
        <w:rPr>
          <w:b w:val="false"/>
          <w:bCs w:val="false"/>
          <w:i w:val="false"/>
          <w:iCs w:val="false"/>
        </w:rPr>
        <w:t xml:space="preserve">{"type":"doc","content":[{"type":"heading","attrs":{"level":3},"content":[{"type":"text","text":"5.1 Assessment Approach"}]},{"type":"paragraph","content":[{"type":"text","text":"For each European site and qualifying interest, the assessment considers whether the proposed development would adversely affect:"}]},{"type":"bulletList","attrs":{"tight":true},"content":[{"type":"listItem","content":[{"type":"paragraph","content":[{"type":"text","text":"The area of qualifying habitats"}]}]},{"type":"listItem","content":[{"type":"paragraph","content":[{"type":"text","text":"The distribution of qualifying species"}]}]},{"type":"listItem","content":[{"type":"paragraph","content":[{"type":"text","text":"The structure and function of ecological processes"}]}]},{"type":"listItem","content":[{"type":"paragraph","content":[{"type":"text","text":"The conservation objective attributes and targets"}]}]}]},{"type":"heading","attrs":{"level":3},"content":[{"type":"text","text":"5.2 Construction Phase Assessment"}]},{"type":"table","content":[{"type":"tableRow","content":[{"type":"tableHeader","attrs":{"colspan":1,"rowspan":1,"colwidth":null},"content":[{"type":"paragraph","content":[{"type":"text","text":"European Site"}]}]},{"type":"tableHeader","attrs":{"colspan":1,"rowspan":1,"colwidth":null},"content":[{"type":"paragraph","content":[{"type":"text","text":"Qualifying Interest"}]}]},{"type":"tableHeader","attrs":{"colspan":1,"rowspan":1,"colwidth":null},"content":[{"type":"paragraph","content":[{"type":"text","text":"Effect Pathway"}]}]},{"type":"tableHeader","attrs":{"colspan":1,"rowspan":1,"colwidth":null},"content":[{"type":"paragraph","content":[{"type":"text","text":"Effect Description"}]}]},{"type":"tableHeader","attrs":{"colspan":1,"rowspan":1,"colwidth":null},"content":[{"type":"paragraph","content":[{"type":"text","text":"Adverse Effect on Integrity?"}]}]}]},{"type":"tableRow","content":[{"type":"tableCell","attrs":{"colspan":1,"rowspan":1,"colwidth":null},"content":[{"type":"paragraph","content":[{"type":"text","marks":[{"type":"italic"}],"text":"[To be populated]"}]}]},{"type":"tableCell","attrs":{"colspan":1,"rowspan":1,"colwidth":null},"content":[{"type":"paragraph"}]},{"type":"tableCell","attrs":{"colspan":1,"rowspan":1,"colwidth":null},"content":[{"type":"paragraph"}]},{"type":"tableCell","attrs":{"colspan":1,"rowspan":1,"colwidth":null},"content":[{"type":"paragraph"}]},{"type":"tableCell","attrs":{"colspan":1,"rowspan":1,"colwidth":null},"content":[{"type":"paragraph"}]}]}]},{"type":"heading","attrs":{"level":3},"content":[{"type":"text","text":"5.3 Operational Phase Assessment"}]},{"type":"table","content":[{"type":"tableRow","content":[{"type":"tableHeader","attrs":{"colspan":1,"rowspan":1,"colwidth":null},"content":[{"type":"paragraph","content":[{"type":"text","text":"European Site"}]}]},{"type":"tableHeader","attrs":{"colspan":1,"rowspan":1,"colwidth":null},"content":[{"type":"paragraph","content":[{"type":"text","text":"Qualifying Interest"}]}]},{"type":"tableHeader","attrs":{"colspan":1,"rowspan":1,"colwidth":null},"content":[{"type":"paragraph","content":[{"type":"text","text":"Effect Pathway"}]}]},{"type":"tableHeader","attrs":{"colspan":1,"rowspan":1,"colwidth":null},"content":[{"type":"paragraph","content":[{"type":"text","text":"Effect Description"}]}]},{"type":"tableHeader","attrs":{"colspan":1,"rowspan":1,"colwidth":null},"content":[{"type":"paragraph","content":[{"type":"text","text":"Adverse Effect on Integrity?"}]}]}]},{"type":"tableRow","content":[{"type":"tableCell","attrs":{"colspan":1,"rowspan":1,"colwidth":null},"content":[{"type":"paragraph","content":[{"type":"text","marks":[{"type":"italic"}],"text":"[To be populated]"}]}]},{"type":"tableCell","attrs":{"colspan":1,"rowspan":1,"colwidth":null},"content":[{"type":"paragraph"}]},{"type":"tableCell","attrs":{"colspan":1,"rowspan":1,"colwidth":null},"content":[{"type":"paragraph"}]},{"type":"tableCell","attrs":{"colspan":1,"rowspan":1,"colwidth":null},"content":[{"type":"paragraph"}]},{"type":"tableCell","attrs":{"colspan":1,"rowspan":1,"colwidth":null},"content":[{"type":"paragraph"}]}]}]},{"type":"heading","attrs":{"level":3},"content":[{"type":"text","text":"5.4 Detailed Assessment by European Site"}]},{"type":"paragraph","content":[{"type":"text","marks":[{"type":"italic"}],"text":"[For each European site, provide a detailed assessment of effects on each qualifying interest, referencing specific conservation objective attributes and targets]"}]}]}</w:t>
      </w:r>
    </w:p>
    <w:p>
      <w:pPr>
        <w:spacing w:before="480" w:after="200"/>
      </w:pPr>
      <w:r>
        <w:rPr>
          <w:b/>
          <w:bCs/>
          <w:color w:val="2C5234"/>
          <w:sz w:val="28"/>
          <w:szCs w:val="28"/>
          <w:u w:val="single" w:color="2C5234"/>
        </w:rPr>
        <w:t xml:space="preserve">6. Mitigation Measures</w:t>
      </w:r>
    </w:p>
    <w:p>
      <w:pPr>
        <w:spacing w:after="120"/>
      </w:pPr>
      <w:r>
        <w:rPr>
          <w:b w:val="false"/>
          <w:bCs w:val="false"/>
          <w:i w:val="false"/>
          <w:iCs w:val="false"/>
        </w:rPr>
        <w:t xml:space="preserve">{"type":"doc","content":[{"type":"heading","attrs":{"level":3},"content":[{"type":"text","text":"6.1 Mitigation Approach"}]},{"type":"paragraph","content":[{"type":"text","text":"Mitigation measures have been designed to avoid or reduce adverse effects on the integrity of European sites. All measures are specific, enforceable, and of proven effectiveness."}]},{"type":"heading","attrs":{"level":3},"content":[{"type":"text","text":"6.2 Construction Phase Mitigation"}]},{"type":"bulletList","attrs":{"tight":true},"content":[{"type":"listItem","content":[{"type":"paragraph","content":[{"type":"text","marks":[{"type":"bold"}],"text":"Construction Environmental Management Plan (CEMP)"},{"type":"text","text":" — comprehensive environmental management during construction"}]}]},{"type":"listItem","content":[{"type":"paragraph","content":[{"type":"text","marks":[{"type":"bold"}],"text":"Pollution Prevention Measures"},{"type":"text","text":" — silt fencing, settlement ponds, interceptor drains, spill containment"}]}]},{"type":"listItem","content":[{"type":"paragraph","content":[{"type":"text","marks":[{"type":"bold"}],"text":"Ecological Clerk of Works (ECoW)"},{"type":"text","text":" — on-site ecological supervision during sensitive works"}]}]},{"type":"listItem","content":[{"type":"paragraph","content":[{"type":"text","marks":[{"type":"bold"}],"text":"Seasonal Timing Restrictions"},{"type":"text","text":" — works scheduled to avoid sensitive periods for qualifying species"}]}]},{"type":"listItem","content":[{"type":"paragraph","content":[{"type":"text","marks":[{"type":"bold"}],"text":"Exclusion Zones"},{"type":"text","text":" — buffer zones around sensitive ecological features"}]}]}]},{"type":"heading","attrs":{"level":3},"content":[{"type":"text","text":"6.3 Operational Phase Mitigation"}]},{"type":"paragraph","content":[{"type":"text","marks":[{"type":"italic"}],"text":"[Specific operational phase mitigation measures relevant to identified effects]"}]},{"type":"heading","attrs":{"level":3},"content":[{"type":"text","text":"6.4 Monitoring"}]},{"type":"paragraph","content":[{"type":"text","text":"A monitoring programme will be implemented to verify the effectiveness of mitigation measures:"}]},{"type":"bulletList","attrs":{"tight":true},"content":[{"type":"listItem","content":[{"type":"paragraph","content":[{"type":"text","marks":[{"type":"bold"}],"text":"Construction phase"},{"type":"text","text":" — water quality monitoring, ecological supervision, incident reporting"}]}]},{"type":"listItem","content":[{"type":"paragraph","content":[{"type":"text","marks":[{"type":"bold"}],"text":"Post-construction"},{"type":"text","text":" — habitat condition monitoring, species surveys, water quality assessment"}]}]},{"type":"listItem","content":[{"type":"paragraph","content":[{"type":"text","marks":[{"type":"bold"}],"text":"Reporting"},{"type":"text","text":" — regular monitoring reports to the competent authority"}]}]}]},{"type":"heading","attrs":{"level":3},"content":[{"type":"text","text":"6.5 Contingency Plans"}]},{"type":"paragraph","content":[{"type":"text","marks":[{"type":"italic"}],"text":"[Emergency response procedures for pollution incidents, unexpected ecological discoveries, or mitigation failure]"}]}]}</w:t>
      </w:r>
    </w:p>
    <w:p>
      <w:pPr>
        <w:spacing w:before="480" w:after="200"/>
      </w:pPr>
      <w:r>
        <w:rPr>
          <w:b/>
          <w:bCs/>
          <w:color w:val="2C5234"/>
          <w:sz w:val="28"/>
          <w:szCs w:val="28"/>
          <w:u w:val="single" w:color="2C5234"/>
        </w:rPr>
        <w:t xml:space="preserve">7. Residual Effects &amp; In-Combination</w:t>
      </w:r>
    </w:p>
    <w:p>
      <w:pPr>
        <w:spacing w:after="120"/>
      </w:pPr>
      <w:r>
        <w:rPr>
          <w:b w:val="false"/>
          <w:bCs w:val="false"/>
          <w:i w:val="false"/>
          <w:iCs w:val="false"/>
        </w:rPr>
        <w:t xml:space="preserve">{"type":"doc","content":[{"type":"heading","attrs":{"level":3},"content":[{"type":"text","text":"7.1 Residual Effects Assessment"}]},{"type":"paragraph","content":[{"type":"text","text":"Following implementation of the mitigation measures described in Section 6, the residual effects on European sites are assessed:"}]},{"type":"table","content":[{"type":"tableRow","content":[{"type":"tableHeader","attrs":{"colspan":1,"rowspan":1,"colwidth":null},"content":[{"type":"paragraph","content":[{"type":"text","text":"European Site"}]}]},{"type":"tableHeader","attrs":{"colspan":1,"rowspan":1,"colwidth":null},"content":[{"type":"paragraph","content":[{"type":"text","text":"Qualifying Interest"}]}]},{"type":"tableHeader","attrs":{"colspan":1,"rowspan":1,"colwidth":null},"content":[{"type":"paragraph","content":[{"type":"text","text":"Effect"}]}]},{"type":"tableHeader","attrs":{"colspan":1,"rowspan":1,"colwidth":null},"content":[{"type":"paragraph","content":[{"type":"text","text":"Mitigation"}]}]},{"type":"tableHeader","attrs":{"colspan":1,"rowspan":1,"colwidth":null},"content":[{"type":"paragraph","content":[{"type":"text","text":"Residual Effect"}]}]},{"type":"tableHeader","attrs":{"colspan":1,"rowspan":1,"colwidth":null},"content":[{"type":"paragraph","content":[{"type":"text","text":"Adverse on Integrity?"}]}]}]},{"type":"tableRow","content":[{"type":"tableCell","attrs":{"colspan":1,"rowspan":1,"colwidth":null},"content":[{"type":"paragraph","content":[{"type":"text","marks":[{"type":"italic"}],"text":"[To be populated]"}]}]},{"type":"tableCell","attrs":{"colspan":1,"rowspan":1,"colwidth":null},"content":[{"type":"paragraph"}]},{"type":"tableCell","attrs":{"colspan":1,"rowspan":1,"colwidth":null},"content":[{"type":"paragraph"}]},{"type":"tableCell","attrs":{"colspan":1,"rowspan":1,"colwidth":null},"content":[{"type":"paragraph"}]},{"type":"tableCell","attrs":{"colspan":1,"rowspan":1,"colwidth":null},"content":[{"type":"paragraph"}]},{"type":"tableCell","attrs":{"colspan":1,"rowspan":1,"colwidth":null},"content":[{"type":"paragraph"}]}]}]},{"type":"heading","attrs":{"level":3},"content":[{"type":"text","text":"7.2 In-Combination Assessment"}]},{"type":"paragraph","content":[{"type":"text","text":"In accordance with Article 6(3), the potential for the proposed development to contribute to in-combination effects with other plans and projects has been assessed."}]},{"type":"heading","attrs":{"level":3},"content":[{"type":"text","text":"7.3 Plans and Projects Considered"}]},{"type":"bulletList","attrs":{"tight":true},"content":[{"type":"listItem","content":[{"type":"paragraph","content":[{"type":"text","text":"County/City Development Plans and Local Area Plans"}]}]},{"type":"listItem","content":[{"type":"paragraph","content":[{"type":"text","text":"Recent and pending planning applications within the Zone of Influence"}]}]},{"type":"listItem","content":[{"type":"paragraph","content":[{"type":"text","text":"Infrastructure projects (roads, water/wastewater, energy)"}]}]},{"type":"listItem","content":[{"type":"paragraph","content":[{"type":"text","text":"River Basin Management Plans, Flood Risk Management Plans"}]}]},{"type":"listItem","content":[{"type":"paragraph","content":[{"type":"text","text":"Other plans and projects identified from planning register searches"}]}]}]},{"type":"heading","attrs":{"level":3},"content":[{"type":"text","text":"7.4 In-Combination Conclusion"}]},{"type":"paragraph","content":[{"type":"text","marks":[{"type":"italic"}],"text":"[Assessment of whether residual effects, in combination with other plans and projects, would adversely affect the integrity of any European site]"}]}]}</w:t>
      </w:r>
    </w:p>
    <w:p>
      <w:pPr>
        <w:spacing w:before="480" w:after="200"/>
      </w:pPr>
      <w:r>
        <w:rPr>
          <w:b/>
          <w:bCs/>
          <w:color w:val="2C5234"/>
          <w:sz w:val="28"/>
          <w:szCs w:val="28"/>
          <w:u w:val="single" w:color="2C5234"/>
        </w:rPr>
        <w:t xml:space="preserve">8. Conclusion</w:t>
      </w:r>
    </w:p>
    <w:p>
      <w:pPr>
        <w:spacing w:after="120"/>
      </w:pPr>
      <w:r>
        <w:rPr>
          <w:b w:val="false"/>
          <w:bCs w:val="false"/>
          <w:i w:val="false"/>
          <w:iCs w:val="false"/>
        </w:rPr>
        <w:t xml:space="preserve">{"type":"doc","content":[{"type":"heading","attrs":{"level":3},"content":[{"type":"text","text":"8.1 Summary of Assessment"}]},{"type":"paragraph","content":[{"type":"text","text":"This NIS has assessed whether the proposed development at "},{"type":"text","marks":[{"type":"bold"}],"text":"Abdurrahim"},{"type":"text","text":" would adversely affect the integrity of any European site, in view of the site's conservation objectives."}]},{"type":"heading","attrs":{"level":3},"content":[{"type":"text","text":"8.2 Conclusion"}]},{"type":"paragraph","content":[{"type":"text","text":"On the basis of the scientific assessment presented in this NIS, and having regard to the mitigation measures proposed, it is concluded that:"}]},{"type":"paragraph","content":[{"type":"text","marks":[{"type":"italic"}],"text":"[One of the following:]"}]},{"type":"paragraph","content":[{"type":"text","marks":[{"type":"bold"}],"text":"Option A — No Adverse Effects:"},{"type":"text","text":"The proposed development, individually or in combination with other plans or projects, will not adversely affect the integrity of any European site, beyond reasonable scientific doubt."}]},{"type":"paragraph","content":[{"type":"text","marks":[{"type":"bold"}],"text":"Option B — Adverse Effects Cannot Be Excluded:"},{"type":"text","text":"The proposed development, individually or in combination with other plans or projects, may adversely affect the integrity of [European site name(s)]. In this case, the competent authority may only grant consent if: (i) there are no alternative solutions, and (ii) there are imperative reasons of overriding public interest (IROPI) in accordance with Article 6(4)."}]},{"type":"heading","attrs":{"level":3},"content":[{"type":"text","text":"8.3 Competent Authority Determination"}]},{"type":"paragraph","content":[{"type":"text","text":"This NIS provides the scientific information required for the competent authority to carry out an Appropriate Assessment and reach its own independent determination on the effects of the proposed development on European sites."}]}]}</w:t>
      </w:r>
    </w:p>
    <w:p>
      <w:r>
        <w:br w:type="page"/>
      </w:r>
    </w:p>
    <w:p>
      <w:pPr>
        <w:spacing w:before="240" w:after="200"/>
      </w:pPr>
      <w:r>
        <w:rPr>
          <w:b/>
          <w:bCs/>
          <w:color w:val="2C5234"/>
          <w:sz w:val="28"/>
          <w:szCs w:val="28"/>
          <w:u w:val="single" w:color="2C5234"/>
        </w:rPr>
        <w:t xml:space="preserve">Appendix A: Habitat Map</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B: Species List</w:t>
      </w:r>
    </w:p>
    <w:tbl>
      <w:tblPr>
        <w:tblW w:type="pct" w:w="100%"/>
        <w:tblBorders>
          <w:top w:val="single" w:color="2C5234" w:sz="4"/>
          <w:left w:val="single" w:color="2C5234" w:sz="4"/>
          <w:bottom w:val="single" w:color="2C5234" w:sz="4"/>
          <w:right w:val="single" w:color="2C5234" w:sz="4"/>
          <w:insideH w:val="single" w:color="CCCCCC" w:sz="2"/>
          <w:insideV w:val="single" w:color="CCCCCC" w:sz="2"/>
        </w:tblBorders>
      </w:tblPr>
      <w:tblGrid>
        <w:gridCol w:w="100"/>
        <w:gridCol w:w="100"/>
        <w:gridCol w:w="100"/>
      </w:tblGrid>
      <w:tr>
        <w:trPr>
          <w:tblHeader/>
        </w:trPr>
        <w:tc>
          <w:tcPr>
            <w:tcW w:type="pct" w:w="33%"/>
            <w:shd w:fill="2C5234" w:color="2C5234" w:val="solid"/>
          </w:tcPr>
          <w:p>
            <w:r>
              <w:rPr>
                <w:b/>
                <w:bCs/>
                <w:color w:val="FFFFFF"/>
                <w:sz w:val="18"/>
                <w:szCs w:val="18"/>
              </w:rPr>
              <w:t xml:space="preserve">Name</w:t>
            </w:r>
          </w:p>
        </w:tc>
        <w:tc>
          <w:tcPr>
            <w:tcW w:type="pct" w:w="33%"/>
            <w:shd w:fill="2C5234" w:color="2C5234" w:val="solid"/>
          </w:tcPr>
          <w:p>
            <w:r>
              <w:rPr>
                <w:b/>
                <w:bCs/>
                <w:color w:val="FFFFFF"/>
                <w:sz w:val="18"/>
                <w:szCs w:val="18"/>
              </w:rPr>
              <w:t xml:space="preserve">AI Summary</w:t>
            </w:r>
          </w:p>
        </w:tc>
        <w:tc>
          <w:tcPr>
            <w:tcW w:type="pct" w:w="33%"/>
            <w:shd w:fill="2C5234" w:color="2C5234" w:val="solid"/>
          </w:tcPr>
          <w:p>
            <w:r>
              <w:rPr>
                <w:b/>
                <w:bCs/>
                <w:color w:val="FFFFFF"/>
                <w:sz w:val="18"/>
                <w:szCs w:val="18"/>
              </w:rPr>
              <w:t xml:space="preserve">Protection Status</w:t>
            </w:r>
          </w:p>
        </w:tc>
      </w:tr>
      <w:tr>
        <w:tc>
          <w:tcPr>
            <w:tcW w:type="pct" w:w="33%"/>
            <w:shd w:fill="F5F7F5" w:color="F5F7F5" w:val="solid"/>
          </w:tcPr>
          <w:p>
            <w:r>
              <w:rPr>
                <w:sz w:val="18"/>
                <w:szCs w:val="18"/>
              </w:rPr>
              <w:t xml:space="preserve">Acer pseudoplatanus (Sycamore)</w:t>
            </w:r>
          </w:p>
        </w:tc>
        <w:tc>
          <w:tcPr>
            <w:tcW w:type="pct" w:w="33%"/>
            <w:shd w:fill="F5F7F5" w:color="F5F7F5" w:val="solid"/>
          </w:tcPr>
          <w:p>
            <w:r>
              <w:rPr>
                <w:sz w:val="18"/>
                <w:szCs w:val="18"/>
              </w:rPr>
              <w:t xml:space="preserve">Acer pseudoplatanus (Sycamore) is a medium-risk invasive species in Ireland, identified in 9 records within the proje...</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Acer pseudoplatanus (Sycamore)</w:t>
            </w:r>
          </w:p>
        </w:tc>
        <w:tc>
          <w:tcPr>
            <w:tcW w:type="pct" w:w="33%"/>
          </w:tcPr>
          <w:p>
            <w:r>
              <w:rPr>
                <w:sz w:val="18"/>
                <w:szCs w:val="18"/>
              </w:rPr>
              <w:t xml:space="preserve">Acer pseudoplatanus (Sycamore) is a medium-risk invasive species in Ireland, identified in 9 records within the proje...</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Acer pseudoplatanus (Sycamore)</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Arthurdendyus triangulatus (New Zealand Flatworm)</w:t>
            </w:r>
          </w:p>
        </w:tc>
        <w:tc>
          <w:tcPr>
            <w:tcW w:type="pct" w:w="33%"/>
          </w:tcPr>
          <w:p>
            <w:r>
              <w:rPr>
                <w:sz w:val="18"/>
                <w:szCs w:val="18"/>
              </w:rPr>
              <w:t xml:space="preserve">Arthurdendyus triangulatus, commonly known as the New Zealand Flatworm, is a high-risk invasive flatworm species list...</w:t>
            </w:r>
          </w:p>
        </w:tc>
        <w:tc>
          <w:tcPr>
            <w:tcW w:type="pct" w:w="33%"/>
          </w:tcPr>
          <w:p>
            <w:r>
              <w:rPr>
                <w:sz w:val="18"/>
                <w:szCs w:val="18"/>
              </w:rPr>
              <w:t xml:space="preserve">Invasive Species: EU Invasive Alien Species Regulation No. 1143/2014 || Invasive Species: High Risk Invasive Species (2013 Report) | Invasive</w:t>
            </w:r>
          </w:p>
        </w:tc>
      </w:tr>
      <w:tr>
        <w:tc>
          <w:tcPr>
            <w:tcW w:type="pct" w:w="33%"/>
            <w:shd w:fill="F5F7F5" w:color="F5F7F5" w:val="solid"/>
          </w:tcPr>
          <w:p>
            <w:r>
              <w:rPr>
                <w:sz w:val="18"/>
                <w:szCs w:val="18"/>
              </w:rPr>
              <w:t xml:space="preserve">Arthurdendyus triangulatus (New Zealand Flatworm)</w:t>
            </w:r>
          </w:p>
        </w:tc>
        <w:tc>
          <w:tcPr>
            <w:tcW w:type="pct" w:w="33%"/>
            <w:shd w:fill="F5F7F5" w:color="F5F7F5" w:val="solid"/>
          </w:tcPr>
          <w:p>
            <w:r>
              <w:rPr>
                <w:sz w:val="18"/>
                <w:szCs w:val="18"/>
              </w:rPr>
              <w:t xml:space="preserve">Arthurdendyus triangulatus, commonly known as the New Zealand Flatworm, is a high-risk invasive flatworm species list...</w:t>
            </w:r>
          </w:p>
        </w:tc>
        <w:tc>
          <w:tcPr>
            <w:tcW w:type="pct" w:w="33%"/>
            <w:shd w:fill="F5F7F5" w:color="F5F7F5" w:val="solid"/>
          </w:tcPr>
          <w:p>
            <w:r>
              <w:rPr>
                <w:sz w:val="18"/>
                <w:szCs w:val="18"/>
              </w:rPr>
              <w:t xml:space="preserve">Invasive Species: EU Invasive Alien Species Regulation No. 1143/2014 || Invasive Species: High Risk Invasive Species (2013 Report) | Invasive</w:t>
            </w:r>
          </w:p>
        </w:tc>
      </w:tr>
      <w:tr>
        <w:tc>
          <w:tcPr>
            <w:tcW w:type="pct" w:w="33%"/>
          </w:tcPr>
          <w:p>
            <w:r>
              <w:rPr>
                <w:sz w:val="18"/>
                <w:szCs w:val="18"/>
              </w:rPr>
              <w:t xml:space="preserve">Arthurdendyus triangulatus (New Zealand Flatworm)</w:t>
            </w:r>
          </w:p>
        </w:tc>
        <w:tc>
          <w:tcPr>
            <w:tcW w:type="pct" w:w="33%"/>
          </w:tcPr>
          <w:p>
            <w:r>
              <w:rPr>
                <w:sz w:val="18"/>
                <w:szCs w:val="18"/>
              </w:rPr>
              <w:t xml:space="preserve"/>
            </w:r>
          </w:p>
        </w:tc>
        <w:tc>
          <w:tcPr>
            <w:tcW w:type="pct" w:w="33%"/>
          </w:tcPr>
          <w:p>
            <w:r>
              <w:rPr>
                <w:sz w:val="18"/>
                <w:szCs w:val="18"/>
              </w:rPr>
              <w:t xml:space="preserve">Invasive Species: EU Invasive Alien Species Regulation No. 1143/2014 || Invasive Species: High Risk Invasive Species (2013 Report) | Invasive</w:t>
            </w:r>
          </w:p>
        </w:tc>
      </w:tr>
      <w:tr>
        <w:tc>
          <w:tcPr>
            <w:tcW w:type="pct" w:w="33%"/>
            <w:shd w:fill="F5F7F5" w:color="F5F7F5" w:val="solid"/>
          </w:tcPr>
          <w:p>
            <w:r>
              <w:rPr>
                <w:sz w:val="18"/>
                <w:szCs w:val="18"/>
              </w:rPr>
              <w:t xml:space="preserve">Buddleja davidii (Butterfly-bush)</w:t>
            </w:r>
          </w:p>
        </w:tc>
        <w:tc>
          <w:tcPr>
            <w:tcW w:type="pct" w:w="33%"/>
            <w:shd w:fill="F5F7F5" w:color="F5F7F5" w:val="solid"/>
          </w:tcPr>
          <w:p>
            <w:r>
              <w:rPr>
                <w:sz w:val="18"/>
                <w:szCs w:val="18"/>
              </w:rPr>
              <w:t xml:space="preserve">Buddleja davidii, commonly known as Butterfly-bush, is a medium-risk invasive flowering plant in Ireland, listed in t...</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Buddleja davidii (Butterfly-bush)</w:t>
            </w:r>
          </w:p>
        </w:tc>
        <w:tc>
          <w:tcPr>
            <w:tcW w:type="pct" w:w="33%"/>
          </w:tcPr>
          <w:p>
            <w:r>
              <w:rPr>
                <w:sz w:val="18"/>
                <w:szCs w:val="18"/>
              </w:rPr>
              <w:t xml:space="preserve">Buddleja davidii, commonly known as Butterfly-bush, is a medium-risk invasive flowering plant in Ireland, listed in t...</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Buddleja davidii (Butterfly-bush)</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Clematis vitalba (Traveller's-joy)</w:t>
            </w:r>
          </w:p>
        </w:tc>
        <w:tc>
          <w:tcPr>
            <w:tcW w:type="pct" w:w="33%"/>
          </w:tcPr>
          <w:p>
            <w:r>
              <w:rPr>
                <w:sz w:val="18"/>
                <w:szCs w:val="18"/>
              </w:rPr>
              <w:t xml:space="preserve">Clematis vitalba, commonly known as Traveller's-joy, is a climbing flowering plant classified as a Medium Risk Invasi...</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Clematis vitalba (Traveller's-joy)</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Clematis vitalba (Traveller's-joy)</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Cortaderia selloana (Pampas-grass)</w:t>
            </w:r>
          </w:p>
        </w:tc>
        <w:tc>
          <w:tcPr>
            <w:tcW w:type="pct" w:w="33%"/>
            <w:shd w:fill="F5F7F5" w:color="F5F7F5" w:val="solid"/>
          </w:tcPr>
          <w:p>
            <w:r>
              <w:rPr>
                <w:sz w:val="18"/>
                <w:szCs w:val="18"/>
              </w:rPr>
              <w:t xml:space="preserve">Cortaderia selloana, commonly known as Pampas-grass, is a medium-risk invasive flowering plant in Ireland, with a lim...</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Cortaderia selloana (Pampas-grass)</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Cortaderia selloana (Pampas-grass)</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Cotoneaster horizontalis (Wall Cotoneaster)</w:t>
            </w:r>
          </w:p>
        </w:tc>
        <w:tc>
          <w:tcPr>
            <w:tcW w:type="pct" w:w="33%"/>
          </w:tcPr>
          <w:p>
            <w:r>
              <w:rPr>
                <w:sz w:val="18"/>
                <w:szCs w:val="18"/>
              </w:rPr>
              <w:t xml:space="preserve">Cotoneaster horizontalis, commonly known as Wall Cotoneaster, is a medium-risk invasive flowering plant species in Ir...</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Cotoneaster horizontalis (Wall Cotoneaster)</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Cotoneaster horizontalis (Wall Cotoneaster)</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Dreissena polymorpha (Zebra Mussel)</w:t>
            </w:r>
          </w:p>
        </w:tc>
        <w:tc>
          <w:tcPr>
            <w:tcW w:type="pct" w:w="33%"/>
            <w:shd w:fill="F5F7F5" w:color="F5F7F5" w:val="solid"/>
          </w:tcPr>
          <w:p>
            <w:r>
              <w:rPr>
                <w:sz w:val="18"/>
                <w:szCs w:val="18"/>
              </w:rPr>
              <w:t xml:space="preserve">Dreissena polymorpha, commonly known as the Zebra Mussel, is an invasive mollusc species listed under S.I. 477/2011 a...</w:t>
            </w:r>
          </w:p>
        </w:tc>
        <w:tc>
          <w:tcPr>
            <w:tcW w:type="pct" w:w="33%"/>
            <w:shd w:fill="F5F7F5" w:color="F5F7F5" w:val="solid"/>
          </w:tcPr>
          <w:p>
            <w:r>
              <w:rPr>
                <w:sz w:val="18"/>
                <w:szCs w:val="18"/>
              </w:rPr>
              <w:t xml:space="preserve">Invasive Species: Regulation S.I. 477/2011 (Ireland) || Invasive Species: High Risk Invasive Species (2013 Report) || Invasive Species: Regulation S.I. 374/2024 (Ireland) || Invasive Species: The Wildlife (Northern Ireland) Order 1985 | Invasive</w:t>
            </w:r>
          </w:p>
        </w:tc>
      </w:tr>
      <w:tr>
        <w:tc>
          <w:tcPr>
            <w:tcW w:type="pct" w:w="33%"/>
          </w:tcPr>
          <w:p>
            <w:r>
              <w:rPr>
                <w:sz w:val="18"/>
                <w:szCs w:val="18"/>
              </w:rPr>
              <w:t xml:space="preserve">Dreissena polymorpha (Zebra Mussel)</w:t>
            </w:r>
          </w:p>
        </w:tc>
        <w:tc>
          <w:tcPr>
            <w:tcW w:type="pct" w:w="33%"/>
          </w:tcPr>
          <w:p>
            <w:r>
              <w:rPr>
                <w:sz w:val="18"/>
                <w:szCs w:val="18"/>
              </w:rPr>
              <w:t xml:space="preserve">Dreissena polymorpha, commonly known as the Zebra Mussel, is an invasive mollusc species listed under S.I. 477/2011 a...</w:t>
            </w:r>
          </w:p>
        </w:tc>
        <w:tc>
          <w:tcPr>
            <w:tcW w:type="pct" w:w="33%"/>
          </w:tcPr>
          <w:p>
            <w:r>
              <w:rPr>
                <w:sz w:val="18"/>
                <w:szCs w:val="18"/>
              </w:rPr>
              <w:t xml:space="preserve">Invasive Species: Regulation S.I. 477/2011 (Ireland) || Invasive Species: High Risk Invasive Species (2013 Report) || Invasive Species: Regulation S.I. 374/2024 (Ireland) || Invasive Species: The Wildlife (Northern Ireland) Order 1985 | Invasive</w:t>
            </w:r>
          </w:p>
        </w:tc>
      </w:tr>
      <w:tr>
        <w:tc>
          <w:tcPr>
            <w:tcW w:type="pct" w:w="33%"/>
            <w:shd w:fill="F5F7F5" w:color="F5F7F5" w:val="solid"/>
          </w:tcPr>
          <w:p>
            <w:r>
              <w:rPr>
                <w:sz w:val="18"/>
                <w:szCs w:val="18"/>
              </w:rPr>
              <w:t xml:space="preserve">Dreissena polymorpha (Zebra Mussel)</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Regulation S.I. 477/2011 (Ireland) || Invasive Species: High Risk Invasive Species (2013 Report) || Invasive Species: Regulation S.I. 374/2024 (Ireland) || Invasive Species: The Wildlife (Northern Ireland) Order 1985 | Invasive</w:t>
            </w:r>
          </w:p>
        </w:tc>
      </w:tr>
      <w:tr>
        <w:tc>
          <w:tcPr>
            <w:tcW w:type="pct" w:w="33%"/>
          </w:tcPr>
          <w:p>
            <w:r>
              <w:rPr>
                <w:sz w:val="18"/>
                <w:szCs w:val="18"/>
              </w:rPr>
              <w:t xml:space="preserve">Elodea canadensis (Canadian Waterweed)</w:t>
            </w:r>
          </w:p>
        </w:tc>
        <w:tc>
          <w:tcPr>
            <w:tcW w:type="pct" w:w="33%"/>
          </w:tcPr>
          <w:p>
            <w:r>
              <w:rPr>
                <w:sz w:val="18"/>
                <w:szCs w:val="18"/>
              </w:rPr>
              <w:t xml:space="preserve">Elodea canadensis (Canadian Waterweed) is a submerged aquatic plant classified as a high-risk invasive species in Ire...</w:t>
            </w:r>
          </w:p>
        </w:tc>
        <w:tc>
          <w:tcPr>
            <w:tcW w:type="pct" w:w="33%"/>
          </w:tcPr>
          <w:p>
            <w:r>
              <w:rPr>
                <w:sz w:val="18"/>
                <w:szCs w:val="18"/>
              </w:rPr>
              <w:t xml:space="preserve">Invasive Species: Regulation S.I. 477/2011 (Ireland) || Invasive Species: High Risk Invasive Species (2013 Report) || Invasive Species: The Wildlife (Northern Ireland) Order 1985 | Invasive</w:t>
            </w:r>
          </w:p>
        </w:tc>
      </w:tr>
      <w:tr>
        <w:tc>
          <w:tcPr>
            <w:tcW w:type="pct" w:w="33%"/>
            <w:shd w:fill="F5F7F5" w:color="F5F7F5" w:val="solid"/>
          </w:tcPr>
          <w:p>
            <w:r>
              <w:rPr>
                <w:sz w:val="18"/>
                <w:szCs w:val="18"/>
              </w:rPr>
              <w:t xml:space="preserve">Elodea canadensis (Canadian Waterweed)</w:t>
            </w:r>
          </w:p>
        </w:tc>
        <w:tc>
          <w:tcPr>
            <w:tcW w:type="pct" w:w="33%"/>
            <w:shd w:fill="F5F7F5" w:color="F5F7F5" w:val="solid"/>
          </w:tcPr>
          <w:p>
            <w:r>
              <w:rPr>
                <w:sz w:val="18"/>
                <w:szCs w:val="18"/>
              </w:rPr>
              <w:t xml:space="preserve">Elodea canadensis (Canadian Waterweed) is a submerged aquatic plant classified as a high-risk invasive species in Ire...</w:t>
            </w:r>
          </w:p>
        </w:tc>
        <w:tc>
          <w:tcPr>
            <w:tcW w:type="pct" w:w="33%"/>
            <w:shd w:fill="F5F7F5" w:color="F5F7F5" w:val="solid"/>
          </w:tcPr>
          <w:p>
            <w:r>
              <w:rPr>
                <w:sz w:val="18"/>
                <w:szCs w:val="18"/>
              </w:rPr>
              <w:t xml:space="preserve">Invasive Species: Regulation S.I. 477/2011 (Ireland) || Invasive Species: High Risk Invasive Species (2013 Report) || Invasive Species: The Wildlife (Northern Ireland) Order 1985 | Invasive</w:t>
            </w:r>
          </w:p>
        </w:tc>
      </w:tr>
      <w:tr>
        <w:tc>
          <w:tcPr>
            <w:tcW w:type="pct" w:w="33%"/>
          </w:tcPr>
          <w:p>
            <w:r>
              <w:rPr>
                <w:sz w:val="18"/>
                <w:szCs w:val="18"/>
              </w:rPr>
              <w:t xml:space="preserve">Elodea canadensis (Canadian Waterweed)</w:t>
            </w:r>
          </w:p>
        </w:tc>
        <w:tc>
          <w:tcPr>
            <w:tcW w:type="pct" w:w="33%"/>
          </w:tcPr>
          <w:p>
            <w:r>
              <w:rPr>
                <w:sz w:val="18"/>
                <w:szCs w:val="18"/>
              </w:rPr>
              <w:t xml:space="preserve"/>
            </w:r>
          </w:p>
        </w:tc>
        <w:tc>
          <w:tcPr>
            <w:tcW w:type="pct" w:w="33%"/>
          </w:tcPr>
          <w:p>
            <w:r>
              <w:rPr>
                <w:sz w:val="18"/>
                <w:szCs w:val="18"/>
              </w:rPr>
              <w:t xml:space="preserve">Invasive Species: Regulation S.I. 477/2011 (Ireland) || Invasive Species: High Risk Invasive Species (2013 Report) || Invasive Species: The Wildlife (Northern Ireland) Order 1985 | Invasive</w:t>
            </w:r>
          </w:p>
        </w:tc>
      </w:tr>
      <w:tr>
        <w:tc>
          <w:tcPr>
            <w:tcW w:type="pct" w:w="33%"/>
            <w:shd w:fill="F5F7F5" w:color="F5F7F5" w:val="solid"/>
          </w:tcPr>
          <w:p>
            <w:r>
              <w:rPr>
                <w:sz w:val="18"/>
                <w:szCs w:val="18"/>
              </w:rPr>
              <w:t xml:space="preserve">Elodea nuttallii (Nuttall's Waterweed)</w:t>
            </w:r>
          </w:p>
        </w:tc>
        <w:tc>
          <w:tcPr>
            <w:tcW w:type="pct" w:w="33%"/>
            <w:shd w:fill="F5F7F5" w:color="F5F7F5" w:val="solid"/>
          </w:tcPr>
          <w:p>
            <w:r>
              <w:rPr>
                <w:sz w:val="18"/>
                <w:szCs w:val="18"/>
              </w:rPr>
              <w:t xml:space="preserve">Elodea nuttallii (Nuttall's Waterweed) is an invasive aquatic plant species listed under the EU Invasive Alien Specie...</w:t>
            </w:r>
          </w:p>
        </w:tc>
        <w:tc>
          <w:tcPr>
            <w:tcW w:type="pct" w:w="33%"/>
            <w:shd w:fill="F5F7F5" w:color="F5F7F5" w:val="solid"/>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w:t>
            </w:r>
          </w:p>
        </w:tc>
      </w:tr>
      <w:tr>
        <w:tc>
          <w:tcPr>
            <w:tcW w:type="pct" w:w="33%"/>
          </w:tcPr>
          <w:p>
            <w:r>
              <w:rPr>
                <w:sz w:val="18"/>
                <w:szCs w:val="18"/>
              </w:rPr>
              <w:t xml:space="preserve">Elodea nuttallii (Nuttall's Waterweed)</w:t>
            </w:r>
          </w:p>
        </w:tc>
        <w:tc>
          <w:tcPr>
            <w:tcW w:type="pct" w:w="33%"/>
          </w:tcPr>
          <w:p>
            <w:r>
              <w:rPr>
                <w:sz w:val="18"/>
                <w:szCs w:val="18"/>
              </w:rPr>
              <w:t xml:space="preserve">Elodea nuttallii (Nuttall's Waterweed) is an invasive aquatic plant species listed under the EU Invasive Alien Specie...</w:t>
            </w:r>
          </w:p>
        </w:tc>
        <w:tc>
          <w:tcPr>
            <w:tcW w:type="pct" w:w="33%"/>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w:t>
            </w:r>
          </w:p>
        </w:tc>
      </w:tr>
      <w:tr>
        <w:tc>
          <w:tcPr>
            <w:tcW w:type="pct" w:w="33%"/>
            <w:shd w:fill="F5F7F5" w:color="F5F7F5" w:val="solid"/>
          </w:tcPr>
          <w:p>
            <w:r>
              <w:rPr>
                <w:sz w:val="18"/>
                <w:szCs w:val="18"/>
              </w:rPr>
              <w:t xml:space="preserve">Elodea nuttallii (Nuttall's Waterweed)</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w:t>
            </w:r>
          </w:p>
        </w:tc>
      </w:tr>
      <w:tr>
        <w:tc>
          <w:tcPr>
            <w:tcW w:type="pct" w:w="33%"/>
          </w:tcPr>
          <w:p>
            <w:r>
              <w:rPr>
                <w:sz w:val="18"/>
                <w:szCs w:val="18"/>
              </w:rPr>
              <w:t xml:space="preserve">Fallopia japonica (Japanese Knotweed)</w:t>
            </w:r>
          </w:p>
        </w:tc>
        <w:tc>
          <w:tcPr>
            <w:tcW w:type="pct" w:w="33%"/>
          </w:tcPr>
          <w:p>
            <w:r>
              <w:rPr>
                <w:sz w:val="18"/>
                <w:szCs w:val="18"/>
              </w:rPr>
              <w:t xml:space="preserve">Fallopia japonica, commonly known as Japanese Knotweed, is a highly invasive flowering plant listed under the EU Inva...</w:t>
            </w:r>
          </w:p>
        </w:tc>
        <w:tc>
          <w:tcPr>
            <w:tcW w:type="pct" w:w="33%"/>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shd w:fill="F5F7F5" w:color="F5F7F5" w:val="solid"/>
          </w:tcPr>
          <w:p>
            <w:r>
              <w:rPr>
                <w:sz w:val="18"/>
                <w:szCs w:val="18"/>
              </w:rPr>
              <w:t xml:space="preserve">Fallopia japonica (Japanese Knotweed)</w:t>
            </w:r>
          </w:p>
        </w:tc>
        <w:tc>
          <w:tcPr>
            <w:tcW w:type="pct" w:w="33%"/>
            <w:shd w:fill="F5F7F5" w:color="F5F7F5" w:val="solid"/>
          </w:tcPr>
          <w:p>
            <w:r>
              <w:rPr>
                <w:sz w:val="18"/>
                <w:szCs w:val="18"/>
              </w:rPr>
              <w:t xml:space="preserve">Fallopia japonica, commonly known as Japanese Knotweed, is a highly invasive flowering plant listed under the EU Inva...</w:t>
            </w:r>
          </w:p>
        </w:tc>
        <w:tc>
          <w:tcPr>
            <w:tcW w:type="pct" w:w="33%"/>
            <w:shd w:fill="F5F7F5" w:color="F5F7F5" w:val="solid"/>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tcPr>
          <w:p>
            <w:r>
              <w:rPr>
                <w:sz w:val="18"/>
                <w:szCs w:val="18"/>
              </w:rPr>
              <w:t xml:space="preserve">Fallopia japonica (Japanese Knotweed)</w:t>
            </w:r>
          </w:p>
        </w:tc>
        <w:tc>
          <w:tcPr>
            <w:tcW w:type="pct" w:w="33%"/>
          </w:tcPr>
          <w:p>
            <w:r>
              <w:rPr>
                <w:sz w:val="18"/>
                <w:szCs w:val="18"/>
              </w:rPr>
              <w:t xml:space="preserve"/>
            </w:r>
          </w:p>
        </w:tc>
        <w:tc>
          <w:tcPr>
            <w:tcW w:type="pct" w:w="33%"/>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shd w:fill="F5F7F5" w:color="F5F7F5" w:val="solid"/>
          </w:tcPr>
          <w:p>
            <w:r>
              <w:rPr>
                <w:sz w:val="18"/>
                <w:szCs w:val="18"/>
              </w:rPr>
              <w:t xml:space="preserve">Leycesteria formosa (Himalayan Honeysuckle)</w:t>
            </w:r>
          </w:p>
        </w:tc>
        <w:tc>
          <w:tcPr>
            <w:tcW w:type="pct" w:w="33%"/>
            <w:shd w:fill="F5F7F5" w:color="F5F7F5" w:val="solid"/>
          </w:tcPr>
          <w:p>
            <w:r>
              <w:rPr>
                <w:sz w:val="18"/>
                <w:szCs w:val="18"/>
              </w:rPr>
              <w:t xml:space="preserve">Leycesteria formosa, commonly known as Himalayan Honeysuckle, is a medium risk invasive flowering plant species in Ir...</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Leycesteria formosa (Himalayan Honeysuckle)</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Leycesteria formosa (Himalayan Honeysuckle)</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Myodes glareolus (Bank Vole)</w:t>
            </w:r>
          </w:p>
        </w:tc>
        <w:tc>
          <w:tcPr>
            <w:tcW w:type="pct" w:w="33%"/>
          </w:tcPr>
          <w:p>
            <w:r>
              <w:rPr>
                <w:sz w:val="18"/>
                <w:szCs w:val="18"/>
              </w:rPr>
              <w:t xml:space="preserve">Myodes glareolus, commonly known as the Bank Vole, is a terrestrial mammal classified as a medium risk invasive speci...</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Myodes glareolus (Bank Vole)</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Myodes glareolus (Bank Vole)</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Neovison vison (American Mink)</w:t>
            </w:r>
          </w:p>
        </w:tc>
        <w:tc>
          <w:tcPr>
            <w:tcW w:type="pct" w:w="33%"/>
            <w:shd w:fill="F5F7F5" w:color="F5F7F5" w:val="solid"/>
          </w:tcPr>
          <w:p>
            <w:r>
              <w:rPr>
                <w:sz w:val="18"/>
                <w:szCs w:val="18"/>
              </w:rPr>
              <w:t xml:space="preserve">Neovison vison (American Mink) is an invasive terrestrial mammal listed under EU Regulation No. 1143/2014 and Irish R...</w:t>
            </w:r>
          </w:p>
        </w:tc>
        <w:tc>
          <w:tcPr>
            <w:tcW w:type="pct" w:w="33%"/>
            <w:shd w:fill="F5F7F5" w:color="F5F7F5" w:val="solid"/>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tcPr>
          <w:p>
            <w:r>
              <w:rPr>
                <w:sz w:val="18"/>
                <w:szCs w:val="18"/>
              </w:rPr>
              <w:t xml:space="preserve">Neovison vison (American Mink)</w:t>
            </w:r>
          </w:p>
        </w:tc>
        <w:tc>
          <w:tcPr>
            <w:tcW w:type="pct" w:w="33%"/>
          </w:tcPr>
          <w:p>
            <w:r>
              <w:rPr>
                <w:sz w:val="18"/>
                <w:szCs w:val="18"/>
              </w:rPr>
              <w:t xml:space="preserve"/>
            </w:r>
          </w:p>
        </w:tc>
        <w:tc>
          <w:tcPr>
            <w:tcW w:type="pct" w:w="33%"/>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shd w:fill="F5F7F5" w:color="F5F7F5" w:val="solid"/>
          </w:tcPr>
          <w:p>
            <w:r>
              <w:rPr>
                <w:sz w:val="18"/>
                <w:szCs w:val="18"/>
              </w:rPr>
              <w:t xml:space="preserve">Neovison vison (American Mink)</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EU Invasive Alien Species Regulation No. 1143/2014 || Invasive Species: Regulation S.I. 477/2011 (Ireland) || Invasive Species: High Risk Invasive Species (2013 Report) || Invasive Species: Regulation S.I. 374/2024 (Ireland) || Invasive Species: The Wildlife (Northern Ireland) Order 1985 | Invasive</w:t>
            </w:r>
          </w:p>
        </w:tc>
      </w:tr>
      <w:tr>
        <w:tc>
          <w:tcPr>
            <w:tcW w:type="pct" w:w="33%"/>
          </w:tcPr>
          <w:p>
            <w:r>
              <w:rPr>
                <w:sz w:val="18"/>
                <w:szCs w:val="18"/>
              </w:rPr>
              <w:t xml:space="preserve">Oryctolagus cuniculus (Rabbit)</w:t>
            </w:r>
          </w:p>
        </w:tc>
        <w:tc>
          <w:tcPr>
            <w:tcW w:type="pct" w:w="33%"/>
          </w:tcPr>
          <w:p>
            <w:r>
              <w:rPr>
                <w:sz w:val="18"/>
                <w:szCs w:val="18"/>
              </w:rPr>
              <w:t xml:space="preserve">Oryctolagus cuniculus, commonly known as the European rabbit, is an invasive terrestrial mammal classified as a Mediu...</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Oryctolagus cuniculus (Rabbit)</w:t>
            </w:r>
          </w:p>
        </w:tc>
        <w:tc>
          <w:tcPr>
            <w:tcW w:type="pct" w:w="33%"/>
            <w:shd w:fill="F5F7F5" w:color="F5F7F5" w:val="solid"/>
          </w:tcPr>
          <w:p>
            <w:r>
              <w:rPr>
                <w:sz w:val="18"/>
                <w:szCs w:val="18"/>
              </w:rPr>
              <w:t xml:space="preserve">Oryctolagus cuniculus, commonly known as the European rabbit, is an invasive terrestrial mammal classified as a Mediu...</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Oryctolagus cuniculus (Rabbit)</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Potamopyrgus antipodarum (Jenkins' Spire Snail)</w:t>
            </w:r>
          </w:p>
        </w:tc>
        <w:tc>
          <w:tcPr>
            <w:tcW w:type="pct" w:w="33%"/>
            <w:shd w:fill="F5F7F5" w:color="F5F7F5" w:val="solid"/>
          </w:tcPr>
          <w:p>
            <w:r>
              <w:rPr>
                <w:sz w:val="18"/>
                <w:szCs w:val="18"/>
              </w:rPr>
              <w:t xml:space="preserve">Potamopyrgus antipodarum, commonly known as Jenkins' Spire Snail, is a medium-risk invasive mollusc species in Irelan...</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Potamopyrgus antipodarum (Jenkins' Spire Snail)</w:t>
            </w:r>
          </w:p>
        </w:tc>
        <w:tc>
          <w:tcPr>
            <w:tcW w:type="pct" w:w="33%"/>
          </w:tcPr>
          <w:p>
            <w:r>
              <w:rPr>
                <w:sz w:val="18"/>
                <w:szCs w:val="18"/>
              </w:rPr>
              <w:t xml:space="preserve">Potamopyrgus antipodarum, commonly known as Jenkins' Spire Snail, is a medium-risk invasive mollusc species in Irelan...</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Potamopyrgus antipodarum (Jenkins' Spire Snail)</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Rattus norvegicus (Brown Rat)</w:t>
            </w:r>
          </w:p>
        </w:tc>
        <w:tc>
          <w:tcPr>
            <w:tcW w:type="pct" w:w="33%"/>
          </w:tcPr>
          <w:p>
            <w:r>
              <w:rPr>
                <w:sz w:val="18"/>
                <w:szCs w:val="18"/>
              </w:rPr>
              <w:t xml:space="preserve">Rattus norvegicus, or the Brown Rat, is a high-risk invasive terrestrial mammal in Ireland, classified as an invasive...</w:t>
            </w:r>
          </w:p>
        </w:tc>
        <w:tc>
          <w:tcPr>
            <w:tcW w:type="pct" w:w="33%"/>
          </w:tcPr>
          <w:p>
            <w:r>
              <w:rPr>
                <w:sz w:val="18"/>
                <w:szCs w:val="18"/>
              </w:rPr>
              <w:t xml:space="preserve">Invasive Species: High Risk Invasive Species (2013 Report) | Invasive</w:t>
            </w:r>
          </w:p>
        </w:tc>
      </w:tr>
      <w:tr>
        <w:tc>
          <w:tcPr>
            <w:tcW w:type="pct" w:w="33%"/>
            <w:shd w:fill="F5F7F5" w:color="F5F7F5" w:val="solid"/>
          </w:tcPr>
          <w:p>
            <w:r>
              <w:rPr>
                <w:sz w:val="18"/>
                <w:szCs w:val="18"/>
              </w:rPr>
              <w:t xml:space="preserve">Rattus norvegicus (Brown Rat)</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High Risk Invasive Species (2013 Report) | Invasive</w:t>
            </w:r>
          </w:p>
        </w:tc>
      </w:tr>
      <w:tr>
        <w:tc>
          <w:tcPr>
            <w:tcW w:type="pct" w:w="33%"/>
          </w:tcPr>
          <w:p>
            <w:r>
              <w:rPr>
                <w:sz w:val="18"/>
                <w:szCs w:val="18"/>
              </w:rPr>
              <w:t xml:space="preserve">Rattus norvegicus (Brown Rat)</w:t>
            </w:r>
          </w:p>
        </w:tc>
        <w:tc>
          <w:tcPr>
            <w:tcW w:type="pct" w:w="33%"/>
          </w:tcPr>
          <w:p>
            <w:r>
              <w:rPr>
                <w:sz w:val="18"/>
                <w:szCs w:val="18"/>
              </w:rPr>
              <w:t xml:space="preserve"/>
            </w:r>
          </w:p>
        </w:tc>
        <w:tc>
          <w:tcPr>
            <w:tcW w:type="pct" w:w="33%"/>
          </w:tcPr>
          <w:p>
            <w:r>
              <w:rPr>
                <w:sz w:val="18"/>
                <w:szCs w:val="18"/>
              </w:rPr>
              <w:t xml:space="preserve">Invasive Species: High Risk Invasive Species (2013 Report) | Invasive</w:t>
            </w:r>
          </w:p>
        </w:tc>
      </w:tr>
      <w:tr>
        <w:tc>
          <w:tcPr>
            <w:tcW w:type="pct" w:w="33%"/>
            <w:shd w:fill="F5F7F5" w:color="F5F7F5" w:val="solid"/>
          </w:tcPr>
          <w:p>
            <w:r>
              <w:rPr>
                <w:sz w:val="18"/>
                <w:szCs w:val="18"/>
              </w:rPr>
              <w:t xml:space="preserve">Ribes nigrum (Black Currant)</w:t>
            </w:r>
          </w:p>
        </w:tc>
        <w:tc>
          <w:tcPr>
            <w:tcW w:type="pct" w:w="33%"/>
            <w:shd w:fill="F5F7F5" w:color="F5F7F5" w:val="solid"/>
          </w:tcPr>
          <w:p>
            <w:r>
              <w:rPr>
                <w:sz w:val="18"/>
                <w:szCs w:val="18"/>
              </w:rPr>
              <w:t xml:space="preserve">Ribes nigrum (Black Currant) is a flowering plant classified as a Medium Risk Invasive Species in Ireland, with limit...</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Ribes nigrum (Black Currant)</w:t>
            </w:r>
          </w:p>
        </w:tc>
        <w:tc>
          <w:tcPr>
            <w:tcW w:type="pct" w:w="33%"/>
          </w:tcPr>
          <w:p>
            <w:r>
              <w:rPr>
                <w:sz w:val="18"/>
                <w:szCs w:val="18"/>
              </w:rPr>
              <w:t xml:space="preserve">Ribes nigrum (Black Currant) is a flowering plant classified as a Medium Risk Invasive Species in Ireland, with limit...</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Ribes nigrum (Black Currant)</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Rosa rugosa (Japanese Rose)</w:t>
            </w:r>
          </w:p>
        </w:tc>
        <w:tc>
          <w:tcPr>
            <w:tcW w:type="pct" w:w="33%"/>
          </w:tcPr>
          <w:p>
            <w:r>
              <w:rPr>
                <w:sz w:val="18"/>
                <w:szCs w:val="18"/>
              </w:rPr>
              <w:t xml:space="preserve">Rosa rugosa, commonly known as Japanese Rose, is a medium-risk invasive flowering plant species in Ireland, with two ...</w:t>
            </w:r>
          </w:p>
        </w:tc>
        <w:tc>
          <w:tcPr>
            <w:tcW w:type="pct" w:w="33%"/>
          </w:tcPr>
          <w:p>
            <w:r>
              <w:rPr>
                <w:sz w:val="18"/>
                <w:szCs w:val="18"/>
              </w:rPr>
              <w:t xml:space="preserve">Invasive Species: Medium Risk Invasive Species (2013 Report) | Invasive</w:t>
            </w:r>
          </w:p>
        </w:tc>
      </w:tr>
      <w:tr>
        <w:tc>
          <w:tcPr>
            <w:tcW w:type="pct" w:w="33%"/>
            <w:shd w:fill="F5F7F5" w:color="F5F7F5" w:val="solid"/>
          </w:tcPr>
          <w:p>
            <w:r>
              <w:rPr>
                <w:sz w:val="18"/>
                <w:szCs w:val="18"/>
              </w:rPr>
              <w:t xml:space="preserve">Rosa rugosa (Japanese Rose)</w:t>
            </w:r>
          </w:p>
        </w:tc>
        <w:tc>
          <w:tcPr>
            <w:tcW w:type="pct" w:w="33%"/>
            <w:shd w:fill="F5F7F5" w:color="F5F7F5" w:val="solid"/>
          </w:tcPr>
          <w:p>
            <w:r>
              <w:rPr>
                <w:sz w:val="18"/>
                <w:szCs w:val="18"/>
              </w:rPr>
              <w:t xml:space="preserve">Rosa rugosa, commonly known as Japanese Rose, is a medium-risk invasive flowering plant species in Ireland, with two ...</w:t>
            </w:r>
          </w:p>
        </w:tc>
        <w:tc>
          <w:tcPr>
            <w:tcW w:type="pct" w:w="33%"/>
            <w:shd w:fill="F5F7F5" w:color="F5F7F5" w:val="solid"/>
          </w:tcPr>
          <w:p>
            <w:r>
              <w:rPr>
                <w:sz w:val="18"/>
                <w:szCs w:val="18"/>
              </w:rPr>
              <w:t xml:space="preserve">Invasive Species: Medium Risk Invasive Species (2013 Report) | Invasive</w:t>
            </w:r>
          </w:p>
        </w:tc>
      </w:tr>
      <w:tr>
        <w:tc>
          <w:tcPr>
            <w:tcW w:type="pct" w:w="33%"/>
          </w:tcPr>
          <w:p>
            <w:r>
              <w:rPr>
                <w:sz w:val="18"/>
                <w:szCs w:val="18"/>
              </w:rPr>
              <w:t xml:space="preserve">Rosa rugosa (Japanese Rose)</w:t>
            </w:r>
          </w:p>
        </w:tc>
        <w:tc>
          <w:tcPr>
            <w:tcW w:type="pct" w:w="33%"/>
          </w:tcPr>
          <w:p>
            <w:r>
              <w:rPr>
                <w:sz w:val="18"/>
                <w:szCs w:val="18"/>
              </w:rPr>
              <w:t xml:space="preserve"/>
            </w:r>
          </w:p>
        </w:tc>
        <w:tc>
          <w:tcPr>
            <w:tcW w:type="pct" w:w="33%"/>
          </w:tcPr>
          <w:p>
            <w:r>
              <w:rPr>
                <w:sz w:val="18"/>
                <w:szCs w:val="18"/>
              </w:rPr>
              <w:t xml:space="preserve">Invasive Species: Medium Risk Invasive Species (2013 Report) | Invasive</w:t>
            </w:r>
          </w:p>
        </w:tc>
      </w:tr>
    </w:tbl>
    <w:p>
      <w:pPr>
        <w:spacing w:after="120"/>
      </w:pPr>
    </w:p>
    <w:p>
      <w:r>
        <w:br w:type="page"/>
      </w:r>
    </w:p>
    <w:p>
      <w:pPr>
        <w:spacing w:before="240" w:after="200"/>
      </w:pPr>
      <w:r>
        <w:rPr>
          <w:b/>
          <w:bCs/>
          <w:color w:val="2C5234"/>
          <w:sz w:val="28"/>
          <w:szCs w:val="28"/>
          <w:u w:val="single" w:color="2C5234"/>
        </w:rPr>
        <w:t xml:space="preserve">Appendix C: Site Photographs</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D: habitat_data</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E: aquatic_data</w:t>
      </w:r>
    </w:p>
    <w:p>
      <w:pPr>
        <w:spacing w:after="160"/>
      </w:pPr>
      <w:r>
        <w:rPr>
          <w:i/>
          <w:iCs/>
          <w:color w:val="888888"/>
        </w:rPr>
        <w:t xml:space="preserve">[Content to be inserted]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b/>
      <w:bCs/>
      <w:color w:val="2C5234"/>
      <w:sz w:val="32"/>
      <w:szCs w:val="32"/>
    </w:rPr>
  </w:style>
  <w:style w:type="paragraph" w:styleId="Heading2">
    <w:name w:val="Heading 2"/>
    <w:basedOn w:val="Normal"/>
    <w:next w:val="Normal"/>
    <w:qFormat/>
    <w:pPr>
      <w:spacing w:before="200" w:after="100"/>
    </w:pPr>
    <w:rPr>
      <w:b/>
      <w:bCs/>
      <w:color w:val="2C5234"/>
      <w:sz w:val="26"/>
      <w:szCs w:val="26"/>
    </w:rPr>
  </w:style>
  <w:style w:type="paragraph" w:styleId="Heading3">
    <w:name w:val="Heading 3"/>
    <w:basedOn w:val="Normal"/>
    <w:next w:val="Normal"/>
    <w:qFormat/>
    <w:pPr>
      <w:spacing w:before="160" w:after="80"/>
    </w:pPr>
    <w:rPr>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2026-04-07T13:14:32.441Z</dcterms:created>
  <dcterms:modified xsi:type="dcterms:W3CDTF">2026-04-07T13:14:32.441Z</dcterms:modified>
</cp:coreProperties>
</file>

<file path=docProps/custom.xml><?xml version="1.0" encoding="utf-8"?>
<Properties xmlns="http://schemas.openxmlformats.org/officeDocument/2006/custom-properties" xmlns:vt="http://schemas.openxmlformats.org/officeDocument/2006/docPropsVTypes"/>
</file>