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ANALYSE THERMIQUE D’UN INCENDIE SOUS LA PASSERELLE</w:t>
      </w:r>
    </w:p>
    <w:p>
      <w:pPr>
        <w:jc w:val="center"/>
      </w:pPr>
      <w:r>
        <w:rPr>
          <w:b/>
        </w:rPr>
        <w:t>Passerelle Gerland - La Saulaie | Modèle Python V1.3 consolidé</w:t>
      </w:r>
    </w:p>
    <w:p>
      <w:r>
        <w:t>Document de travail pour validation du modèle thermique. Les coefficients d’exposition spatiale et le facteur de massiveté de l’intrados restent provisoires.</w:t>
      </w:r>
    </w:p>
    <w:p>
      <w:r>
        <w:br w:type="page"/>
      </w:r>
    </w:p>
    <w:p>
      <w:pPr>
        <w:pStyle w:val="Heading1"/>
      </w:pPr>
      <w:r>
        <w:t>1. Objet et limites</w:t>
      </w:r>
    </w:p>
    <w:p>
      <w:r>
        <w:t>Le calcul évalue l’évolution de la température de l’intrados métallique, des suspentes secondaires et du câble principal. Deux courbes de feu sont calculées séparément, puis comparées. Les résultats ne constituent pas encore une vérification structurelle.</w:t>
      </w:r>
    </w:p>
    <w:p>
      <w:pPr>
        <w:pStyle w:val="Heading1"/>
      </w:pPr>
      <w:r>
        <w:t>2. Données du projet</w:t>
      </w:r>
    </w:p>
    <w:tbl>
      <w:tblPr>
        <w:tblStyle w:val="TableGrid"/>
        <w:tblW w:type="auto" w:w="0"/>
        <w:jc w:val="center"/>
        <w:tblLook w:firstColumn="1" w:firstRow="1" w:lastColumn="0" w:lastRow="0" w:noHBand="0" w:noVBand="1" w:val="04A0"/>
      </w:tblPr>
      <w:tblGrid>
        <w:gridCol w:w="4986"/>
        <w:gridCol w:w="4986"/>
      </w:tblGrid>
      <w:tr>
        <w:tc>
          <w:tcPr>
            <w:tcW w:type="dxa" w:w="4986"/>
            <w:shd w:fill="1F4E78"/>
          </w:tcPr>
          <w:p>
            <w:r>
              <w:rPr>
                <w:b/>
                <w:color w:val="FFFFFF"/>
              </w:rPr>
              <w:t>Paramètre</w:t>
            </w:r>
          </w:p>
        </w:tc>
        <w:tc>
          <w:tcPr>
            <w:tcW w:type="dxa" w:w="4986"/>
            <w:shd w:fill="1F4E78"/>
          </w:tcPr>
          <w:p>
            <w:r>
              <w:rPr>
                <w:b/>
                <w:color w:val="FFFFFF"/>
              </w:rPr>
              <w:t>Valeur</w:t>
            </w:r>
          </w:p>
        </w:tc>
      </w:tr>
      <w:tr>
        <w:tc>
          <w:tcPr>
            <w:tcW w:type="dxa" w:w="4986"/>
            <w:vAlign w:val="center"/>
          </w:tcPr>
          <w:p>
            <w:r>
              <w:t>M7</w:t>
            </w:r>
          </w:p>
        </w:tc>
        <w:tc>
          <w:tcPr>
            <w:tcW w:type="dxa" w:w="4986"/>
            <w:vAlign w:val="center"/>
          </w:tcPr>
          <w:p>
            <w:r>
              <w:t>2 × 3 voies ; 13 + 2 + 12 m</w:t>
            </w:r>
          </w:p>
        </w:tc>
      </w:tr>
      <w:tr>
        <w:tc>
          <w:tcPr>
            <w:tcW w:type="dxa" w:w="4986"/>
            <w:vAlign w:val="center"/>
          </w:tcPr>
          <w:p>
            <w:r>
              <w:t>Tablier</w:t>
            </w:r>
          </w:p>
        </w:tc>
        <w:tc>
          <w:tcPr>
            <w:tcW w:type="dxa" w:w="4986"/>
            <w:vAlign w:val="center"/>
          </w:tcPr>
          <w:p>
            <w:r>
              <w:t>largeur 7,40 m</w:t>
            </w:r>
          </w:p>
        </w:tc>
      </w:tr>
      <w:tr>
        <w:tc>
          <w:tcPr>
            <w:tcW w:type="dxa" w:w="4986"/>
            <w:vAlign w:val="center"/>
          </w:tcPr>
          <w:p>
            <w:r>
              <w:t>Intrados minimal</w:t>
            </w:r>
          </w:p>
        </w:tc>
        <w:tc>
          <w:tcPr>
            <w:tcW w:type="dxa" w:w="4986"/>
            <w:vAlign w:val="center"/>
          </w:tcPr>
          <w:p>
            <w:r>
              <w:t>6,125 / 6,900 / 7,250 m</w:t>
            </w:r>
          </w:p>
        </w:tc>
      </w:tr>
      <w:tr>
        <w:tc>
          <w:tcPr>
            <w:tcW w:type="dxa" w:w="4986"/>
            <w:vAlign w:val="center"/>
          </w:tcPr>
          <w:p>
            <w:r>
              <w:t>Câble principal</w:t>
            </w:r>
          </w:p>
        </w:tc>
        <w:tc>
          <w:tcPr>
            <w:tcW w:type="dxa" w:w="4986"/>
            <w:vAlign w:val="center"/>
          </w:tcPr>
          <w:p>
            <w:r>
              <w:t>câble clos Ø132 mm ; hauteurs 8,120 / 9,400 / 11,070 m</w:t>
            </w:r>
          </w:p>
        </w:tc>
      </w:tr>
      <w:tr>
        <w:tc>
          <w:tcPr>
            <w:tcW w:type="dxa" w:w="4986"/>
            <w:vAlign w:val="center"/>
          </w:tcPr>
          <w:p>
            <w:r>
              <w:t>Suspentes</w:t>
            </w:r>
          </w:p>
        </w:tc>
        <w:tc>
          <w:tcPr>
            <w:tcW w:type="dxa" w:w="4986"/>
            <w:vAlign w:val="center"/>
          </w:tcPr>
          <w:p>
            <w:r>
              <w:t>ronds Ø42 mm ; entraxe 6,25 m ; naissance à +0,82 m</w:t>
            </w:r>
          </w:p>
        </w:tc>
      </w:tr>
      <w:tr>
        <w:tc>
          <w:tcPr>
            <w:tcW w:type="dxa" w:w="4986"/>
            <w:vAlign w:val="center"/>
          </w:tcPr>
          <w:p>
            <w:r>
              <w:t>Camion</w:t>
            </w:r>
          </w:p>
        </w:tc>
        <w:tc>
          <w:tcPr>
            <w:tcW w:type="dxa" w:w="4986"/>
            <w:vAlign w:val="center"/>
          </w:tcPr>
          <w:p>
            <w:r>
              <w:t>16 × 2,5 × 4 m</w:t>
            </w:r>
          </w:p>
        </w:tc>
      </w:tr>
      <w:tr>
        <w:tc>
          <w:tcPr>
            <w:tcW w:type="dxa" w:w="4986"/>
            <w:vAlign w:val="center"/>
          </w:tcPr>
          <w:p>
            <w:r>
              <w:t>Positions du foyer</w:t>
            </w:r>
          </w:p>
        </w:tc>
        <w:tc>
          <w:tcPr>
            <w:tcW w:type="dxa" w:w="4986"/>
            <w:vAlign w:val="center"/>
          </w:tcPr>
          <w:p>
            <w:r>
              <w:t>F1 ouest ; F2 axe M7 ; F3 est</w:t>
            </w:r>
          </w:p>
        </w:tc>
      </w:tr>
      <w:tr>
        <w:tc>
          <w:tcPr>
            <w:tcW w:type="dxa" w:w="4986"/>
            <w:vAlign w:val="center"/>
          </w:tcPr>
          <w:p>
            <w:r>
              <w:t>Hauteurs d’enveloppe</w:t>
            </w:r>
          </w:p>
        </w:tc>
        <w:tc>
          <w:tcPr>
            <w:tcW w:type="dxa" w:w="4986"/>
            <w:vAlign w:val="center"/>
          </w:tcPr>
          <w:p>
            <w:r>
              <w:t>10 / 12 / 15 m</w:t>
            </w:r>
          </w:p>
        </w:tc>
      </w:tr>
    </w:tbl>
    <w:p>
      <w:pPr>
        <w:pStyle w:val="Heading1"/>
      </w:pPr>
      <w:r>
        <w:t>3. Scénarios de feu</w:t>
      </w:r>
    </w:p>
    <w:p>
      <w:r>
        <w:t>Les deux lois sont évaluées de 0 à 120 minutes. La variable t est exprimée en minutes et la température en degrés Celsius.</w:t>
      </w:r>
    </w:p>
    <w:p>
      <w:pPr>
        <w:jc w:val="center"/>
      </w:pPr>
      <w:r>
        <w:drawing>
          <wp:inline xmlns:a="http://schemas.openxmlformats.org/drawingml/2006/main" xmlns:pic="http://schemas.openxmlformats.org/drawingml/2006/picture">
            <wp:extent cx="5580000" cy="1238213"/>
            <wp:docPr id="1" name="Picture 1"/>
            <wp:cNvGraphicFramePr>
              <a:graphicFrameLocks noChangeAspect="1"/>
            </wp:cNvGraphicFramePr>
            <a:graphic>
              <a:graphicData uri="http://schemas.openxmlformats.org/drawingml/2006/picture">
                <pic:pic>
                  <pic:nvPicPr>
                    <pic:cNvPr id="0" name="00_formules.png"/>
                    <pic:cNvPicPr/>
                  </pic:nvPicPr>
                  <pic:blipFill>
                    <a:blip r:embed="rId9"/>
                    <a:stretch>
                      <a:fillRect/>
                    </a:stretch>
                  </pic:blipFill>
                  <pic:spPr>
                    <a:xfrm>
                      <a:off x="0" y="0"/>
                      <a:ext cx="5580000" cy="1238213"/>
                    </a:xfrm>
                    <a:prstGeom prst="rect"/>
                  </pic:spPr>
                </pic:pic>
              </a:graphicData>
            </a:graphic>
          </wp:inline>
        </w:drawing>
      </w:r>
    </w:p>
    <w:p>
      <w:pPr>
        <w:pStyle w:val="Caption"/>
        <w:jc w:val="center"/>
      </w:pPr>
      <w:r>
        <w:t>Figure 1 - Formules des courbes de feu.</w:t>
      </w:r>
    </w:p>
    <w:p>
      <w:pPr>
        <w:jc w:val="center"/>
      </w:pPr>
      <w:r>
        <w:drawing>
          <wp:inline xmlns:a="http://schemas.openxmlformats.org/drawingml/2006/main" xmlns:pic="http://schemas.openxmlformats.org/drawingml/2006/picture">
            <wp:extent cx="5580000" cy="3037369"/>
            <wp:docPr id="2" name="Picture 2"/>
            <wp:cNvGraphicFramePr>
              <a:graphicFrameLocks noChangeAspect="1"/>
            </wp:cNvGraphicFramePr>
            <a:graphic>
              <a:graphicData uri="http://schemas.openxmlformats.org/drawingml/2006/picture">
                <pic:pic>
                  <pic:nvPicPr>
                    <pic:cNvPr id="0" name="01_courbes_feu.png"/>
                    <pic:cNvPicPr/>
                  </pic:nvPicPr>
                  <pic:blipFill>
                    <a:blip r:embed="rId10"/>
                    <a:stretch>
                      <a:fillRect/>
                    </a:stretch>
                  </pic:blipFill>
                  <pic:spPr>
                    <a:xfrm>
                      <a:off x="0" y="0"/>
                      <a:ext cx="5580000" cy="3037369"/>
                    </a:xfrm>
                    <a:prstGeom prst="rect"/>
                  </pic:spPr>
                </pic:pic>
              </a:graphicData>
            </a:graphic>
          </wp:inline>
        </w:drawing>
      </w:r>
    </w:p>
    <w:p>
      <w:pPr>
        <w:pStyle w:val="Caption"/>
        <w:jc w:val="center"/>
      </w:pPr>
      <w:r>
        <w:t>Figure 2 - Comparaison des températures nominales des gaz.</w:t>
      </w:r>
    </w:p>
    <w:p>
      <w:pPr>
        <w:pStyle w:val="Heading1"/>
      </w:pPr>
      <w:r>
        <w:t>4. Principes du calcul thermique</w:t>
      </w:r>
    </w:p>
    <w:p>
      <w:r>
        <w:t>Le modèle capacitif suppose une température uniforme dans chaque section. À chaque pas de 5 s, le bilan énergétique combine convection et rayonnement :</w:t>
      </w:r>
    </w:p>
    <w:p>
      <w:pPr>
        <w:jc w:val="center"/>
      </w:pPr>
      <w:r>
        <w:rPr>
          <w:b/>
        </w:rPr>
        <w:t>q_conv = f_conv × α_c × (θ_g - θ_a)</w:t>
      </w:r>
    </w:p>
    <w:p>
      <w:pPr>
        <w:jc w:val="center"/>
      </w:pPr>
      <w:r>
        <w:rPr>
          <w:b/>
        </w:rPr>
        <w:t>q_rad = f_rad × ε_m × ε_f × σ × [(θ_g + 273,15)^4 - (θ_a + 273,15)^4]</w:t>
      </w:r>
    </w:p>
    <w:p>
      <w:pPr>
        <w:jc w:val="center"/>
      </w:pPr>
      <w:r>
        <w:rPr>
          <w:b/>
        </w:rPr>
        <w:t>Δθ_a = (A_m/V) × (q_conv + q_rad) × Δt / [ρ_a × c_a(θ_a)]</w:t>
      </w:r>
    </w:p>
    <w:tbl>
      <w:tblPr>
        <w:tblStyle w:val="TableGrid"/>
        <w:tblW w:type="auto" w:w="0"/>
        <w:jc w:val="center"/>
        <w:tblLook w:firstColumn="1" w:firstRow="1" w:lastColumn="0" w:lastRow="0" w:noHBand="0" w:noVBand="1" w:val="04A0"/>
      </w:tblPr>
      <w:tblGrid>
        <w:gridCol w:w="4986"/>
        <w:gridCol w:w="4986"/>
      </w:tblGrid>
      <w:tr>
        <w:tc>
          <w:tcPr>
            <w:tcW w:type="dxa" w:w="4986"/>
            <w:shd w:fill="1F4E78"/>
          </w:tcPr>
          <w:p>
            <w:r>
              <w:rPr>
                <w:b/>
                <w:color w:val="FFFFFF"/>
              </w:rPr>
              <w:t>Grandeur</w:t>
            </w:r>
          </w:p>
        </w:tc>
        <w:tc>
          <w:tcPr>
            <w:tcW w:type="dxa" w:w="4986"/>
            <w:shd w:fill="1F4E78"/>
          </w:tcPr>
          <w:p>
            <w:r>
              <w:rPr>
                <w:b/>
                <w:color w:val="FFFFFF"/>
              </w:rPr>
              <w:t>Valeur</w:t>
            </w:r>
          </w:p>
        </w:tc>
      </w:tr>
      <w:tr>
        <w:tc>
          <w:tcPr>
            <w:tcW w:type="dxa" w:w="4986"/>
            <w:vAlign w:val="center"/>
          </w:tcPr>
          <w:p>
            <w:r>
              <w:t>ρ acier</w:t>
            </w:r>
          </w:p>
        </w:tc>
        <w:tc>
          <w:tcPr>
            <w:tcW w:type="dxa" w:w="4986"/>
            <w:vAlign w:val="center"/>
          </w:tcPr>
          <w:p>
            <w:r>
              <w:t>7 850 kg/m³</w:t>
            </w:r>
          </w:p>
        </w:tc>
      </w:tr>
      <w:tr>
        <w:tc>
          <w:tcPr>
            <w:tcW w:type="dxa" w:w="4986"/>
            <w:vAlign w:val="center"/>
          </w:tcPr>
          <w:p>
            <w:r>
              <w:t>α_c</w:t>
            </w:r>
          </w:p>
        </w:tc>
        <w:tc>
          <w:tcPr>
            <w:tcW w:type="dxa" w:w="4986"/>
            <w:vAlign w:val="center"/>
          </w:tcPr>
          <w:p>
            <w:r>
              <w:t>25 W/(m²·K)</w:t>
            </w:r>
          </w:p>
        </w:tc>
      </w:tr>
      <w:tr>
        <w:tc>
          <w:tcPr>
            <w:tcW w:type="dxa" w:w="4986"/>
            <w:vAlign w:val="center"/>
          </w:tcPr>
          <w:p>
            <w:r>
              <w:t>ε_m / ε_f</w:t>
            </w:r>
          </w:p>
        </w:tc>
        <w:tc>
          <w:tcPr>
            <w:tcW w:type="dxa" w:w="4986"/>
            <w:vAlign w:val="center"/>
          </w:tcPr>
          <w:p>
            <w:r>
              <w:t>0,70 / 1,00</w:t>
            </w:r>
          </w:p>
        </w:tc>
      </w:tr>
      <w:tr>
        <w:tc>
          <w:tcPr>
            <w:tcW w:type="dxa" w:w="4986"/>
            <w:vAlign w:val="center"/>
          </w:tcPr>
          <w:p>
            <w:r>
              <w:t>σ</w:t>
            </w:r>
          </w:p>
        </w:tc>
        <w:tc>
          <w:tcPr>
            <w:tcW w:type="dxa" w:w="4986"/>
            <w:vAlign w:val="center"/>
          </w:tcPr>
          <w:p>
            <w:r>
              <w:t>5,670374419 × 10⁻⁸ W/(m²·K⁴)</w:t>
            </w:r>
          </w:p>
        </w:tc>
      </w:tr>
      <w:tr>
        <w:tc>
          <w:tcPr>
            <w:tcW w:type="dxa" w:w="4986"/>
            <w:vAlign w:val="center"/>
          </w:tcPr>
          <w:p>
            <w:r>
              <w:t>A_m/V suspente</w:t>
            </w:r>
          </w:p>
        </w:tc>
        <w:tc>
          <w:tcPr>
            <w:tcW w:type="dxa" w:w="4986"/>
            <w:vAlign w:val="center"/>
          </w:tcPr>
          <w:p>
            <w:r>
              <w:t>95,238 m⁻¹</w:t>
            </w:r>
          </w:p>
        </w:tc>
      </w:tr>
      <w:tr>
        <w:tc>
          <w:tcPr>
            <w:tcW w:type="dxa" w:w="4986"/>
            <w:vAlign w:val="center"/>
          </w:tcPr>
          <w:p>
            <w:r>
              <w:t>A_m/V câble</w:t>
            </w:r>
          </w:p>
        </w:tc>
        <w:tc>
          <w:tcPr>
            <w:tcW w:type="dxa" w:w="4986"/>
            <w:vAlign w:val="center"/>
          </w:tcPr>
          <w:p>
            <w:r>
              <w:t>30,303 m⁻¹</w:t>
            </w:r>
          </w:p>
        </w:tc>
      </w:tr>
      <w:tr>
        <w:tc>
          <w:tcPr>
            <w:tcW w:type="dxa" w:w="4986"/>
            <w:vAlign w:val="center"/>
          </w:tcPr>
          <w:p>
            <w:r>
              <w:t>A_m/V intrados</w:t>
            </w:r>
          </w:p>
        </w:tc>
        <w:tc>
          <w:tcPr>
            <w:tcW w:type="dxa" w:w="4986"/>
            <w:vAlign w:val="center"/>
          </w:tcPr>
          <w:p>
            <w:r>
              <w:t>100 m⁻¹, provisoire</w:t>
            </w:r>
          </w:p>
        </w:tc>
      </w:tr>
      <w:tr>
        <w:tc>
          <w:tcPr>
            <w:tcW w:type="dxa" w:w="4986"/>
            <w:vAlign w:val="center"/>
          </w:tcPr>
          <w:p>
            <w:r>
              <w:t>Pas temporel</w:t>
            </w:r>
          </w:p>
        </w:tc>
        <w:tc>
          <w:tcPr>
            <w:tcW w:type="dxa" w:w="4986"/>
            <w:vAlign w:val="center"/>
          </w:tcPr>
          <w:p>
            <w:r>
              <w:t>5 s</w:t>
            </w:r>
          </w:p>
        </w:tc>
      </w:tr>
    </w:tbl>
    <w:p>
      <w:pPr>
        <w:pStyle w:val="Heading1"/>
      </w:pPr>
      <w:r>
        <w:t>5. Séquence de calcul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8"/>
          </w:tcPr>
          <w:p>
            <w:r>
              <w:rPr>
                <w:b/>
                <w:color w:val="FFFFFF"/>
              </w:rPr>
              <w:t>Étape</w:t>
            </w:r>
          </w:p>
        </w:tc>
        <w:tc>
          <w:tcPr>
            <w:tcW w:type="dxa" w:w="3324"/>
            <w:shd w:fill="1F4E78"/>
          </w:tcPr>
          <w:p>
            <w:r>
              <w:rPr>
                <w:b/>
                <w:color w:val="FFFFFF"/>
              </w:rPr>
              <w:t>Calcul</w:t>
            </w:r>
          </w:p>
        </w:tc>
        <w:tc>
          <w:tcPr>
            <w:tcW w:type="dxa" w:w="3324"/>
            <w:shd w:fill="1F4E78"/>
          </w:tcPr>
          <w:p>
            <w:r>
              <w:rPr>
                <w:b/>
                <w:color w:val="FFFFFF"/>
              </w:rPr>
              <w:t>Contrôle</w:t>
            </w:r>
          </w:p>
        </w:tc>
      </w:tr>
      <w:tr>
        <w:tc>
          <w:tcPr>
            <w:tcW w:type="dxa" w:w="3324"/>
            <w:vAlign w:val="center"/>
          </w:tcPr>
          <w:p>
            <w:r>
              <w:t>1</w:t>
            </w:r>
          </w:p>
        </w:tc>
        <w:tc>
          <w:tcPr>
            <w:tcW w:type="dxa" w:w="3324"/>
            <w:vAlign w:val="center"/>
          </w:tcPr>
          <w:p>
            <w:r>
              <w:t>Calcul de θ_g(t)</w:t>
            </w:r>
          </w:p>
        </w:tc>
        <w:tc>
          <w:tcPr>
            <w:tcW w:type="dxa" w:w="3324"/>
            <w:vAlign w:val="center"/>
          </w:tcPr>
          <w:p>
            <w:r>
              <w:t>Courbe et unités</w:t>
            </w:r>
          </w:p>
        </w:tc>
      </w:tr>
      <w:tr>
        <w:tc>
          <w:tcPr>
            <w:tcW w:type="dxa" w:w="3324"/>
            <w:vAlign w:val="center"/>
          </w:tcPr>
          <w:p>
            <w:r>
              <w:t>2</w:t>
            </w:r>
          </w:p>
        </w:tc>
        <w:tc>
          <w:tcPr>
            <w:tcW w:type="dxa" w:w="3324"/>
            <w:vAlign w:val="center"/>
          </w:tcPr>
          <w:p>
            <w:r>
              <w:t>Interpolation des hauteurs</w:t>
            </w:r>
          </w:p>
        </w:tc>
        <w:tc>
          <w:tcPr>
            <w:tcW w:type="dxa" w:w="3324"/>
            <w:vAlign w:val="center"/>
          </w:tcPr>
          <w:p>
            <w:r>
              <w:t>F1, F2, F3</w:t>
            </w:r>
          </w:p>
        </w:tc>
      </w:tr>
      <w:tr>
        <w:tc>
          <w:tcPr>
            <w:tcW w:type="dxa" w:w="3324"/>
            <w:vAlign w:val="center"/>
          </w:tcPr>
          <w:p>
            <w:r>
              <w:t>3</w:t>
            </w:r>
          </w:p>
        </w:tc>
        <w:tc>
          <w:tcPr>
            <w:tcW w:type="dxa" w:w="3324"/>
            <w:vAlign w:val="center"/>
          </w:tcPr>
          <w:p>
            <w:r>
              <w:t>Choix direct/masqué</w:t>
            </w:r>
          </w:p>
        </w:tc>
        <w:tc>
          <w:tcPr>
            <w:tcW w:type="dxa" w:w="3324"/>
            <w:vAlign w:val="center"/>
          </w:tcPr>
          <w:p>
            <w:r>
              <w:t>f_rad et f_conv</w:t>
            </w:r>
          </w:p>
        </w:tc>
      </w:tr>
      <w:tr>
        <w:tc>
          <w:tcPr>
            <w:tcW w:type="dxa" w:w="3324"/>
            <w:vAlign w:val="center"/>
          </w:tcPr>
          <w:p>
            <w:r>
              <w:t>4</w:t>
            </w:r>
          </w:p>
        </w:tc>
        <w:tc>
          <w:tcPr>
            <w:tcW w:type="dxa" w:w="3324"/>
            <w:vAlign w:val="center"/>
          </w:tcPr>
          <w:p>
            <w:r>
              <w:t>Calcul de c_a(θ_a)</w:t>
            </w:r>
          </w:p>
        </w:tc>
        <w:tc>
          <w:tcPr>
            <w:tcW w:type="dxa" w:w="3324"/>
            <w:vAlign w:val="center"/>
          </w:tcPr>
          <w:p>
            <w:r>
              <w:t>Loi acier par morceaux</w:t>
            </w:r>
          </w:p>
        </w:tc>
      </w:tr>
      <w:tr>
        <w:tc>
          <w:tcPr>
            <w:tcW w:type="dxa" w:w="3324"/>
            <w:vAlign w:val="center"/>
          </w:tcPr>
          <w:p>
            <w:r>
              <w:t>5</w:t>
            </w:r>
          </w:p>
        </w:tc>
        <w:tc>
          <w:tcPr>
            <w:tcW w:type="dxa" w:w="3324"/>
            <w:vAlign w:val="center"/>
          </w:tcPr>
          <w:p>
            <w:r>
              <w:t>Calcul q_conv et q_rad</w:t>
            </w:r>
          </w:p>
        </w:tc>
        <w:tc>
          <w:tcPr>
            <w:tcW w:type="dxa" w:w="3324"/>
            <w:vAlign w:val="center"/>
          </w:tcPr>
          <w:p>
            <w:r>
              <w:t>Flux en W/m²</w:t>
            </w:r>
          </w:p>
        </w:tc>
      </w:tr>
      <w:tr>
        <w:tc>
          <w:tcPr>
            <w:tcW w:type="dxa" w:w="3324"/>
            <w:vAlign w:val="center"/>
          </w:tcPr>
          <w:p>
            <w:r>
              <w:t>6</w:t>
            </w:r>
          </w:p>
        </w:tc>
        <w:tc>
          <w:tcPr>
            <w:tcW w:type="dxa" w:w="3324"/>
            <w:vAlign w:val="center"/>
          </w:tcPr>
          <w:p>
            <w:r>
              <w:t>Calcul de Δθ_a</w:t>
            </w:r>
          </w:p>
        </w:tc>
        <w:tc>
          <w:tcPr>
            <w:tcW w:type="dxa" w:w="3324"/>
            <w:vAlign w:val="center"/>
          </w:tcPr>
          <w:p>
            <w:r>
              <w:t>Bilan énergétique</w:t>
            </w:r>
          </w:p>
        </w:tc>
      </w:tr>
      <w:tr>
        <w:tc>
          <w:tcPr>
            <w:tcW w:type="dxa" w:w="3324"/>
            <w:vAlign w:val="center"/>
          </w:tcPr>
          <w:p>
            <w:r>
              <w:t>7</w:t>
            </w:r>
          </w:p>
        </w:tc>
        <w:tc>
          <w:tcPr>
            <w:tcW w:type="dxa" w:w="3324"/>
            <w:vAlign w:val="center"/>
          </w:tcPr>
          <w:p>
            <w:r>
              <w:t>Mise à jour de θ_a</w:t>
            </w:r>
          </w:p>
        </w:tc>
        <w:tc>
          <w:tcPr>
            <w:tcW w:type="dxa" w:w="3324"/>
            <w:vAlign w:val="center"/>
          </w:tcPr>
          <w:p>
            <w:r>
              <w:t>CSV et courbes</w:t>
            </w:r>
          </w:p>
        </w:tc>
      </w:tr>
      <w:tr>
        <w:tc>
          <w:tcPr>
            <w:tcW w:type="dxa" w:w="3324"/>
            <w:vAlign w:val="center"/>
          </w:tcPr>
          <w:p>
            <w:r>
              <w:t>8</w:t>
            </w:r>
          </w:p>
        </w:tc>
        <w:tc>
          <w:tcPr>
            <w:tcW w:type="dxa" w:w="3324"/>
            <w:vAlign w:val="center"/>
          </w:tcPr>
          <w:p>
            <w:r>
              <w:t>Extraction à 30 min</w:t>
            </w:r>
          </w:p>
        </w:tc>
        <w:tc>
          <w:tcPr>
            <w:tcW w:type="dxa" w:w="3324"/>
            <w:vAlign w:val="center"/>
          </w:tcPr>
          <w:p>
            <w:r>
              <w:t>Cas le plus défavorable</w:t>
            </w:r>
          </w:p>
        </w:tc>
      </w:tr>
    </w:tbl>
    <w:p>
      <w:pPr>
        <w:pStyle w:val="Heading1"/>
      </w:pPr>
      <w:r>
        <w:t>6. Synthèse des 18 cas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8"/>
          </w:tcPr>
          <w:p>
            <w:r>
              <w:rPr>
                <w:b/>
                <w:color w:val="FFFFFF"/>
              </w:rPr>
              <w:t>Cas</w:t>
            </w:r>
          </w:p>
        </w:tc>
        <w:tc>
          <w:tcPr>
            <w:tcW w:type="dxa" w:w="2493"/>
            <w:shd w:fill="1F4E78"/>
          </w:tcPr>
          <w:p>
            <w:r>
              <w:rPr>
                <w:b/>
                <w:color w:val="FFFFFF"/>
              </w:rPr>
              <w:t>Tmax intrados (°C)</w:t>
            </w:r>
          </w:p>
        </w:tc>
        <w:tc>
          <w:tcPr>
            <w:tcW w:type="dxa" w:w="2493"/>
            <w:shd w:fill="1F4E78"/>
          </w:tcPr>
          <w:p>
            <w:r>
              <w:rPr>
                <w:b/>
                <w:color w:val="FFFFFF"/>
              </w:rPr>
              <w:t>Tmax suspente (°C)</w:t>
            </w:r>
          </w:p>
        </w:tc>
        <w:tc>
          <w:tcPr>
            <w:tcW w:type="dxa" w:w="2493"/>
            <w:shd w:fill="1F4E78"/>
          </w:tcPr>
          <w:p>
            <w:r>
              <w:rPr>
                <w:b/>
                <w:color w:val="FFFFFF"/>
              </w:rPr>
              <w:t>Tmax câble (°C)</w:t>
            </w:r>
          </w:p>
        </w:tc>
      </w:tr>
      <w:tr>
        <w:tc>
          <w:tcPr>
            <w:tcW w:type="dxa" w:w="2493"/>
            <w:vAlign w:val="center"/>
          </w:tcPr>
          <w:p>
            <w:r>
              <w:t>ISO834_F1_H10</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ISO834_F1_H12</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ISO834_F1_H15</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ISO834_F2_H10</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ISO834_F2_H12</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ISO834_F2_H15</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ISO834_F3_H10</w:t>
            </w:r>
          </w:p>
        </w:tc>
        <w:tc>
          <w:tcPr>
            <w:tcW w:type="dxa" w:w="2493"/>
            <w:vAlign w:val="center"/>
          </w:tcPr>
          <w:p>
            <w:r>
              <w:t>1046.3</w:t>
            </w:r>
          </w:p>
        </w:tc>
        <w:tc>
          <w:tcPr>
            <w:tcW w:type="dxa" w:w="2493"/>
            <w:vAlign w:val="center"/>
          </w:tcPr>
          <w:p>
            <w:r>
              <w:t>1045.6</w:t>
            </w:r>
          </w:p>
        </w:tc>
        <w:tc>
          <w:tcPr>
            <w:tcW w:type="dxa" w:w="2493"/>
            <w:vAlign w:val="center"/>
          </w:tcPr>
          <w:p>
            <w:r>
              <w:t>720.3</w:t>
            </w:r>
          </w:p>
        </w:tc>
      </w:tr>
      <w:tr>
        <w:tc>
          <w:tcPr>
            <w:tcW w:type="dxa" w:w="2493"/>
            <w:vAlign w:val="center"/>
          </w:tcPr>
          <w:p>
            <w:r>
              <w:t>ISO834_F3_H12</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ISO834_F3_H15</w:t>
            </w:r>
          </w:p>
        </w:tc>
        <w:tc>
          <w:tcPr>
            <w:tcW w:type="dxa" w:w="2493"/>
            <w:vAlign w:val="center"/>
          </w:tcPr>
          <w:p>
            <w:r>
              <w:t>1046.3</w:t>
            </w:r>
          </w:p>
        </w:tc>
        <w:tc>
          <w:tcPr>
            <w:tcW w:type="dxa" w:w="2493"/>
            <w:vAlign w:val="center"/>
          </w:tcPr>
          <w:p>
            <w:r>
              <w:t>1045.6</w:t>
            </w:r>
          </w:p>
        </w:tc>
        <w:tc>
          <w:tcPr>
            <w:tcW w:type="dxa" w:w="2493"/>
            <w:vAlign w:val="center"/>
          </w:tcPr>
          <w:p>
            <w:r>
              <w:t>1024.6</w:t>
            </w:r>
          </w:p>
        </w:tc>
      </w:tr>
      <w:tr>
        <w:tc>
          <w:tcPr>
            <w:tcW w:type="dxa" w:w="2493"/>
            <w:vAlign w:val="center"/>
          </w:tcPr>
          <w:p>
            <w:r>
              <w:t>CEREMA_EXT_F1_H10</w:t>
            </w:r>
          </w:p>
        </w:tc>
        <w:tc>
          <w:tcPr>
            <w:tcW w:type="dxa" w:w="2493"/>
            <w:vAlign w:val="center"/>
          </w:tcPr>
          <w:p>
            <w:r>
              <w:t>680.0</w:t>
            </w:r>
          </w:p>
        </w:tc>
        <w:tc>
          <w:tcPr>
            <w:tcW w:type="dxa" w:w="2493"/>
            <w:vAlign w:val="center"/>
          </w:tcPr>
          <w:p>
            <w:r>
              <w:t>680.0</w:t>
            </w:r>
          </w:p>
        </w:tc>
        <w:tc>
          <w:tcPr>
            <w:tcW w:type="dxa" w:w="2493"/>
            <w:vAlign w:val="center"/>
          </w:tcPr>
          <w:p>
            <w:r>
              <w:t>647.7</w:t>
            </w:r>
          </w:p>
        </w:tc>
      </w:tr>
      <w:tr>
        <w:tc>
          <w:tcPr>
            <w:tcW w:type="dxa" w:w="2493"/>
            <w:vAlign w:val="center"/>
          </w:tcPr>
          <w:p>
            <w:r>
              <w:t>CEREMA_EXT_F1_H12</w:t>
            </w:r>
          </w:p>
        </w:tc>
        <w:tc>
          <w:tcPr>
            <w:tcW w:type="dxa" w:w="2493"/>
            <w:vAlign w:val="center"/>
          </w:tcPr>
          <w:p>
            <w:r>
              <w:t>680.0</w:t>
            </w:r>
          </w:p>
        </w:tc>
        <w:tc>
          <w:tcPr>
            <w:tcW w:type="dxa" w:w="2493"/>
            <w:vAlign w:val="center"/>
          </w:tcPr>
          <w:p>
            <w:r>
              <w:t>680.0</w:t>
            </w:r>
          </w:p>
        </w:tc>
        <w:tc>
          <w:tcPr>
            <w:tcW w:type="dxa" w:w="2493"/>
            <w:vAlign w:val="center"/>
          </w:tcPr>
          <w:p>
            <w:r>
              <w:t>647.7</w:t>
            </w:r>
          </w:p>
        </w:tc>
      </w:tr>
      <w:tr>
        <w:tc>
          <w:tcPr>
            <w:tcW w:type="dxa" w:w="2493"/>
            <w:vAlign w:val="center"/>
          </w:tcPr>
          <w:p>
            <w:r>
              <w:t>CEREMA_EXT_F1_H15</w:t>
            </w:r>
          </w:p>
        </w:tc>
        <w:tc>
          <w:tcPr>
            <w:tcW w:type="dxa" w:w="2493"/>
            <w:vAlign w:val="center"/>
          </w:tcPr>
          <w:p>
            <w:r>
              <w:t>680.0</w:t>
            </w:r>
          </w:p>
        </w:tc>
        <w:tc>
          <w:tcPr>
            <w:tcW w:type="dxa" w:w="2493"/>
            <w:vAlign w:val="center"/>
          </w:tcPr>
          <w:p>
            <w:r>
              <w:t>680.0</w:t>
            </w:r>
          </w:p>
        </w:tc>
        <w:tc>
          <w:tcPr>
            <w:tcW w:type="dxa" w:w="2493"/>
            <w:vAlign w:val="center"/>
          </w:tcPr>
          <w:p>
            <w:r>
              <w:t>647.7</w:t>
            </w:r>
          </w:p>
        </w:tc>
      </w:tr>
      <w:tr>
        <w:tc>
          <w:tcPr>
            <w:tcW w:type="dxa" w:w="2493"/>
            <w:vAlign w:val="center"/>
          </w:tcPr>
          <w:p>
            <w:r>
              <w:t>CEREMA_EXT_F2_H10</w:t>
            </w:r>
          </w:p>
        </w:tc>
        <w:tc>
          <w:tcPr>
            <w:tcW w:type="dxa" w:w="2493"/>
            <w:vAlign w:val="center"/>
          </w:tcPr>
          <w:p>
            <w:r>
              <w:t>680.0</w:t>
            </w:r>
          </w:p>
        </w:tc>
        <w:tc>
          <w:tcPr>
            <w:tcW w:type="dxa" w:w="2493"/>
            <w:vAlign w:val="center"/>
          </w:tcPr>
          <w:p>
            <w:r>
              <w:t>680.0</w:t>
            </w:r>
          </w:p>
        </w:tc>
        <w:tc>
          <w:tcPr>
            <w:tcW w:type="dxa" w:w="2493"/>
            <w:vAlign w:val="center"/>
          </w:tcPr>
          <w:p>
            <w:r>
              <w:t>647.7</w:t>
            </w:r>
          </w:p>
        </w:tc>
      </w:tr>
      <w:tr>
        <w:tc>
          <w:tcPr>
            <w:tcW w:type="dxa" w:w="2493"/>
            <w:vAlign w:val="center"/>
          </w:tcPr>
          <w:p>
            <w:r>
              <w:t>CEREMA_EXT_F2_H12</w:t>
            </w:r>
          </w:p>
        </w:tc>
        <w:tc>
          <w:tcPr>
            <w:tcW w:type="dxa" w:w="2493"/>
            <w:vAlign w:val="center"/>
          </w:tcPr>
          <w:p>
            <w:r>
              <w:t>680.0</w:t>
            </w:r>
          </w:p>
        </w:tc>
        <w:tc>
          <w:tcPr>
            <w:tcW w:type="dxa" w:w="2493"/>
            <w:vAlign w:val="center"/>
          </w:tcPr>
          <w:p>
            <w:r>
              <w:t>680.0</w:t>
            </w:r>
          </w:p>
        </w:tc>
        <w:tc>
          <w:tcPr>
            <w:tcW w:type="dxa" w:w="2493"/>
            <w:vAlign w:val="center"/>
          </w:tcPr>
          <w:p>
            <w:r>
              <w:t>647.7</w:t>
            </w:r>
          </w:p>
        </w:tc>
      </w:tr>
      <w:tr>
        <w:tc>
          <w:tcPr>
            <w:tcW w:type="dxa" w:w="2493"/>
            <w:vAlign w:val="center"/>
          </w:tcPr>
          <w:p>
            <w:r>
              <w:t>CEREMA_EXT_F2_H15</w:t>
            </w:r>
          </w:p>
        </w:tc>
        <w:tc>
          <w:tcPr>
            <w:tcW w:type="dxa" w:w="2493"/>
            <w:vAlign w:val="center"/>
          </w:tcPr>
          <w:p>
            <w:r>
              <w:t>680.0</w:t>
            </w:r>
          </w:p>
        </w:tc>
        <w:tc>
          <w:tcPr>
            <w:tcW w:type="dxa" w:w="2493"/>
            <w:vAlign w:val="center"/>
          </w:tcPr>
          <w:p>
            <w:r>
              <w:t>680.0</w:t>
            </w:r>
          </w:p>
        </w:tc>
        <w:tc>
          <w:tcPr>
            <w:tcW w:type="dxa" w:w="2493"/>
            <w:vAlign w:val="center"/>
          </w:tcPr>
          <w:p>
            <w:r>
              <w:t>647.7</w:t>
            </w:r>
          </w:p>
        </w:tc>
      </w:tr>
      <w:tr>
        <w:tc>
          <w:tcPr>
            <w:tcW w:type="dxa" w:w="2493"/>
            <w:vAlign w:val="center"/>
          </w:tcPr>
          <w:p>
            <w:r>
              <w:t>CEREMA_EXT_F3_H10</w:t>
            </w:r>
          </w:p>
        </w:tc>
        <w:tc>
          <w:tcPr>
            <w:tcW w:type="dxa" w:w="2493"/>
            <w:vAlign w:val="center"/>
          </w:tcPr>
          <w:p>
            <w:r>
              <w:t>680.0</w:t>
            </w:r>
          </w:p>
        </w:tc>
        <w:tc>
          <w:tcPr>
            <w:tcW w:type="dxa" w:w="2493"/>
            <w:vAlign w:val="center"/>
          </w:tcPr>
          <w:p>
            <w:r>
              <w:t>680.0</w:t>
            </w:r>
          </w:p>
        </w:tc>
        <w:tc>
          <w:tcPr>
            <w:tcW w:type="dxa" w:w="2493"/>
            <w:vAlign w:val="center"/>
          </w:tcPr>
          <w:p>
            <w:r>
              <w:t>403.4</w:t>
            </w:r>
          </w:p>
        </w:tc>
      </w:tr>
      <w:tr>
        <w:tc>
          <w:tcPr>
            <w:tcW w:type="dxa" w:w="2493"/>
            <w:vAlign w:val="center"/>
          </w:tcPr>
          <w:p>
            <w:r>
              <w:t>CEREMA_EXT_F3_H12</w:t>
            </w:r>
          </w:p>
        </w:tc>
        <w:tc>
          <w:tcPr>
            <w:tcW w:type="dxa" w:w="2493"/>
            <w:vAlign w:val="center"/>
          </w:tcPr>
          <w:p>
            <w:r>
              <w:t>680.0</w:t>
            </w:r>
          </w:p>
        </w:tc>
        <w:tc>
          <w:tcPr>
            <w:tcW w:type="dxa" w:w="2493"/>
            <w:vAlign w:val="center"/>
          </w:tcPr>
          <w:p>
            <w:r>
              <w:t>680.0</w:t>
            </w:r>
          </w:p>
        </w:tc>
        <w:tc>
          <w:tcPr>
            <w:tcW w:type="dxa" w:w="2493"/>
            <w:vAlign w:val="center"/>
          </w:tcPr>
          <w:p>
            <w:r>
              <w:t>647.7</w:t>
            </w:r>
          </w:p>
        </w:tc>
      </w:tr>
      <w:tr>
        <w:tc>
          <w:tcPr>
            <w:tcW w:type="dxa" w:w="2493"/>
            <w:vAlign w:val="center"/>
          </w:tcPr>
          <w:p>
            <w:r>
              <w:t>CEREMA_EXT_F3_H15</w:t>
            </w:r>
          </w:p>
        </w:tc>
        <w:tc>
          <w:tcPr>
            <w:tcW w:type="dxa" w:w="2493"/>
            <w:vAlign w:val="center"/>
          </w:tcPr>
          <w:p>
            <w:r>
              <w:t>680.0</w:t>
            </w:r>
          </w:p>
        </w:tc>
        <w:tc>
          <w:tcPr>
            <w:tcW w:type="dxa" w:w="2493"/>
            <w:vAlign w:val="center"/>
          </w:tcPr>
          <w:p>
            <w:r>
              <w:t>680.0</w:t>
            </w:r>
          </w:p>
        </w:tc>
        <w:tc>
          <w:tcPr>
            <w:tcW w:type="dxa" w:w="2493"/>
            <w:vAlign w:val="center"/>
          </w:tcPr>
          <w:p>
            <w:r>
              <w:t>647.7</w:t>
            </w:r>
          </w:p>
        </w:tc>
      </w:tr>
    </w:tbl>
    <w:p>
      <w:pPr>
        <w:pStyle w:val="Heading1"/>
      </w:pPr>
      <w:r>
        <w:t>7. Cas le plus défavorable à 30 minutes</w:t>
      </w:r>
    </w:p>
    <w:p>
      <w:r>
        <w:t>Le cas retenu est ISO834_F1_H10 pour l’élément intrados. À 30 min, la température calculée est 767.48 °C.</w:t>
      </w:r>
    </w:p>
    <w:tbl>
      <w:tblPr>
        <w:tblStyle w:val="TableGrid"/>
        <w:tblW w:type="auto" w:w="0"/>
        <w:jc w:val="center"/>
        <w:tblLook w:firstColumn="1" w:firstRow="1" w:lastColumn="0" w:lastRow="0" w:noHBand="0" w:noVBand="1" w:val="04A0"/>
      </w:tblPr>
      <w:tblGrid>
        <w:gridCol w:w="4986"/>
        <w:gridCol w:w="4986"/>
      </w:tblGrid>
      <w:tr>
        <w:tc>
          <w:tcPr>
            <w:tcW w:type="dxa" w:w="4986"/>
            <w:shd w:fill="1F4E78"/>
          </w:tcPr>
          <w:p>
            <w:r>
              <w:rPr>
                <w:b/>
                <w:color w:val="FFFFFF"/>
              </w:rPr>
              <w:t>Donnée</w:t>
            </w:r>
          </w:p>
        </w:tc>
        <w:tc>
          <w:tcPr>
            <w:tcW w:type="dxa" w:w="4986"/>
            <w:shd w:fill="1F4E78"/>
          </w:tcPr>
          <w:p>
            <w:r>
              <w:rPr>
                <w:b/>
                <w:color w:val="FFFFFF"/>
              </w:rPr>
              <w:t>Valeur</w:t>
            </w:r>
          </w:p>
        </w:tc>
      </w:tr>
      <w:tr>
        <w:tc>
          <w:tcPr>
            <w:tcW w:type="dxa" w:w="4986"/>
            <w:vAlign w:val="center"/>
          </w:tcPr>
          <w:p>
            <w:r>
              <w:t>Courbe de feu</w:t>
            </w:r>
          </w:p>
        </w:tc>
        <w:tc>
          <w:tcPr>
            <w:tcW w:type="dxa" w:w="4986"/>
            <w:vAlign w:val="center"/>
          </w:tcPr>
          <w:p>
            <w:r>
              <w:t>ISO 834</w:t>
            </w:r>
          </w:p>
        </w:tc>
      </w:tr>
      <w:tr>
        <w:tc>
          <w:tcPr>
            <w:tcW w:type="dxa" w:w="4986"/>
            <w:vAlign w:val="center"/>
          </w:tcPr>
          <w:p>
            <w:r>
              <w:t>Position du camion</w:t>
            </w:r>
          </w:p>
        </w:tc>
        <w:tc>
          <w:tcPr>
            <w:tcW w:type="dxa" w:w="4986"/>
            <w:vAlign w:val="center"/>
          </w:tcPr>
          <w:p>
            <w:r>
              <w:t>Zone ouest</w:t>
            </w:r>
          </w:p>
        </w:tc>
      </w:tr>
      <w:tr>
        <w:tc>
          <w:tcPr>
            <w:tcW w:type="dxa" w:w="4986"/>
            <w:vAlign w:val="center"/>
          </w:tcPr>
          <w:p>
            <w:r>
              <w:t>Hauteur de flamme</w:t>
            </w:r>
          </w:p>
        </w:tc>
        <w:tc>
          <w:tcPr>
            <w:tcW w:type="dxa" w:w="4986"/>
            <w:vAlign w:val="center"/>
          </w:tcPr>
          <w:p>
            <w:r>
              <w:t>10.00 m</w:t>
            </w:r>
          </w:p>
        </w:tc>
      </w:tr>
      <w:tr>
        <w:tc>
          <w:tcPr>
            <w:tcW w:type="dxa" w:w="4986"/>
            <w:vAlign w:val="center"/>
          </w:tcPr>
          <w:p>
            <w:r>
              <w:t>Élément</w:t>
            </w:r>
          </w:p>
        </w:tc>
        <w:tc>
          <w:tcPr>
            <w:tcW w:type="dxa" w:w="4986"/>
            <w:vAlign w:val="center"/>
          </w:tcPr>
          <w:p>
            <w:r>
              <w:t>intrados</w:t>
            </w:r>
          </w:p>
        </w:tc>
      </w:tr>
      <w:tr>
        <w:tc>
          <w:tcPr>
            <w:tcW w:type="dxa" w:w="4986"/>
            <w:vAlign w:val="center"/>
          </w:tcPr>
          <w:p>
            <w:r>
              <w:t>A_m/V</w:t>
            </w:r>
          </w:p>
        </w:tc>
        <w:tc>
          <w:tcPr>
            <w:tcW w:type="dxa" w:w="4986"/>
            <w:vAlign w:val="center"/>
          </w:tcPr>
          <w:p>
            <w:r>
              <w:t>100.000 m⁻¹</w:t>
            </w:r>
          </w:p>
        </w:tc>
      </w:tr>
      <w:tr>
        <w:tc>
          <w:tcPr>
            <w:tcW w:type="dxa" w:w="4986"/>
            <w:vAlign w:val="center"/>
          </w:tcPr>
          <w:p>
            <w:r>
              <w:t>f_rad</w:t>
            </w:r>
          </w:p>
        </w:tc>
        <w:tc>
          <w:tcPr>
            <w:tcW w:type="dxa" w:w="4986"/>
            <w:vAlign w:val="center"/>
          </w:tcPr>
          <w:p>
            <w:r>
              <w:t>1.000</w:t>
            </w:r>
          </w:p>
        </w:tc>
      </w:tr>
      <w:tr>
        <w:tc>
          <w:tcPr>
            <w:tcW w:type="dxa" w:w="4986"/>
            <w:vAlign w:val="center"/>
          </w:tcPr>
          <w:p>
            <w:r>
              <w:t>f_conv</w:t>
            </w:r>
          </w:p>
        </w:tc>
        <w:tc>
          <w:tcPr>
            <w:tcW w:type="dxa" w:w="4986"/>
            <w:vAlign w:val="center"/>
          </w:tcPr>
          <w:p>
            <w:r>
              <w:t>1.000</w:t>
            </w:r>
          </w:p>
        </w:tc>
      </w:tr>
      <w:tr>
        <w:tc>
          <w:tcPr>
            <w:tcW w:type="dxa" w:w="4986"/>
            <w:vAlign w:val="center"/>
          </w:tcPr>
          <w:p>
            <w:r>
              <w:t>Pas</w:t>
            </w:r>
          </w:p>
        </w:tc>
        <w:tc>
          <w:tcPr>
            <w:tcW w:type="dxa" w:w="4986"/>
            <w:vAlign w:val="center"/>
          </w:tcPr>
          <w:p>
            <w:r>
              <w:t>5.0 s</w:t>
            </w:r>
          </w:p>
        </w:tc>
      </w:tr>
      <w:tr>
        <w:tc>
          <w:tcPr>
            <w:tcW w:type="dxa" w:w="4986"/>
            <w:vAlign w:val="center"/>
          </w:tcPr>
          <w:p>
            <w:r>
              <w:t>T_g à 29 min 55 s</w:t>
            </w:r>
          </w:p>
        </w:tc>
        <w:tc>
          <w:tcPr>
            <w:tcW w:type="dxa" w:w="4986"/>
            <w:vAlign w:val="center"/>
          </w:tcPr>
          <w:p>
            <w:r>
              <w:t>841.381 °C</w:t>
            </w:r>
          </w:p>
        </w:tc>
      </w:tr>
      <w:tr>
        <w:tc>
          <w:tcPr>
            <w:tcW w:type="dxa" w:w="4986"/>
            <w:vAlign w:val="center"/>
          </w:tcPr>
          <w:p>
            <w:r>
              <w:t>T_acier à 29 min 55 s</w:t>
            </w:r>
          </w:p>
        </w:tc>
        <w:tc>
          <w:tcPr>
            <w:tcW w:type="dxa" w:w="4986"/>
            <w:vAlign w:val="center"/>
          </w:tcPr>
          <w:p>
            <w:r>
              <w:t>766.457 °C</w:t>
            </w:r>
          </w:p>
        </w:tc>
      </w:tr>
      <w:tr>
        <w:tc>
          <w:tcPr>
            <w:tcW w:type="dxa" w:w="4986"/>
            <w:vAlign w:val="center"/>
          </w:tcPr>
          <w:p>
            <w:r>
              <w:t>c_a</w:t>
            </w:r>
          </w:p>
        </w:tc>
        <w:tc>
          <w:tcPr>
            <w:tcW w:type="dxa" w:w="4986"/>
            <w:vAlign w:val="center"/>
          </w:tcPr>
          <w:p>
            <w:r>
              <w:t>1047.587 J/(kg·K)</w:t>
            </w:r>
          </w:p>
        </w:tc>
      </w:tr>
      <w:tr>
        <w:tc>
          <w:tcPr>
            <w:tcW w:type="dxa" w:w="4986"/>
            <w:vAlign w:val="center"/>
          </w:tcPr>
          <w:p>
            <w:r>
              <w:t>q_conv</w:t>
            </w:r>
          </w:p>
        </w:tc>
        <w:tc>
          <w:tcPr>
            <w:tcW w:type="dxa" w:w="4986"/>
            <w:vAlign w:val="center"/>
          </w:tcPr>
          <w:p>
            <w:r>
              <w:t>1873.108 W/m²</w:t>
            </w:r>
          </w:p>
        </w:tc>
      </w:tr>
      <w:tr>
        <w:tc>
          <w:tcPr>
            <w:tcW w:type="dxa" w:w="4986"/>
            <w:vAlign w:val="center"/>
          </w:tcPr>
          <w:p>
            <w:r>
              <w:t>q_rad</w:t>
            </w:r>
          </w:p>
        </w:tc>
        <w:tc>
          <w:tcPr>
            <w:tcW w:type="dxa" w:w="4986"/>
            <w:vAlign w:val="center"/>
          </w:tcPr>
          <w:p>
            <w:r>
              <w:t>14881.539 W/m²</w:t>
            </w:r>
          </w:p>
        </w:tc>
      </w:tr>
      <w:tr>
        <w:tc>
          <w:tcPr>
            <w:tcW w:type="dxa" w:w="4986"/>
            <w:vAlign w:val="center"/>
          </w:tcPr>
          <w:p>
            <w:r>
              <w:t>q_net</w:t>
            </w:r>
          </w:p>
        </w:tc>
        <w:tc>
          <w:tcPr>
            <w:tcW w:type="dxa" w:w="4986"/>
            <w:vAlign w:val="center"/>
          </w:tcPr>
          <w:p>
            <w:r>
              <w:t>16754.647 W/m²</w:t>
            </w:r>
          </w:p>
        </w:tc>
      </w:tr>
      <w:tr>
        <w:tc>
          <w:tcPr>
            <w:tcW w:type="dxa" w:w="4986"/>
            <w:vAlign w:val="center"/>
          </w:tcPr>
          <w:p>
            <w:r>
              <w:t>ΔT du dernier pas</w:t>
            </w:r>
          </w:p>
        </w:tc>
        <w:tc>
          <w:tcPr>
            <w:tcW w:type="dxa" w:w="4986"/>
            <w:vAlign w:val="center"/>
          </w:tcPr>
          <w:p>
            <w:r>
              <w:t>1.018698 °C</w:t>
            </w:r>
          </w:p>
        </w:tc>
      </w:tr>
      <w:tr>
        <w:tc>
          <w:tcPr>
            <w:tcW w:type="dxa" w:w="4986"/>
            <w:vAlign w:val="center"/>
          </w:tcPr>
          <w:p>
            <w:r>
              <w:t>T_acier à 30 min</w:t>
            </w:r>
          </w:p>
        </w:tc>
        <w:tc>
          <w:tcPr>
            <w:tcW w:type="dxa" w:w="4986"/>
            <w:vAlign w:val="center"/>
          </w:tcPr>
          <w:p>
            <w:r>
              <w:t>767.475 °C</w:t>
            </w:r>
          </w:p>
        </w:tc>
      </w:tr>
    </w:tbl>
    <w:p>
      <w:r>
        <w:t>Vérification numérique du dernier incrément :</w:t>
      </w:r>
    </w:p>
    <w:p>
      <w:r>
        <w:t>ΔT = 100.000 × (1873.108 + 14881.539) × 5.0 / (7850 × 1047.587) = 1.018698 °C</w:t>
      </w:r>
    </w:p>
    <w:p>
      <w:pPr>
        <w:jc w:val="center"/>
      </w:pPr>
      <w:r>
        <w:drawing>
          <wp:inline xmlns:a="http://schemas.openxmlformats.org/drawingml/2006/main" xmlns:pic="http://schemas.openxmlformats.org/drawingml/2006/picture">
            <wp:extent cx="5580000" cy="3037369"/>
            <wp:docPr id="3" name="Picture 3"/>
            <wp:cNvGraphicFramePr>
              <a:graphicFrameLocks noChangeAspect="1"/>
            </wp:cNvGraphicFramePr>
            <a:graphic>
              <a:graphicData uri="http://schemas.openxmlformats.org/drawingml/2006/picture">
                <pic:pic>
                  <pic:nvPicPr>
                    <pic:cNvPr id="0" name="ISO834_F1_H10.png"/>
                    <pic:cNvPicPr/>
                  </pic:nvPicPr>
                  <pic:blipFill>
                    <a:blip r:embed="rId11"/>
                    <a:stretch>
                      <a:fillRect/>
                    </a:stretch>
                  </pic:blipFill>
                  <pic:spPr>
                    <a:xfrm>
                      <a:off x="0" y="0"/>
                      <a:ext cx="5580000" cy="3037369"/>
                    </a:xfrm>
                    <a:prstGeom prst="rect"/>
                  </pic:spPr>
                </pic:pic>
              </a:graphicData>
            </a:graphic>
          </wp:inline>
        </w:drawing>
      </w:r>
    </w:p>
    <w:p>
      <w:pPr>
        <w:pStyle w:val="Caption"/>
        <w:jc w:val="center"/>
      </w:pPr>
      <w:r>
        <w:t>Figure 3 - Évolution thermique du cas ISO834_F1_H10.</w:t>
      </w:r>
    </w:p>
    <w:p>
      <w:pPr>
        <w:pStyle w:val="Heading1"/>
      </w:pPr>
      <w:r>
        <w:t>8. Conclusions de validation</w:t>
      </w:r>
    </w:p>
    <w:p>
      <w:pPr>
        <w:pStyle w:val="ListBullet"/>
      </w:pPr>
      <w:r>
        <w:t>Les formules de feu sont affichées sous forme d’équations lisibles, indépendantes des limitations typographiques de Word.</w:t>
      </w:r>
    </w:p>
    <w:p>
      <w:pPr>
        <w:pStyle w:val="ListBullet"/>
      </w:pPr>
      <w:r>
        <w:t>Le rapport est entièrement rédigé en français avec accents et unités SI.</w:t>
      </w:r>
    </w:p>
    <w:p>
      <w:pPr>
        <w:pStyle w:val="ListBullet"/>
      </w:pPr>
      <w:r>
        <w:t>Le cas le plus défavorable à 30 min est sélectionné automatiquement parmi les 18 cas et les trois familles d’éléments.</w:t>
      </w:r>
    </w:p>
    <w:p>
      <w:pPr>
        <w:pStyle w:val="ListBullet"/>
      </w:pPr>
      <w:r>
        <w:t>Le dernier pas de calcul avant 30 min est détaillé avec température gaz, température acier, chaleur spécifique, flux convectif, flux radiatif et incrément de température.</w:t>
      </w:r>
    </w:p>
    <w:p>
      <w:pPr>
        <w:pStyle w:val="ListBullet"/>
      </w:pPr>
      <w:r>
        <w:t>Les coefficients d’exposition et le facteur de massiveté de l’intrados restent à justifier avant utilisation en dimensionnement.</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