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6"/>
        </w:rPr>
        <w:t>ANALYSE THERMIQUE D'UN INCENDIE</w:t>
        <w:br/>
        <w:t>SOUS LA PASSERELLE</w:t>
      </w:r>
    </w:p>
    <w:p>
      <w:pPr>
        <w:jc w:val="center"/>
      </w:pPr>
      <w:r>
        <w:t>Passerelle Gerland - La Saulaie</w:t>
        <w:br/>
        <w:t>Version V1.4 complète</w:t>
      </w:r>
    </w:p>
    <w:p>
      <w:pPr>
        <w:jc w:val="center"/>
      </w:pPr>
      <w:r>
        <w:t>Rapport généré le 01/09/2026 à 13:27</w:t>
      </w:r>
    </w:p>
    <w:p>
      <w:r>
        <w:br w:type="page"/>
      </w:r>
    </w:p>
    <w:p>
      <w:pPr>
        <w:pStyle w:val="Heading1"/>
      </w:pPr>
      <w:r>
        <w:t>1. Objet et présentation du projet</w:t>
      </w:r>
    </w:p>
    <w:p>
      <w:r>
        <w:t>L'étude évalue l'évolution de la température de l'intrados, des suspentes et des câbles principaux lors d'un incendie sur la M7. Les courbes ISO 834 et feu extérieur sont calculées séparément, puis comparées.</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jc w:val="center"/>
      </w:pPr>
      <w:r>
        <w:rPr>
          <w:i/>
        </w:rP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jc w:val="center"/>
      </w:pPr>
      <w:r>
        <w:rPr>
          <w:i/>
        </w:rPr>
        <w:t>Figure 2 - Élévation et plan du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jc w:val="center"/>
      </w:pPr>
      <w:r>
        <w:rPr>
          <w:i/>
        </w:rPr>
        <w:t>Figure 3 - Coupe longitudinale générale.</w:t>
      </w:r>
    </w:p>
    <w:p>
      <w:pPr>
        <w:pStyle w:val="Heading1"/>
      </w:pPr>
      <w:r>
        <w:t>2. Références</w:t>
      </w:r>
    </w:p>
    <w:p>
      <w:pPr>
        <w:pStyle w:val="ListBullet"/>
      </w:pPr>
      <w:r>
        <w:t>NF EN 1991-1-2, § 3.1, § 3.2.1 et § 3.2.2.</w:t>
      </w:r>
    </w:p>
    <w:p>
      <w:pPr>
        <w:pStyle w:val="ListBullet"/>
      </w:pPr>
      <w:r>
        <w:t>NF EN 1993-1-2, § 3.4.1 et § 4.2.5.1.</w:t>
      </w:r>
    </w:p>
    <w:p>
      <w:pPr>
        <w:pStyle w:val="ListBullet"/>
      </w:pPr>
      <w:r>
        <w:t>Cerema, Résistance à l'incendie des ponts routiers, guide 2018, p. 14/156.</w:t>
      </w:r>
    </w:p>
    <w:p>
      <w:pPr>
        <w:pStyle w:val="ListBullet"/>
      </w:pPr>
      <w:r>
        <w:t>Note SAU_AVP_NTE_069_A_FeuM7.</w:t>
      </w:r>
    </w:p>
    <w:p>
      <w:pPr>
        <w:pStyle w:val="Heading1"/>
      </w:pPr>
      <w:r>
        <w:t>3. Géométrie simplifiée</w:t>
      </w:r>
    </w:p>
    <w:p>
      <w:r>
        <w:t>Trois coupes successives sont étudiées le long de l'axe de la passerelle au franchissement de la M7 : bord ouest, axe M7 et bord est. Les hauteurs ne correspondent donc pas à trois points d'une même coupe transversale.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Coupe</w:t>
            </w:r>
          </w:p>
        </w:tc>
        <w:tc>
          <w:tcPr>
            <w:tcW w:type="dxa" w:w="1994"/>
          </w:tcPr>
          <w:p>
            <w:r>
              <w:rPr>
                <w:b/>
              </w:rPr>
              <w:t>Position</w:t>
            </w:r>
          </w:p>
        </w:tc>
        <w:tc>
          <w:tcPr>
            <w:tcW w:type="dxa" w:w="1994"/>
          </w:tcPr>
          <w:p>
            <w:r>
              <w:rPr>
                <w:b/>
              </w:rPr>
              <w:t>Intrados (m)</w:t>
            </w:r>
          </w:p>
        </w:tc>
        <w:tc>
          <w:tcPr>
            <w:tcW w:type="dxa" w:w="1994"/>
          </w:tcPr>
          <w:p>
            <w:r>
              <w:rPr>
                <w:b/>
              </w:rPr>
              <w:t>Naissance suspente (m)</w:t>
            </w:r>
          </w:p>
        </w:tc>
        <w:tc>
          <w:tcPr>
            <w:tcW w:type="dxa" w:w="1994"/>
          </w:tcPr>
          <w:p>
            <w:r>
              <w:rPr>
                <w:b/>
              </w:rPr>
              <w:t>Axe câble (m)</w:t>
            </w:r>
          </w:p>
        </w:tc>
      </w:tr>
      <w:tr>
        <w:tc>
          <w:tcPr>
            <w:tcW w:type="dxa" w:w="1994"/>
          </w:tcPr>
          <w:p>
            <w:r>
              <w:t>OUEST</w:t>
            </w:r>
          </w:p>
        </w:tc>
        <w:tc>
          <w:tcPr>
            <w:tcW w:type="dxa" w:w="1994"/>
          </w:tcPr>
          <w:p>
            <w:r>
              <w:t>Bord ouest circulable</w:t>
            </w:r>
          </w:p>
        </w:tc>
        <w:tc>
          <w:tcPr>
            <w:tcW w:type="dxa" w:w="1994"/>
          </w:tcPr>
          <w:p>
            <w:r>
              <w:t>6,125</w:t>
            </w:r>
          </w:p>
        </w:tc>
        <w:tc>
          <w:tcPr>
            <w:tcW w:type="dxa" w:w="1994"/>
          </w:tcPr>
          <w:p>
            <w:r>
              <w:t>6,945</w:t>
            </w:r>
          </w:p>
        </w:tc>
        <w:tc>
          <w:tcPr>
            <w:tcW w:type="dxa" w:w="1994"/>
          </w:tcPr>
          <w:p>
            <w:r>
              <w:t>8,120</w:t>
            </w:r>
          </w:p>
        </w:tc>
      </w:tr>
      <w:tr>
        <w:tc>
          <w:tcPr>
            <w:tcW w:type="dxa" w:w="1994"/>
          </w:tcPr>
          <w:p>
            <w:r>
              <w:t>AXE</w:t>
            </w:r>
          </w:p>
        </w:tc>
        <w:tc>
          <w:tcPr>
            <w:tcW w:type="dxa" w:w="1994"/>
          </w:tcPr>
          <w:p>
            <w:r>
              <w:t>Axe M7</w:t>
            </w:r>
          </w:p>
        </w:tc>
        <w:tc>
          <w:tcPr>
            <w:tcW w:type="dxa" w:w="1994"/>
          </w:tcPr>
          <w:p>
            <w:r>
              <w:t>6,900</w:t>
            </w:r>
          </w:p>
        </w:tc>
        <w:tc>
          <w:tcPr>
            <w:tcW w:type="dxa" w:w="1994"/>
          </w:tcPr>
          <w:p>
            <w:r>
              <w:t>7,720</w:t>
            </w:r>
          </w:p>
        </w:tc>
        <w:tc>
          <w:tcPr>
            <w:tcW w:type="dxa" w:w="1994"/>
          </w:tcPr>
          <w:p>
            <w:r>
              <w:t>9,400</w:t>
            </w:r>
          </w:p>
        </w:tc>
      </w:tr>
      <w:tr>
        <w:tc>
          <w:tcPr>
            <w:tcW w:type="dxa" w:w="1994"/>
          </w:tcPr>
          <w:p>
            <w:r>
              <w:t>EST</w:t>
            </w:r>
          </w:p>
        </w:tc>
        <w:tc>
          <w:tcPr>
            <w:tcW w:type="dxa" w:w="1994"/>
          </w:tcPr>
          <w:p>
            <w:r>
              <w:t>Bord est circulable</w:t>
            </w:r>
          </w:p>
        </w:tc>
        <w:tc>
          <w:tcPr>
            <w:tcW w:type="dxa" w:w="1994"/>
          </w:tcPr>
          <w:p>
            <w:r>
              <w:t>7,250</w:t>
            </w:r>
          </w:p>
        </w:tc>
        <w:tc>
          <w:tcPr>
            <w:tcW w:type="dxa" w:w="1994"/>
          </w:tcPr>
          <w:p>
            <w:r>
              <w:t>8,070</w:t>
            </w:r>
          </w:p>
        </w:tc>
        <w:tc>
          <w:tcPr>
            <w:tcW w:type="dxa" w:w="1994"/>
          </w:tcPr>
          <w:p>
            <w:r>
              <w:t>11,070</w:t>
            </w:r>
          </w:p>
        </w:tc>
      </w:tr>
    </w:tbl>
    <w:p>
      <w:pPr>
        <w:jc w:val="center"/>
      </w:pPr>
      <w:r>
        <w:drawing>
          <wp:inline xmlns:a="http://schemas.openxmlformats.org/drawingml/2006/main" xmlns:pic="http://schemas.openxmlformats.org/drawingml/2006/picture">
            <wp:extent cx="5760000" cy="2861154"/>
            <wp:docPr id="4" name="Picture 4"/>
            <wp:cNvGraphicFramePr>
              <a:graphicFrameLocks noChangeAspect="1"/>
            </wp:cNvGraphicFramePr>
            <a:graphic>
              <a:graphicData uri="http://schemas.openxmlformats.org/drawingml/2006/picture">
                <pic:pic>
                  <pic:nvPicPr>
                    <pic:cNvPr id="0" name="ZZ_coupe longit partielle zone M7.png"/>
                    <pic:cNvPicPr/>
                  </pic:nvPicPr>
                  <pic:blipFill>
                    <a:blip r:embed="rId12"/>
                    <a:stretch>
                      <a:fillRect/>
                    </a:stretch>
                  </pic:blipFill>
                  <pic:spPr>
                    <a:xfrm>
                      <a:off x="0" y="0"/>
                      <a:ext cx="5760000" cy="2861154"/>
                    </a:xfrm>
                    <a:prstGeom prst="rect"/>
                  </pic:spPr>
                </pic:pic>
              </a:graphicData>
            </a:graphic>
          </wp:inline>
        </w:drawing>
      </w:r>
    </w:p>
    <w:p>
      <w:pPr>
        <w:jc w:val="center"/>
      </w:pPr>
      <w:r>
        <w:rPr>
          <w:i/>
        </w:rPr>
        <w:t>Figure 4 - Hauteurs sur les trois coupes.</w:t>
      </w:r>
    </w:p>
    <w:p>
      <w:pPr>
        <w:jc w:val="center"/>
      </w:pPr>
      <w:r>
        <w:drawing>
          <wp:inline xmlns:a="http://schemas.openxmlformats.org/drawingml/2006/main" xmlns:pic="http://schemas.openxmlformats.org/drawingml/2006/picture">
            <wp:extent cx="5760000" cy="2619480"/>
            <wp:docPr id="5" name="Picture 5"/>
            <wp:cNvGraphicFramePr>
              <a:graphicFrameLocks noChangeAspect="1"/>
            </wp:cNvGraphicFramePr>
            <a:graphic>
              <a:graphicData uri="http://schemas.openxmlformats.org/drawingml/2006/picture">
                <pic:pic>
                  <pic:nvPicPr>
                    <pic:cNvPr id="0" name="ZZ_vue en plan cotée zone M7.png"/>
                    <pic:cNvPicPr/>
                  </pic:nvPicPr>
                  <pic:blipFill>
                    <a:blip r:embed="rId13"/>
                    <a:stretch>
                      <a:fillRect/>
                    </a:stretch>
                  </pic:blipFill>
                  <pic:spPr>
                    <a:xfrm>
                      <a:off x="0" y="0"/>
                      <a:ext cx="5760000" cy="2619480"/>
                    </a:xfrm>
                    <a:prstGeom prst="rect"/>
                  </pic:spPr>
                </pic:pic>
              </a:graphicData>
            </a:graphic>
          </wp:inline>
        </w:drawing>
      </w:r>
    </w:p>
    <w:p>
      <w:pPr>
        <w:jc w:val="center"/>
      </w:pPr>
      <w:r>
        <w:rPr>
          <w:i/>
        </w:rPr>
        <w:t>Figure 5 - Largeurs de la M7.</w:t>
      </w:r>
    </w:p>
    <w:p>
      <w:pPr>
        <w:jc w:val="center"/>
      </w:pPr>
      <w:r>
        <w:drawing>
          <wp:inline xmlns:a="http://schemas.openxmlformats.org/drawingml/2006/main" xmlns:pic="http://schemas.openxmlformats.org/drawingml/2006/picture">
            <wp:extent cx="5760000" cy="2791965"/>
            <wp:docPr id="6" name="Picture 6"/>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4"/>
                    <a:stretch>
                      <a:fillRect/>
                    </a:stretch>
                  </pic:blipFill>
                  <pic:spPr>
                    <a:xfrm>
                      <a:off x="0" y="0"/>
                      <a:ext cx="5760000" cy="2791965"/>
                    </a:xfrm>
                    <a:prstGeom prst="rect"/>
                  </pic:spPr>
                </pic:pic>
              </a:graphicData>
            </a:graphic>
          </wp:inline>
        </w:drawing>
      </w:r>
    </w:p>
    <w:p>
      <w:pPr>
        <w:jc w:val="center"/>
      </w:pPr>
      <w:r>
        <w:rPr>
          <w:i/>
        </w:rPr>
        <w:t>Figure 6 - Demi-coupe et approximation de l'intrados.</w:t>
      </w:r>
    </w:p>
    <w:p>
      <w:pPr>
        <w:jc w:val="center"/>
      </w:pPr>
      <w:r>
        <w:drawing>
          <wp:inline xmlns:a="http://schemas.openxmlformats.org/drawingml/2006/main" xmlns:pic="http://schemas.openxmlformats.org/drawingml/2006/picture">
            <wp:extent cx="5760000" cy="2008125"/>
            <wp:docPr id="7" name="Picture 7"/>
            <wp:cNvGraphicFramePr>
              <a:graphicFrameLocks noChangeAspect="1"/>
            </wp:cNvGraphicFramePr>
            <a:graphic>
              <a:graphicData uri="http://schemas.openxmlformats.org/drawingml/2006/picture">
                <pic:pic>
                  <pic:nvPicPr>
                    <pic:cNvPr id="0" name="ZZ coupe transv.png"/>
                    <pic:cNvPicPr/>
                  </pic:nvPicPr>
                  <pic:blipFill>
                    <a:blip r:embed="rId15"/>
                    <a:stretch>
                      <a:fillRect/>
                    </a:stretch>
                  </pic:blipFill>
                  <pic:spPr>
                    <a:xfrm>
                      <a:off x="0" y="0"/>
                      <a:ext cx="5760000" cy="2008125"/>
                    </a:xfrm>
                    <a:prstGeom prst="rect"/>
                  </pic:spPr>
                </pic:pic>
              </a:graphicData>
            </a:graphic>
          </wp:inline>
        </w:drawing>
      </w:r>
    </w:p>
    <w:p>
      <w:pPr>
        <w:jc w:val="center"/>
      </w:pPr>
      <w:r>
        <w:rPr>
          <w:i/>
        </w:rPr>
        <w:t>Figure 7 - Coupe transversale type.</w:t>
      </w:r>
    </w:p>
    <w:p>
      <w:pPr>
        <w:pStyle w:val="Heading1"/>
      </w:pPr>
      <w:r>
        <w:t>4. Hypothèses et modèle thermique</w:t>
      </w:r>
    </w:p>
    <w:p>
      <w:pPr>
        <w:pStyle w:val="Heading2"/>
      </w:pPr>
      <w:r>
        <w:t>Équations utilisées</w:t>
      </w:r>
    </w:p>
    <w:p>
      <w:r>
        <w:t>Courbe CN - ISO 834, NF EN 1991-1-2, § 3.2.1 :</w:t>
      </w:r>
    </w:p>
    <w:p>
      <w:pPr>
        <w:jc w:val="center"/>
      </w:pPr>
      <m:oMathPara>
        <m:oMath>
          <m:sSub>
            <m:e>
              <m:r>
                <m:t>θ</m:t>
              </m:r>
            </m:e>
            <m:sub>
              <m:r>
                <m:t>g</m:t>
              </m:r>
            </m:sub>
          </m:sSub>
          <m:r>
            <m:t>(t) = 20 + 345 log</m:t>
          </m:r>
          <m:sSub>
            <m:e>
              <m:r>
                <m:t/>
              </m:r>
            </m:e>
            <m:sub>
              <m:r>
                <m:t>10</m:t>
              </m:r>
            </m:sub>
          </m:sSub>
          <m:r>
            <m:t>(8t + 1)</m:t>
          </m:r>
        </m:oMath>
      </m:oMathPara>
    </w:p>
    <w:p>
      <w:r>
        <w:t>Courbe de feu extérieur, NF EN 1991-1-2, § 3.2.2 :</w:t>
      </w:r>
    </w:p>
    <w:p>
      <w:pPr>
        <w:jc w:val="center"/>
      </w:pPr>
      <m:oMathPara>
        <m:oMath>
          <m:sSub>
            <m:e>
              <m:r>
                <m:t>θ</m:t>
              </m:r>
            </m:e>
            <m:sub>
              <m:r>
                <m:t>g</m:t>
              </m:r>
            </m:sub>
          </m:sSub>
          <m:r>
            <m:t>(t) = 660[1 - 0,687</m:t>
          </m:r>
          <m:sSup>
            <m:e>
              <m:r>
                <m:t>e</m:t>
              </m:r>
            </m:e>
            <m:sup>
              <m:r>
                <m:t>-0,32t</m:t>
              </m:r>
            </m:sup>
          </m:sSup>
          <m:r>
            <m:t> - 0,313</m:t>
          </m:r>
          <m:sSup>
            <m:e>
              <m:r>
                <m:t>e</m:t>
              </m:r>
            </m:e>
            <m:sup>
              <m:r>
                <m:t>-3,8t</m:t>
              </m:r>
            </m:sup>
          </m:sSup>
          <m:r>
            <m:t>] + 20</m:t>
          </m:r>
        </m:oMath>
      </m:oMathPara>
    </w:p>
    <w:p>
      <w:r>
        <w:t>Flux convectif net, NF EN 1991-1-2, § 3.1 :</w:t>
      </w:r>
    </w:p>
    <w:p>
      <w:pPr>
        <w:jc w:val="center"/>
      </w:pPr>
      <m:oMathPara>
        <m:oMath>
          <m:sSub>
            <m:e>
              <m:r>
                <m:t>q</m:t>
              </m:r>
            </m:e>
            <m:sub>
              <m:r>
                <m:t>conv</m:t>
              </m:r>
            </m:sub>
          </m:sSub>
          <m:r>
            <m:t> = α</m:t>
          </m:r>
          <m:sSub>
            <m:e>
              <m:r>
                <m:t/>
              </m:r>
            </m:e>
            <m:sub>
              <m:r>
                <m:t>c</m:t>
              </m:r>
            </m:sub>
          </m:sSub>
          <m:r>
            <m:t>(</m:t>
          </m:r>
          <m:sSub>
            <m:e>
              <m:r>
                <m:t>θ</m:t>
              </m:r>
            </m:e>
            <m:sub>
              <m:r>
                <m:t>g</m:t>
              </m:r>
            </m:sub>
          </m:sSub>
          <m:r>
            <m:t> - </m:t>
          </m:r>
          <m:sSub>
            <m:e>
              <m:r>
                <m:t>θ</m:t>
              </m:r>
            </m:e>
            <m:sub>
              <m:r>
                <m:t>a</m:t>
              </m:r>
            </m:sub>
          </m:sSub>
          <m:r>
            <m:t>)</m:t>
          </m:r>
        </m:oMath>
      </m:oMathPara>
    </w:p>
    <w:p>
      <w:r>
        <w:t>Flux radiatif net, NF EN 1991-1-2, § 3.1 :</w:t>
      </w:r>
    </w:p>
    <w:p>
      <w:pPr>
        <w:jc w:val="center"/>
      </w:pPr>
      <m:oMathPara>
        <m:oMath>
          <m:sSub>
            <m:e>
              <m:r>
                <m:t>q</m:t>
              </m:r>
            </m:e>
            <m:sub>
              <m:r>
                <m:t>rad</m:t>
              </m:r>
            </m:sub>
          </m:sSub>
          <m:r>
            <m:t> = Φ ε</m:t>
          </m:r>
          <m:sSub>
            <m:e>
              <m:r>
                <m:t/>
              </m:r>
            </m:e>
            <m:sub>
              <m:r>
                <m:t>m</m:t>
              </m:r>
            </m:sub>
          </m:sSub>
          <m:r>
            <m:t> ε</m:t>
          </m:r>
          <m:sSub>
            <m:e>
              <m:r>
                <m:t/>
              </m:r>
            </m:e>
            <m:sub>
              <m:r>
                <m:t>f</m:t>
              </m:r>
            </m:sub>
          </m:sSub>
          <m:r>
            <m:t> σ [(</m:t>
          </m:r>
          <m:sSub>
            <m:e>
              <m:r>
                <m:t>θ</m:t>
              </m:r>
            </m:e>
            <m:sub>
              <m:r>
                <m:t>g</m:t>
              </m:r>
            </m:sub>
          </m:sSub>
          <m:r>
            <m:t> + 273,15)</m:t>
          </m:r>
          <m:sSup>
            <m:e>
              <m:r>
                <m:t/>
              </m:r>
            </m:e>
            <m:sup>
              <m:r>
                <m:t>4</m:t>
              </m:r>
            </m:sup>
          </m:sSup>
          <m:r>
            <m:t> - (</m:t>
          </m:r>
          <m:sSub>
            <m:e>
              <m:r>
                <m:t>θ</m:t>
              </m:r>
            </m:e>
            <m:sub>
              <m:r>
                <m:t>a</m:t>
              </m:r>
            </m:sub>
          </m:sSub>
          <m:r>
            <m:t> + 273,15)</m:t>
          </m:r>
          <m:sSup>
            <m:e>
              <m:r>
                <m:t/>
              </m:r>
            </m:e>
            <m:sup>
              <m:r>
                <m:t>4</m:t>
              </m:r>
            </m:sup>
          </m:sSup>
          <m:r>
            <m:t>]</m:t>
          </m:r>
        </m:oMath>
      </m:oMathPara>
    </w:p>
    <w:p>
      <w:r>
        <w:t>Facteur de section :</w:t>
      </w:r>
    </w:p>
    <w:p>
      <w:pPr>
        <w:jc w:val="center"/>
      </w:pPr>
      <m:oMathPara>
        <m:oMath>
          <m:f>
            <m:num>
              <m:sSub>
                <m:e>
                  <m:r>
                    <m:t>A</m:t>
                  </m:r>
                </m:e>
                <m:sub>
                  <m:r>
                    <m:t>m</m:t>
                  </m:r>
                </m:sub>
              </m:sSub>
            </m:num>
            <m:den>
              <m:r>
                <m:t>V</m:t>
              </m:r>
            </m:den>
          </m:f>
          <m:r>
            <m:t> = η</m:t>
          </m:r>
          <m:sSub>
            <m:e>
              <m:r>
                <m:t/>
              </m:r>
            </m:e>
            <m:sub>
              <m:r>
                <m:t>exp</m:t>
              </m:r>
            </m:sub>
          </m:sSub>
          <m:r>
            <m:t> </m:t>
          </m:r>
          <m:f>
            <m:num>
              <m:r>
                <m:t>4</m:t>
              </m:r>
            </m:num>
            <m:den>
              <m:r>
                <m:t>D</m:t>
              </m:r>
            </m:den>
          </m:f>
        </m:oMath>
      </m:oMathPara>
    </w:p>
    <w:p>
      <w:r>
        <w:t>Incrément de température, NF EN 1993-1-2, § 4.2.5.1 :</w:t>
      </w:r>
    </w:p>
    <w:p>
      <w:pPr>
        <w:jc w:val="center"/>
      </w:pPr>
      <m:oMathPara>
        <m:oMath>
          <m:r>
            <m:t>Δ</m:t>
          </m:r>
          <m:sSub>
            <m:e>
              <m:r>
                <m:t>θ</m:t>
              </m:r>
            </m:e>
            <m:sub>
              <m:r>
                <m:t>a,t</m:t>
              </m:r>
            </m:sub>
          </m:sSub>
          <m:r>
            <m:t> = </m:t>
          </m:r>
          <m:f>
            <m:num>
              <m:sSub>
                <m:e>
                  <m:r>
                    <m:t>k</m:t>
                  </m:r>
                </m:e>
                <m:sub>
                  <m:r>
                    <m:t>sh</m:t>
                  </m:r>
                </m:sub>
              </m:sSub>
              <m:r>
                <m:t> </m:t>
              </m:r>
              <m:f>
                <m:num>
                  <m:sSub>
                    <m:e>
                      <m:r>
                        <m:t>A</m:t>
                      </m:r>
                    </m:e>
                    <m:sub>
                      <m:r>
                        <m:t>m</m:t>
                      </m:r>
                    </m:sub>
                  </m:sSub>
                </m:num>
                <m:den>
                  <m:r>
                    <m:t>V</m:t>
                  </m:r>
                </m:den>
              </m:f>
              <m:r>
                <m:t> </m:t>
              </m:r>
              <m:sSub>
                <m:e>
                  <m:r>
                    <m:t>q</m:t>
                  </m:r>
                </m:e>
                <m:sub>
                  <m:r>
                    <m:t>net</m:t>
                  </m:r>
                </m:sub>
              </m:sSub>
              <m:r>
                <m:t> Δt</m:t>
              </m:r>
            </m:num>
            <m:den>
              <m:sSub>
                <m:e>
                  <m:r>
                    <m:t>ρ</m:t>
                  </m:r>
                </m:e>
                <m:sub>
                  <m:r>
                    <m:t>a</m:t>
                  </m:r>
                </m:sub>
              </m:sSub>
              <m:r>
                <m:t> </m:t>
              </m:r>
              <m:sSub>
                <m:e>
                  <m:r>
                    <m:t>c</m:t>
                  </m:r>
                </m:e>
                <m:sub>
                  <m:r>
                    <m:t>a</m:t>
                  </m:r>
                </m:sub>
              </m:sSub>
              <m:r>
                <m:t>(</m:t>
              </m:r>
              <m:sSub>
                <m:e>
                  <m:r>
                    <m:t>θ</m:t>
                  </m:r>
                </m:e>
                <m:sub>
                  <m:r>
                    <m:t>a</m:t>
                  </m:r>
                </m:sub>
              </m:sSub>
              <m:r>
                <m:t>)</m:t>
              </m:r>
            </m:den>
          </m:f>
        </m:oMath>
      </m:oMathPara>
    </w:p>
    <w:p>
      <w:pPr>
        <w:pStyle w:val="Heading1"/>
      </w:pPr>
      <w:r>
        <w:t>5. Résultats</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rPr>
              <w:t>Feu</w:t>
            </w:r>
          </w:p>
        </w:tc>
        <w:tc>
          <w:tcPr>
            <w:tcW w:type="dxa" w:w="1108"/>
          </w:tcPr>
          <w:p>
            <w:r>
              <w:rPr>
                <w:b/>
              </w:rPr>
              <w:t>Position</w:t>
            </w:r>
          </w:p>
        </w:tc>
        <w:tc>
          <w:tcPr>
            <w:tcW w:type="dxa" w:w="1108"/>
          </w:tcPr>
          <w:p>
            <w:r>
              <w:rPr>
                <w:b/>
              </w:rPr>
              <w:t>Coupe</w:t>
            </w:r>
          </w:p>
        </w:tc>
        <w:tc>
          <w:tcPr>
            <w:tcW w:type="dxa" w:w="1108"/>
          </w:tcPr>
          <w:p>
            <w:r>
              <w:rPr>
                <w:b/>
              </w:rPr>
              <w:t>Élément</w:t>
            </w:r>
          </w:p>
        </w:tc>
        <w:tc>
          <w:tcPr>
            <w:tcW w:type="dxa" w:w="1108"/>
          </w:tcPr>
          <w:p>
            <w:r>
              <w:rPr>
                <w:b/>
              </w:rPr>
              <w:t>T à 15 min (°C)</w:t>
            </w:r>
          </w:p>
        </w:tc>
        <w:tc>
          <w:tcPr>
            <w:tcW w:type="dxa" w:w="1108"/>
          </w:tcPr>
          <w:p>
            <w:r>
              <w:rPr>
                <w:b/>
              </w:rPr>
              <w:t>T à 30 min (°C)</w:t>
            </w:r>
          </w:p>
        </w:tc>
        <w:tc>
          <w:tcPr>
            <w:tcW w:type="dxa" w:w="1108"/>
          </w:tcPr>
          <w:p>
            <w:r>
              <w:rPr>
                <w:b/>
              </w:rPr>
              <w:t>T à 60 min (°C)</w:t>
            </w:r>
          </w:p>
        </w:tc>
        <w:tc>
          <w:tcPr>
            <w:tcW w:type="dxa" w:w="1108"/>
          </w:tcPr>
          <w:p>
            <w:r>
              <w:rPr>
                <w:b/>
              </w:rPr>
              <w:t>T à 90 min (°C)</w:t>
            </w:r>
          </w:p>
        </w:tc>
        <w:tc>
          <w:tcPr>
            <w:tcW w:type="dxa" w:w="1108"/>
          </w:tcPr>
          <w:p>
            <w:r>
              <w:rPr>
                <w:b/>
              </w:rPr>
              <w:t>T à 120 min (°C)</w:t>
            </w:r>
          </w:p>
        </w:tc>
      </w:tr>
      <w:tr>
        <w:tc>
          <w:tcPr>
            <w:tcW w:type="dxa" w:w="1108"/>
          </w:tcPr>
          <w:p>
            <w:r>
              <w:t>ISO 834</w:t>
            </w:r>
          </w:p>
        </w:tc>
        <w:tc>
          <w:tcPr>
            <w:tcW w:type="dxa" w:w="1108"/>
          </w:tcPr>
          <w:p>
            <w:r>
              <w:t>F1</w:t>
            </w:r>
          </w:p>
        </w:tc>
        <w:tc>
          <w:tcPr>
            <w:tcW w:type="dxa" w:w="1108"/>
          </w:tcPr>
          <w:p>
            <w:r>
              <w:t>OUEST</w:t>
            </w:r>
          </w:p>
        </w:tc>
        <w:tc>
          <w:tcPr>
            <w:tcW w:type="dxa" w:w="1108"/>
          </w:tcPr>
          <w:p>
            <w:r>
              <w:t>Suspente secondaire</w:t>
            </w:r>
          </w:p>
        </w:tc>
        <w:tc>
          <w:tcPr>
            <w:tcW w:type="dxa" w:w="1108"/>
          </w:tcPr>
          <w:p>
            <w:r>
              <w:t>555,3</w:t>
            </w:r>
          </w:p>
        </w:tc>
        <w:tc>
          <w:tcPr>
            <w:tcW w:type="dxa" w:w="1108"/>
          </w:tcPr>
          <w:p>
            <w:r>
              <w:t>761,6</w:t>
            </w:r>
          </w:p>
        </w:tc>
        <w:tc>
          <w:tcPr>
            <w:tcW w:type="dxa" w:w="1108"/>
          </w:tcPr>
          <w:p>
            <w:r>
              <w:t>937,8</w:t>
            </w:r>
          </w:p>
        </w:tc>
        <w:tc>
          <w:tcPr>
            <w:tcW w:type="dxa" w:w="1108"/>
          </w:tcPr>
          <w:p>
            <w:r>
              <w:t>1001,8</w:t>
            </w:r>
          </w:p>
        </w:tc>
        <w:tc>
          <w:tcPr>
            <w:tcW w:type="dxa" w:w="1108"/>
          </w:tcPr>
          <w:p>
            <w:r>
              <w:t>1046,2</w:t>
            </w:r>
          </w:p>
        </w:tc>
      </w:tr>
      <w:tr>
        <w:tc>
          <w:tcPr>
            <w:tcW w:type="dxa" w:w="1108"/>
          </w:tcPr>
          <w:p>
            <w:r>
              <w:t>ISO 834</w:t>
            </w:r>
          </w:p>
        </w:tc>
        <w:tc>
          <w:tcPr>
            <w:tcW w:type="dxa" w:w="1108"/>
          </w:tcPr>
          <w:p>
            <w:r>
              <w:t>F1</w:t>
            </w:r>
          </w:p>
        </w:tc>
        <w:tc>
          <w:tcPr>
            <w:tcW w:type="dxa" w:w="1108"/>
          </w:tcPr>
          <w:p>
            <w:r>
              <w:t>OUEST</w:t>
            </w:r>
          </w:p>
        </w:tc>
        <w:tc>
          <w:tcPr>
            <w:tcW w:type="dxa" w:w="1108"/>
          </w:tcPr>
          <w:p>
            <w:r>
              <w:t>Câble principal clos</w:t>
            </w:r>
          </w:p>
        </w:tc>
        <w:tc>
          <w:tcPr>
            <w:tcW w:type="dxa" w:w="1108"/>
          </w:tcPr>
          <w:p>
            <w:r>
              <w:t>268,3</w:t>
            </w:r>
          </w:p>
        </w:tc>
        <w:tc>
          <w:tcPr>
            <w:tcW w:type="dxa" w:w="1108"/>
          </w:tcPr>
          <w:p>
            <w:r>
              <w:t>558,2</w:t>
            </w:r>
          </w:p>
        </w:tc>
        <w:tc>
          <w:tcPr>
            <w:tcW w:type="dxa" w:w="1108"/>
          </w:tcPr>
          <w:p>
            <w:r>
              <w:t>838,4</w:t>
            </w:r>
          </w:p>
        </w:tc>
        <w:tc>
          <w:tcPr>
            <w:tcW w:type="dxa" w:w="1108"/>
          </w:tcPr>
          <w:p>
            <w:r>
              <w:t>987,8</w:t>
            </w:r>
          </w:p>
        </w:tc>
        <w:tc>
          <w:tcPr>
            <w:tcW w:type="dxa" w:w="1108"/>
          </w:tcPr>
          <w:p>
            <w:r>
              <w:t>1039,2</w:t>
            </w:r>
          </w:p>
        </w:tc>
      </w:tr>
      <w:tr>
        <w:tc>
          <w:tcPr>
            <w:tcW w:type="dxa" w:w="1108"/>
          </w:tcPr>
          <w:p>
            <w:r>
              <w:t>ISO 834</w:t>
            </w:r>
          </w:p>
        </w:tc>
        <w:tc>
          <w:tcPr>
            <w:tcW w:type="dxa" w:w="1108"/>
          </w:tcPr>
          <w:p>
            <w:r>
              <w:t>F2</w:t>
            </w:r>
          </w:p>
        </w:tc>
        <w:tc>
          <w:tcPr>
            <w:tcW w:type="dxa" w:w="1108"/>
          </w:tcPr>
          <w:p>
            <w:r>
              <w:t>AXE</w:t>
            </w:r>
          </w:p>
        </w:tc>
        <w:tc>
          <w:tcPr>
            <w:tcW w:type="dxa" w:w="1108"/>
          </w:tcPr>
          <w:p>
            <w:r>
              <w:t>Suspente secondaire</w:t>
            </w:r>
          </w:p>
        </w:tc>
        <w:tc>
          <w:tcPr>
            <w:tcW w:type="dxa" w:w="1108"/>
          </w:tcPr>
          <w:p>
            <w:r>
              <w:t>555,3</w:t>
            </w:r>
          </w:p>
        </w:tc>
        <w:tc>
          <w:tcPr>
            <w:tcW w:type="dxa" w:w="1108"/>
          </w:tcPr>
          <w:p>
            <w:r>
              <w:t>761,6</w:t>
            </w:r>
          </w:p>
        </w:tc>
        <w:tc>
          <w:tcPr>
            <w:tcW w:type="dxa" w:w="1108"/>
          </w:tcPr>
          <w:p>
            <w:r>
              <w:t>937,8</w:t>
            </w:r>
          </w:p>
        </w:tc>
        <w:tc>
          <w:tcPr>
            <w:tcW w:type="dxa" w:w="1108"/>
          </w:tcPr>
          <w:p>
            <w:r>
              <w:t>1001,8</w:t>
            </w:r>
          </w:p>
        </w:tc>
        <w:tc>
          <w:tcPr>
            <w:tcW w:type="dxa" w:w="1108"/>
          </w:tcPr>
          <w:p>
            <w:r>
              <w:t>1046,2</w:t>
            </w:r>
          </w:p>
        </w:tc>
      </w:tr>
      <w:tr>
        <w:tc>
          <w:tcPr>
            <w:tcW w:type="dxa" w:w="1108"/>
          </w:tcPr>
          <w:p>
            <w:r>
              <w:t>ISO 834</w:t>
            </w:r>
          </w:p>
        </w:tc>
        <w:tc>
          <w:tcPr>
            <w:tcW w:type="dxa" w:w="1108"/>
          </w:tcPr>
          <w:p>
            <w:r>
              <w:t>F2</w:t>
            </w:r>
          </w:p>
        </w:tc>
        <w:tc>
          <w:tcPr>
            <w:tcW w:type="dxa" w:w="1108"/>
          </w:tcPr>
          <w:p>
            <w:r>
              <w:t>AXE</w:t>
            </w:r>
          </w:p>
        </w:tc>
        <w:tc>
          <w:tcPr>
            <w:tcW w:type="dxa" w:w="1108"/>
          </w:tcPr>
          <w:p>
            <w:r>
              <w:t>Câble principal clos</w:t>
            </w:r>
          </w:p>
        </w:tc>
        <w:tc>
          <w:tcPr>
            <w:tcW w:type="dxa" w:w="1108"/>
          </w:tcPr>
          <w:p>
            <w:r>
              <w:t>268,3</w:t>
            </w:r>
          </w:p>
        </w:tc>
        <w:tc>
          <w:tcPr>
            <w:tcW w:type="dxa" w:w="1108"/>
          </w:tcPr>
          <w:p>
            <w:r>
              <w:t>558,2</w:t>
            </w:r>
          </w:p>
        </w:tc>
        <w:tc>
          <w:tcPr>
            <w:tcW w:type="dxa" w:w="1108"/>
          </w:tcPr>
          <w:p>
            <w:r>
              <w:t>838,4</w:t>
            </w:r>
          </w:p>
        </w:tc>
        <w:tc>
          <w:tcPr>
            <w:tcW w:type="dxa" w:w="1108"/>
          </w:tcPr>
          <w:p>
            <w:r>
              <w:t>987,8</w:t>
            </w:r>
          </w:p>
        </w:tc>
        <w:tc>
          <w:tcPr>
            <w:tcW w:type="dxa" w:w="1108"/>
          </w:tcPr>
          <w:p>
            <w:r>
              <w:t>1039,2</w:t>
            </w:r>
          </w:p>
        </w:tc>
      </w:tr>
      <w:tr>
        <w:tc>
          <w:tcPr>
            <w:tcW w:type="dxa" w:w="1108"/>
          </w:tcPr>
          <w:p>
            <w:r>
              <w:t>ISO 834</w:t>
            </w:r>
          </w:p>
        </w:tc>
        <w:tc>
          <w:tcPr>
            <w:tcW w:type="dxa" w:w="1108"/>
          </w:tcPr>
          <w:p>
            <w:r>
              <w:t>F3</w:t>
            </w:r>
          </w:p>
        </w:tc>
        <w:tc>
          <w:tcPr>
            <w:tcW w:type="dxa" w:w="1108"/>
          </w:tcPr>
          <w:p>
            <w:r>
              <w:t>EST</w:t>
            </w:r>
          </w:p>
        </w:tc>
        <w:tc>
          <w:tcPr>
            <w:tcW w:type="dxa" w:w="1108"/>
          </w:tcPr>
          <w:p>
            <w:r>
              <w:t>Suspente secondaire</w:t>
            </w:r>
          </w:p>
        </w:tc>
        <w:tc>
          <w:tcPr>
            <w:tcW w:type="dxa" w:w="1108"/>
          </w:tcPr>
          <w:p>
            <w:r>
              <w:t>555,3</w:t>
            </w:r>
          </w:p>
        </w:tc>
        <w:tc>
          <w:tcPr>
            <w:tcW w:type="dxa" w:w="1108"/>
          </w:tcPr>
          <w:p>
            <w:r>
              <w:t>761,6</w:t>
            </w:r>
          </w:p>
        </w:tc>
        <w:tc>
          <w:tcPr>
            <w:tcW w:type="dxa" w:w="1108"/>
          </w:tcPr>
          <w:p>
            <w:r>
              <w:t>937,8</w:t>
            </w:r>
          </w:p>
        </w:tc>
        <w:tc>
          <w:tcPr>
            <w:tcW w:type="dxa" w:w="1108"/>
          </w:tcPr>
          <w:p>
            <w:r>
              <w:t>1001,8</w:t>
            </w:r>
          </w:p>
        </w:tc>
        <w:tc>
          <w:tcPr>
            <w:tcW w:type="dxa" w:w="1108"/>
          </w:tcPr>
          <w:p>
            <w:r>
              <w:t>1046,2</w:t>
            </w:r>
          </w:p>
        </w:tc>
      </w:tr>
      <w:tr>
        <w:tc>
          <w:tcPr>
            <w:tcW w:type="dxa" w:w="1108"/>
          </w:tcPr>
          <w:p>
            <w:r>
              <w:t>ISO 834</w:t>
            </w:r>
          </w:p>
        </w:tc>
        <w:tc>
          <w:tcPr>
            <w:tcW w:type="dxa" w:w="1108"/>
          </w:tcPr>
          <w:p>
            <w:r>
              <w:t>F3</w:t>
            </w:r>
          </w:p>
        </w:tc>
        <w:tc>
          <w:tcPr>
            <w:tcW w:type="dxa" w:w="1108"/>
          </w:tcPr>
          <w:p>
            <w:r>
              <w:t>EST</w:t>
            </w:r>
          </w:p>
        </w:tc>
        <w:tc>
          <w:tcPr>
            <w:tcW w:type="dxa" w:w="1108"/>
          </w:tcPr>
          <w:p>
            <w:r>
              <w:t>Câble principal clos</w:t>
            </w:r>
          </w:p>
        </w:tc>
        <w:tc>
          <w:tcPr>
            <w:tcW w:type="dxa" w:w="1108"/>
          </w:tcPr>
          <w:p>
            <w:r>
              <w:t>268,3</w:t>
            </w:r>
          </w:p>
        </w:tc>
        <w:tc>
          <w:tcPr>
            <w:tcW w:type="dxa" w:w="1108"/>
          </w:tcPr>
          <w:p>
            <w:r>
              <w:t>558,2</w:t>
            </w:r>
          </w:p>
        </w:tc>
        <w:tc>
          <w:tcPr>
            <w:tcW w:type="dxa" w:w="1108"/>
          </w:tcPr>
          <w:p>
            <w:r>
              <w:t>838,4</w:t>
            </w:r>
          </w:p>
        </w:tc>
        <w:tc>
          <w:tcPr>
            <w:tcW w:type="dxa" w:w="1108"/>
          </w:tcPr>
          <w:p>
            <w:r>
              <w:t>987,8</w:t>
            </w:r>
          </w:p>
        </w:tc>
        <w:tc>
          <w:tcPr>
            <w:tcW w:type="dxa" w:w="1108"/>
          </w:tcPr>
          <w:p>
            <w:r>
              <w:t>1039,2</w:t>
            </w:r>
          </w:p>
        </w:tc>
      </w:tr>
      <w:tr>
        <w:tc>
          <w:tcPr>
            <w:tcW w:type="dxa" w:w="1108"/>
          </w:tcPr>
          <w:p>
            <w:r>
              <w:t>Feu extérieur</w:t>
            </w:r>
          </w:p>
        </w:tc>
        <w:tc>
          <w:tcPr>
            <w:tcW w:type="dxa" w:w="1108"/>
          </w:tcPr>
          <w:p>
            <w:r>
              <w:t>F1</w:t>
            </w:r>
          </w:p>
        </w:tc>
        <w:tc>
          <w:tcPr>
            <w:tcW w:type="dxa" w:w="1108"/>
          </w:tcPr>
          <w:p>
            <w:r>
              <w:t>OUEST</w:t>
            </w:r>
          </w:p>
        </w:tc>
        <w:tc>
          <w:tcPr>
            <w:tcW w:type="dxa" w:w="1108"/>
          </w:tcPr>
          <w:p>
            <w:r>
              <w:t>Suspente secondaire</w:t>
            </w:r>
          </w:p>
        </w:tc>
        <w:tc>
          <w:tcPr>
            <w:tcW w:type="dxa" w:w="1108"/>
          </w:tcPr>
          <w:p>
            <w:r>
              <w:t>527,0</w:t>
            </w:r>
          </w:p>
        </w:tc>
        <w:tc>
          <w:tcPr>
            <w:tcW w:type="dxa" w:w="1108"/>
          </w:tcPr>
          <w:p>
            <w:r>
              <w:t>661,1</w:t>
            </w:r>
          </w:p>
        </w:tc>
        <w:tc>
          <w:tcPr>
            <w:tcW w:type="dxa" w:w="1108"/>
          </w:tcPr>
          <w:p>
            <w:r>
              <w:t>679,7</w:t>
            </w:r>
          </w:p>
        </w:tc>
        <w:tc>
          <w:tcPr>
            <w:tcW w:type="dxa" w:w="1108"/>
          </w:tcPr>
          <w:p>
            <w:r>
              <w:t>680,0</w:t>
            </w:r>
          </w:p>
        </w:tc>
        <w:tc>
          <w:tcPr>
            <w:tcW w:type="dxa" w:w="1108"/>
          </w:tcPr>
          <w:p>
            <w:r>
              <w:t>680,0</w:t>
            </w:r>
          </w:p>
        </w:tc>
      </w:tr>
      <w:tr>
        <w:tc>
          <w:tcPr>
            <w:tcW w:type="dxa" w:w="1108"/>
          </w:tcPr>
          <w:p>
            <w:r>
              <w:t>Feu extérieur</w:t>
            </w:r>
          </w:p>
        </w:tc>
        <w:tc>
          <w:tcPr>
            <w:tcW w:type="dxa" w:w="1108"/>
          </w:tcPr>
          <w:p>
            <w:r>
              <w:t>F1</w:t>
            </w:r>
          </w:p>
        </w:tc>
        <w:tc>
          <w:tcPr>
            <w:tcW w:type="dxa" w:w="1108"/>
          </w:tcPr>
          <w:p>
            <w:r>
              <w:t>OUEST</w:t>
            </w:r>
          </w:p>
        </w:tc>
        <w:tc>
          <w:tcPr>
            <w:tcW w:type="dxa" w:w="1108"/>
          </w:tcPr>
          <w:p>
            <w:r>
              <w:t>Câble principal clos</w:t>
            </w:r>
          </w:p>
        </w:tc>
        <w:tc>
          <w:tcPr>
            <w:tcW w:type="dxa" w:w="1108"/>
          </w:tcPr>
          <w:p>
            <w:r>
              <w:t>255,3</w:t>
            </w:r>
          </w:p>
        </w:tc>
        <w:tc>
          <w:tcPr>
            <w:tcW w:type="dxa" w:w="1108"/>
          </w:tcPr>
          <w:p>
            <w:r>
              <w:t>454,7</w:t>
            </w:r>
          </w:p>
        </w:tc>
        <w:tc>
          <w:tcPr>
            <w:tcW w:type="dxa" w:w="1108"/>
          </w:tcPr>
          <w:p>
            <w:r>
              <w:t>621,1</w:t>
            </w:r>
          </w:p>
        </w:tc>
        <w:tc>
          <w:tcPr>
            <w:tcW w:type="dxa" w:w="1108"/>
          </w:tcPr>
          <w:p>
            <w:r>
              <w:t>664,5</w:t>
            </w:r>
          </w:p>
        </w:tc>
        <w:tc>
          <w:tcPr>
            <w:tcW w:type="dxa" w:w="1108"/>
          </w:tcPr>
          <w:p>
            <w:r>
              <w:t>675,8</w:t>
            </w:r>
          </w:p>
        </w:tc>
      </w:tr>
      <w:tr>
        <w:tc>
          <w:tcPr>
            <w:tcW w:type="dxa" w:w="1108"/>
          </w:tcPr>
          <w:p>
            <w:r>
              <w:t>Feu extérieur</w:t>
            </w:r>
          </w:p>
        </w:tc>
        <w:tc>
          <w:tcPr>
            <w:tcW w:type="dxa" w:w="1108"/>
          </w:tcPr>
          <w:p>
            <w:r>
              <w:t>F2</w:t>
            </w:r>
          </w:p>
        </w:tc>
        <w:tc>
          <w:tcPr>
            <w:tcW w:type="dxa" w:w="1108"/>
          </w:tcPr>
          <w:p>
            <w:r>
              <w:t>AXE</w:t>
            </w:r>
          </w:p>
        </w:tc>
        <w:tc>
          <w:tcPr>
            <w:tcW w:type="dxa" w:w="1108"/>
          </w:tcPr>
          <w:p>
            <w:r>
              <w:t>Suspente secondaire</w:t>
            </w:r>
          </w:p>
        </w:tc>
        <w:tc>
          <w:tcPr>
            <w:tcW w:type="dxa" w:w="1108"/>
          </w:tcPr>
          <w:p>
            <w:r>
              <w:t>527,0</w:t>
            </w:r>
          </w:p>
        </w:tc>
        <w:tc>
          <w:tcPr>
            <w:tcW w:type="dxa" w:w="1108"/>
          </w:tcPr>
          <w:p>
            <w:r>
              <w:t>661,1</w:t>
            </w:r>
          </w:p>
        </w:tc>
        <w:tc>
          <w:tcPr>
            <w:tcW w:type="dxa" w:w="1108"/>
          </w:tcPr>
          <w:p>
            <w:r>
              <w:t>679,7</w:t>
            </w:r>
          </w:p>
        </w:tc>
        <w:tc>
          <w:tcPr>
            <w:tcW w:type="dxa" w:w="1108"/>
          </w:tcPr>
          <w:p>
            <w:r>
              <w:t>680,0</w:t>
            </w:r>
          </w:p>
        </w:tc>
        <w:tc>
          <w:tcPr>
            <w:tcW w:type="dxa" w:w="1108"/>
          </w:tcPr>
          <w:p>
            <w:r>
              <w:t>680,0</w:t>
            </w:r>
          </w:p>
        </w:tc>
      </w:tr>
      <w:tr>
        <w:tc>
          <w:tcPr>
            <w:tcW w:type="dxa" w:w="1108"/>
          </w:tcPr>
          <w:p>
            <w:r>
              <w:t>Feu extérieur</w:t>
            </w:r>
          </w:p>
        </w:tc>
        <w:tc>
          <w:tcPr>
            <w:tcW w:type="dxa" w:w="1108"/>
          </w:tcPr>
          <w:p>
            <w:r>
              <w:t>F2</w:t>
            </w:r>
          </w:p>
        </w:tc>
        <w:tc>
          <w:tcPr>
            <w:tcW w:type="dxa" w:w="1108"/>
          </w:tcPr>
          <w:p>
            <w:r>
              <w:t>AXE</w:t>
            </w:r>
          </w:p>
        </w:tc>
        <w:tc>
          <w:tcPr>
            <w:tcW w:type="dxa" w:w="1108"/>
          </w:tcPr>
          <w:p>
            <w:r>
              <w:t>Câble principal clos</w:t>
            </w:r>
          </w:p>
        </w:tc>
        <w:tc>
          <w:tcPr>
            <w:tcW w:type="dxa" w:w="1108"/>
          </w:tcPr>
          <w:p>
            <w:r>
              <w:t>255,3</w:t>
            </w:r>
          </w:p>
        </w:tc>
        <w:tc>
          <w:tcPr>
            <w:tcW w:type="dxa" w:w="1108"/>
          </w:tcPr>
          <w:p>
            <w:r>
              <w:t>454,7</w:t>
            </w:r>
          </w:p>
        </w:tc>
        <w:tc>
          <w:tcPr>
            <w:tcW w:type="dxa" w:w="1108"/>
          </w:tcPr>
          <w:p>
            <w:r>
              <w:t>621,1</w:t>
            </w:r>
          </w:p>
        </w:tc>
        <w:tc>
          <w:tcPr>
            <w:tcW w:type="dxa" w:w="1108"/>
          </w:tcPr>
          <w:p>
            <w:r>
              <w:t>664,5</w:t>
            </w:r>
          </w:p>
        </w:tc>
        <w:tc>
          <w:tcPr>
            <w:tcW w:type="dxa" w:w="1108"/>
          </w:tcPr>
          <w:p>
            <w:r>
              <w:t>675,8</w:t>
            </w:r>
          </w:p>
        </w:tc>
      </w:tr>
      <w:tr>
        <w:tc>
          <w:tcPr>
            <w:tcW w:type="dxa" w:w="1108"/>
          </w:tcPr>
          <w:p>
            <w:r>
              <w:t>Feu extérieur</w:t>
            </w:r>
          </w:p>
        </w:tc>
        <w:tc>
          <w:tcPr>
            <w:tcW w:type="dxa" w:w="1108"/>
          </w:tcPr>
          <w:p>
            <w:r>
              <w:t>F3</w:t>
            </w:r>
          </w:p>
        </w:tc>
        <w:tc>
          <w:tcPr>
            <w:tcW w:type="dxa" w:w="1108"/>
          </w:tcPr>
          <w:p>
            <w:r>
              <w:t>EST</w:t>
            </w:r>
          </w:p>
        </w:tc>
        <w:tc>
          <w:tcPr>
            <w:tcW w:type="dxa" w:w="1108"/>
          </w:tcPr>
          <w:p>
            <w:r>
              <w:t>Suspente secondaire</w:t>
            </w:r>
          </w:p>
        </w:tc>
        <w:tc>
          <w:tcPr>
            <w:tcW w:type="dxa" w:w="1108"/>
          </w:tcPr>
          <w:p>
            <w:r>
              <w:t>527,0</w:t>
            </w:r>
          </w:p>
        </w:tc>
        <w:tc>
          <w:tcPr>
            <w:tcW w:type="dxa" w:w="1108"/>
          </w:tcPr>
          <w:p>
            <w:r>
              <w:t>661,1</w:t>
            </w:r>
          </w:p>
        </w:tc>
        <w:tc>
          <w:tcPr>
            <w:tcW w:type="dxa" w:w="1108"/>
          </w:tcPr>
          <w:p>
            <w:r>
              <w:t>679,7</w:t>
            </w:r>
          </w:p>
        </w:tc>
        <w:tc>
          <w:tcPr>
            <w:tcW w:type="dxa" w:w="1108"/>
          </w:tcPr>
          <w:p>
            <w:r>
              <w:t>680,0</w:t>
            </w:r>
          </w:p>
        </w:tc>
        <w:tc>
          <w:tcPr>
            <w:tcW w:type="dxa" w:w="1108"/>
          </w:tcPr>
          <w:p>
            <w:r>
              <w:t>680,0</w:t>
            </w:r>
          </w:p>
        </w:tc>
      </w:tr>
      <w:tr>
        <w:tc>
          <w:tcPr>
            <w:tcW w:type="dxa" w:w="1108"/>
          </w:tcPr>
          <w:p>
            <w:r>
              <w:t>Feu extérieur</w:t>
            </w:r>
          </w:p>
        </w:tc>
        <w:tc>
          <w:tcPr>
            <w:tcW w:type="dxa" w:w="1108"/>
          </w:tcPr>
          <w:p>
            <w:r>
              <w:t>F3</w:t>
            </w:r>
          </w:p>
        </w:tc>
        <w:tc>
          <w:tcPr>
            <w:tcW w:type="dxa" w:w="1108"/>
          </w:tcPr>
          <w:p>
            <w:r>
              <w:t>EST</w:t>
            </w:r>
          </w:p>
        </w:tc>
        <w:tc>
          <w:tcPr>
            <w:tcW w:type="dxa" w:w="1108"/>
          </w:tcPr>
          <w:p>
            <w:r>
              <w:t>Câble principal clos</w:t>
            </w:r>
          </w:p>
        </w:tc>
        <w:tc>
          <w:tcPr>
            <w:tcW w:type="dxa" w:w="1108"/>
          </w:tcPr>
          <w:p>
            <w:r>
              <w:t>255,3</w:t>
            </w:r>
          </w:p>
        </w:tc>
        <w:tc>
          <w:tcPr>
            <w:tcW w:type="dxa" w:w="1108"/>
          </w:tcPr>
          <w:p>
            <w:r>
              <w:t>454,7</w:t>
            </w:r>
          </w:p>
        </w:tc>
        <w:tc>
          <w:tcPr>
            <w:tcW w:type="dxa" w:w="1108"/>
          </w:tcPr>
          <w:p>
            <w:r>
              <w:t>621,1</w:t>
            </w:r>
          </w:p>
        </w:tc>
        <w:tc>
          <w:tcPr>
            <w:tcW w:type="dxa" w:w="1108"/>
          </w:tcPr>
          <w:p>
            <w:r>
              <w:t>664,5</w:t>
            </w:r>
          </w:p>
        </w:tc>
        <w:tc>
          <w:tcPr>
            <w:tcW w:type="dxa" w:w="1108"/>
          </w:tcPr>
          <w:p>
            <w:r>
              <w:t>675,8</w:t>
            </w:r>
          </w:p>
        </w:tc>
      </w:tr>
    </w:tbl>
    <w:p>
      <w:pPr>
        <w:jc w:val="center"/>
      </w:pPr>
      <w:r>
        <w:drawing>
          <wp:inline xmlns:a="http://schemas.openxmlformats.org/drawingml/2006/main" xmlns:pic="http://schemas.openxmlformats.org/drawingml/2006/picture">
            <wp:extent cx="5760000" cy="3225200"/>
            <wp:docPr id="8" name="Picture 8"/>
            <wp:cNvGraphicFramePr>
              <a:graphicFrameLocks noChangeAspect="1"/>
            </wp:cNvGraphicFramePr>
            <a:graphic>
              <a:graphicData uri="http://schemas.openxmlformats.org/drawingml/2006/picture">
                <pic:pic>
                  <pic:nvPicPr>
                    <pic:cNvPr id="0" name="01_courbes_feu.png"/>
                    <pic:cNvPicPr/>
                  </pic:nvPicPr>
                  <pic:blipFill>
                    <a:blip r:embed="rId16"/>
                    <a:stretch>
                      <a:fillRect/>
                    </a:stretch>
                  </pic:blipFill>
                  <pic:spPr>
                    <a:xfrm>
                      <a:off x="0" y="0"/>
                      <a:ext cx="5760000" cy="3225200"/>
                    </a:xfrm>
                    <a:prstGeom prst="rect"/>
                  </pic:spPr>
                </pic:pic>
              </a:graphicData>
            </a:graphic>
          </wp:inline>
        </w:drawing>
      </w:r>
    </w:p>
    <w:p>
      <w:pPr>
        <w:jc w:val="center"/>
      </w:pPr>
      <w:r>
        <w:rPr>
          <w:i/>
        </w:rPr>
        <w:t>Figure 8 - Courbes nominales température-temps</w:t>
      </w:r>
    </w:p>
    <w:p>
      <w:pPr>
        <w:jc w:val="center"/>
      </w:pPr>
      <w:r>
        <w:drawing>
          <wp:inline xmlns:a="http://schemas.openxmlformats.org/drawingml/2006/main" xmlns:pic="http://schemas.openxmlformats.org/drawingml/2006/picture">
            <wp:extent cx="5760000" cy="3227068"/>
            <wp:docPr id="9" name="Picture 9"/>
            <wp:cNvGraphicFramePr>
              <a:graphicFrameLocks noChangeAspect="1"/>
            </wp:cNvGraphicFramePr>
            <a:graphic>
              <a:graphicData uri="http://schemas.openxmlformats.org/drawingml/2006/picture">
                <pic:pic>
                  <pic:nvPicPr>
                    <pic:cNvPr id="0" name="02_coupes_geometriques.png"/>
                    <pic:cNvPicPr/>
                  </pic:nvPicPr>
                  <pic:blipFill>
                    <a:blip r:embed="rId17"/>
                    <a:stretch>
                      <a:fillRect/>
                    </a:stretch>
                  </pic:blipFill>
                  <pic:spPr>
                    <a:xfrm>
                      <a:off x="0" y="0"/>
                      <a:ext cx="5760000" cy="3227068"/>
                    </a:xfrm>
                    <a:prstGeom prst="rect"/>
                  </pic:spPr>
                </pic:pic>
              </a:graphicData>
            </a:graphic>
          </wp:inline>
        </w:drawing>
      </w:r>
    </w:p>
    <w:p>
      <w:pPr>
        <w:jc w:val="center"/>
      </w:pPr>
      <w:r>
        <w:rPr>
          <w:i/>
        </w:rPr>
        <w:t>Figure 9 - Trois coupes de référence</w:t>
      </w:r>
    </w:p>
    <w:p>
      <w:pPr>
        <w:jc w:val="center"/>
      </w:pPr>
      <w:r>
        <w:drawing>
          <wp:inline xmlns:a="http://schemas.openxmlformats.org/drawingml/2006/main" xmlns:pic="http://schemas.openxmlformats.org/drawingml/2006/picture">
            <wp:extent cx="5760000" cy="3225200"/>
            <wp:docPr id="10" name="Picture 10"/>
            <wp:cNvGraphicFramePr>
              <a:graphicFrameLocks noChangeAspect="1"/>
            </wp:cNvGraphicFramePr>
            <a:graphic>
              <a:graphicData uri="http://schemas.openxmlformats.org/drawingml/2006/picture">
                <pic:pic>
                  <pic:nvPicPr>
                    <pic:cNvPr id="0" name="03_suspentes.png"/>
                    <pic:cNvPicPr/>
                  </pic:nvPicPr>
                  <pic:blipFill>
                    <a:blip r:embed="rId18"/>
                    <a:stretch>
                      <a:fillRect/>
                    </a:stretch>
                  </pic:blipFill>
                  <pic:spPr>
                    <a:xfrm>
                      <a:off x="0" y="0"/>
                      <a:ext cx="5760000" cy="3225200"/>
                    </a:xfrm>
                    <a:prstGeom prst="rect"/>
                  </pic:spPr>
                </pic:pic>
              </a:graphicData>
            </a:graphic>
          </wp:inline>
        </w:drawing>
      </w:r>
    </w:p>
    <w:p>
      <w:pPr>
        <w:jc w:val="center"/>
      </w:pPr>
      <w:r>
        <w:rPr>
          <w:i/>
        </w:rPr>
        <w:t>Échauffement - Suspente secondaire</w:t>
      </w:r>
    </w:p>
    <w:p>
      <w:pPr>
        <w:jc w:val="center"/>
      </w:pPr>
      <w:r>
        <w:drawing>
          <wp:inline xmlns:a="http://schemas.openxmlformats.org/drawingml/2006/main" xmlns:pic="http://schemas.openxmlformats.org/drawingml/2006/picture">
            <wp:extent cx="5760000" cy="3225200"/>
            <wp:docPr id="11" name="Picture 11"/>
            <wp:cNvGraphicFramePr>
              <a:graphicFrameLocks noChangeAspect="1"/>
            </wp:cNvGraphicFramePr>
            <a:graphic>
              <a:graphicData uri="http://schemas.openxmlformats.org/drawingml/2006/picture">
                <pic:pic>
                  <pic:nvPicPr>
                    <pic:cNvPr id="0" name="04_cable_principal.png"/>
                    <pic:cNvPicPr/>
                  </pic:nvPicPr>
                  <pic:blipFill>
                    <a:blip r:embed="rId19"/>
                    <a:stretch>
                      <a:fillRect/>
                    </a:stretch>
                  </pic:blipFill>
                  <pic:spPr>
                    <a:xfrm>
                      <a:off x="0" y="0"/>
                      <a:ext cx="5760000" cy="3225200"/>
                    </a:xfrm>
                    <a:prstGeom prst="rect"/>
                  </pic:spPr>
                </pic:pic>
              </a:graphicData>
            </a:graphic>
          </wp:inline>
        </w:drawing>
      </w:r>
    </w:p>
    <w:p>
      <w:pPr>
        <w:jc w:val="center"/>
      </w:pPr>
      <w:r>
        <w:rPr>
          <w:i/>
        </w:rPr>
        <w:t>Échauffement - Câble principal clos</w:t>
      </w:r>
    </w:p>
    <w:p>
      <w:pPr>
        <w:pStyle w:val="Heading1"/>
      </w:pPr>
      <w:r>
        <w:t>6. Limites</w:t>
      </w:r>
    </w:p>
    <w:p>
      <w:r>
        <w:t>Le facteur de configuration Φ vaut 1,0. Les longueurs de foyer sont paramétrées, mais elles ne modifient pas encore le flux tant qu'un facteur de forme géométrique n'est pas introduit.</w:t>
      </w:r>
    </w:p>
    <w:p>
      <w:r>
        <w:br w:type="page"/>
      </w:r>
    </w:p>
    <w:p>
      <w:pPr>
        <w:pStyle w:val="Heading1"/>
      </w:pPr>
      <w:r>
        <w:t>Annexe A - Calcul détaillé du cas critique à 30 min</w:t>
      </w:r>
    </w:p>
    <w:p>
      <w:r>
        <w:t>Cas retenu : ISO 834 - Position ouest - coupe OUEST - Suspente secondaire - foyer 10,0 m.</w:t>
      </w:r>
    </w:p>
    <w:tbl>
      <w:tblPr>
        <w:tblStyle w:val="TableGrid"/>
        <w:tblW w:type="auto" w:w="0"/>
        <w:tblLook w:firstColumn="1" w:firstRow="1" w:lastColumn="0" w:lastRow="0" w:noHBand="0" w:noVBand="1" w:val="04A0"/>
      </w:tblPr>
      <w:tblGrid>
        <w:gridCol w:w="4986"/>
        <w:gridCol w:w="4986"/>
      </w:tblGrid>
      <w:tr>
        <w:tc>
          <w:tcPr>
            <w:tcW w:type="dxa" w:w="4986"/>
          </w:tcPr>
          <w:p>
            <w:r>
              <w:rPr>
                <w:b/>
              </w:rPr>
              <w:t>Grandeur</w:t>
            </w:r>
          </w:p>
        </w:tc>
        <w:tc>
          <w:tcPr>
            <w:tcW w:type="dxa" w:w="4986"/>
          </w:tcPr>
          <w:p>
            <w:r>
              <w:rPr>
                <w:b/>
              </w:rPr>
              <w:t>Valeur</w:t>
            </w:r>
          </w:p>
        </w:tc>
      </w:tr>
      <w:tr>
        <w:tc>
          <w:tcPr>
            <w:tcW w:type="dxa" w:w="4986"/>
          </w:tcPr>
          <w:p>
            <w:r>
              <w:t>Diamètre D</w:t>
            </w:r>
          </w:p>
        </w:tc>
        <w:tc>
          <w:tcPr>
            <w:tcW w:type="dxa" w:w="4986"/>
          </w:tcPr>
          <w:p>
            <w:r>
              <w:t>0.042 m</w:t>
            </w:r>
          </w:p>
        </w:tc>
      </w:tr>
      <w:tr>
        <w:tc>
          <w:tcPr>
            <w:tcW w:type="dxa" w:w="4986"/>
          </w:tcPr>
          <w:p>
            <w:r>
              <w:t>Fraction exposée ηexp</w:t>
            </w:r>
          </w:p>
        </w:tc>
        <w:tc>
          <w:tcPr>
            <w:tcW w:type="dxa" w:w="4986"/>
          </w:tcPr>
          <w:p>
            <w:r>
              <w:t>1.000</w:t>
            </w:r>
          </w:p>
        </w:tc>
      </w:tr>
      <w:tr>
        <w:tc>
          <w:tcPr>
            <w:tcW w:type="dxa" w:w="4986"/>
          </w:tcPr>
          <w:p>
            <w:r>
              <w:t>Aire A</w:t>
            </w:r>
          </w:p>
        </w:tc>
        <w:tc>
          <w:tcPr>
            <w:tcW w:type="dxa" w:w="4986"/>
          </w:tcPr>
          <w:p>
            <w:r>
              <w:t>0.001385 m²</w:t>
            </w:r>
          </w:p>
        </w:tc>
      </w:tr>
      <w:tr>
        <w:tc>
          <w:tcPr>
            <w:tcW w:type="dxa" w:w="4986"/>
          </w:tcPr>
          <w:p>
            <w:r>
              <w:t>Périmètre Am</w:t>
            </w:r>
          </w:p>
        </w:tc>
        <w:tc>
          <w:tcPr>
            <w:tcW w:type="dxa" w:w="4986"/>
          </w:tcPr>
          <w:p>
            <w:r>
              <w:t>0.131947 m</w:t>
            </w:r>
          </w:p>
        </w:tc>
      </w:tr>
      <w:tr>
        <w:tc>
          <w:tcPr>
            <w:tcW w:type="dxa" w:w="4986"/>
          </w:tcPr>
          <w:p>
            <w:r>
              <w:t>Facteur Am/V</w:t>
            </w:r>
          </w:p>
        </w:tc>
        <w:tc>
          <w:tcPr>
            <w:tcW w:type="dxa" w:w="4986"/>
          </w:tcPr>
          <w:p>
            <w:r>
              <w:t>95.238 m⁻¹</w:t>
            </w:r>
          </w:p>
        </w:tc>
      </w:tr>
      <w:tr>
        <w:tc>
          <w:tcPr>
            <w:tcW w:type="dxa" w:w="4986"/>
          </w:tcPr>
          <w:p>
            <w:r>
              <w:t>Distance 3D</w:t>
            </w:r>
          </w:p>
        </w:tc>
        <w:tc>
          <w:tcPr>
            <w:tcW w:type="dxa" w:w="4986"/>
          </w:tcPr>
          <w:p>
            <w:r>
              <w:t>6.528 m</w:t>
            </w:r>
          </w:p>
        </w:tc>
      </w:tr>
      <w:tr>
        <w:tc>
          <w:tcPr>
            <w:tcW w:type="dxa" w:w="4986"/>
          </w:tcPr>
          <w:p>
            <w:r>
              <w:t>Température des gaz θg</w:t>
            </w:r>
          </w:p>
        </w:tc>
        <w:tc>
          <w:tcPr>
            <w:tcW w:type="dxa" w:w="4986"/>
          </w:tcPr>
          <w:p>
            <w:r>
              <w:t>841.80 °C</w:t>
            </w:r>
          </w:p>
        </w:tc>
      </w:tr>
      <w:tr>
        <w:tc>
          <w:tcPr>
            <w:tcW w:type="dxa" w:w="4986"/>
          </w:tcPr>
          <w:p>
            <w:r>
              <w:t>Température acier θa,t</w:t>
            </w:r>
          </w:p>
        </w:tc>
        <w:tc>
          <w:tcPr>
            <w:tcW w:type="dxa" w:w="4986"/>
          </w:tcPr>
          <w:p>
            <w:r>
              <w:t>760.63 °C</w:t>
            </w:r>
          </w:p>
        </w:tc>
      </w:tr>
      <w:tr>
        <w:tc>
          <w:tcPr>
            <w:tcW w:type="dxa" w:w="4986"/>
          </w:tcPr>
          <w:p>
            <w:r>
              <w:t>αc</w:t>
            </w:r>
          </w:p>
        </w:tc>
        <w:tc>
          <w:tcPr>
            <w:tcW w:type="dxa" w:w="4986"/>
          </w:tcPr>
          <w:p>
            <w:r>
              <w:t>25.0 W/m²K</w:t>
            </w:r>
          </w:p>
        </w:tc>
      </w:tr>
      <w:tr>
        <w:tc>
          <w:tcPr>
            <w:tcW w:type="dxa" w:w="4986"/>
          </w:tcPr>
          <w:p>
            <w:r>
              <w:t>Φ</w:t>
            </w:r>
          </w:p>
        </w:tc>
        <w:tc>
          <w:tcPr>
            <w:tcW w:type="dxa" w:w="4986"/>
          </w:tcPr>
          <w:p>
            <w:r>
              <w:t>1.000</w:t>
            </w:r>
          </w:p>
        </w:tc>
      </w:tr>
      <w:tr>
        <w:tc>
          <w:tcPr>
            <w:tcW w:type="dxa" w:w="4986"/>
          </w:tcPr>
          <w:p>
            <w:r>
              <w:t>εm</w:t>
            </w:r>
          </w:p>
        </w:tc>
        <w:tc>
          <w:tcPr>
            <w:tcW w:type="dxa" w:w="4986"/>
          </w:tcPr>
          <w:p>
            <w:r>
              <w:t>0.700</w:t>
            </w:r>
          </w:p>
        </w:tc>
      </w:tr>
      <w:tr>
        <w:tc>
          <w:tcPr>
            <w:tcW w:type="dxa" w:w="4986"/>
          </w:tcPr>
          <w:p>
            <w:r>
              <w:t>εf</w:t>
            </w:r>
          </w:p>
        </w:tc>
        <w:tc>
          <w:tcPr>
            <w:tcW w:type="dxa" w:w="4986"/>
          </w:tcPr>
          <w:p>
            <w:r>
              <w:t>1.000</w:t>
            </w:r>
          </w:p>
        </w:tc>
      </w:tr>
      <w:tr>
        <w:tc>
          <w:tcPr>
            <w:tcW w:type="dxa" w:w="4986"/>
          </w:tcPr>
          <w:p>
            <w:r>
              <w:t>ca</w:t>
            </w:r>
          </w:p>
        </w:tc>
        <w:tc>
          <w:tcPr>
            <w:tcW w:type="dxa" w:w="4986"/>
          </w:tcPr>
          <w:p>
            <w:r>
              <w:t>1146.4 J/kgK</w:t>
            </w:r>
          </w:p>
        </w:tc>
      </w:tr>
      <w:tr>
        <w:tc>
          <w:tcPr>
            <w:tcW w:type="dxa" w:w="4986"/>
          </w:tcPr>
          <w:p>
            <w:r>
              <w:t>ρa</w:t>
            </w:r>
          </w:p>
        </w:tc>
        <w:tc>
          <w:tcPr>
            <w:tcW w:type="dxa" w:w="4986"/>
          </w:tcPr>
          <w:p>
            <w:r>
              <w:t>7850.0 kg/m³</w:t>
            </w:r>
          </w:p>
        </w:tc>
      </w:tr>
      <w:tr>
        <w:tc>
          <w:tcPr>
            <w:tcW w:type="dxa" w:w="4986"/>
          </w:tcPr>
          <w:p>
            <w:r>
              <w:t>Δt</w:t>
            </w:r>
          </w:p>
        </w:tc>
        <w:tc>
          <w:tcPr>
            <w:tcW w:type="dxa" w:w="4986"/>
          </w:tcPr>
          <w:p>
            <w:r>
              <w:t>5.0 s</w:t>
            </w:r>
          </w:p>
        </w:tc>
      </w:tr>
    </w:tbl>
    <w:p>
      <w:pPr>
        <w:pStyle w:val="Heading2"/>
      </w:pPr>
      <w:r>
        <w:t>A.1 Calcul des flux</w:t>
      </w:r>
    </w:p>
    <w:p>
      <w:pPr>
        <w:jc w:val="center"/>
      </w:pPr>
      <m:oMathPara>
        <m:oMath>
          <m:sSub>
            <m:e>
              <m:r>
                <m:t>q</m:t>
              </m:r>
            </m:e>
            <m:sub>
              <m:r>
                <m:t>conv</m:t>
              </m:r>
            </m:sub>
          </m:sSub>
          <m:r>
            <m:t> = α</m:t>
          </m:r>
          <m:sSub>
            <m:e>
              <m:r>
                <m:t/>
              </m:r>
            </m:e>
            <m:sub>
              <m:r>
                <m:t>c</m:t>
              </m:r>
            </m:sub>
          </m:sSub>
          <m:r>
            <m:t>(</m:t>
          </m:r>
          <m:sSub>
            <m:e>
              <m:r>
                <m:t>θ</m:t>
              </m:r>
            </m:e>
            <m:sub>
              <m:r>
                <m:t>g</m:t>
              </m:r>
            </m:sub>
          </m:sSub>
          <m:r>
            <m:t> - </m:t>
          </m:r>
          <m:sSub>
            <m:e>
              <m:r>
                <m:t>θ</m:t>
              </m:r>
            </m:e>
            <m:sub>
              <m:r>
                <m:t>a</m:t>
              </m:r>
            </m:sub>
          </m:sSub>
          <m:r>
            <m:t>) = 2029,2 W/m²</m:t>
          </m:r>
        </m:oMath>
      </m:oMathPara>
    </w:p>
    <w:p>
      <w:pPr>
        <w:jc w:val="center"/>
      </w:pPr>
      <m:oMathPara>
        <m:oMath>
          <m:sSub>
            <m:e>
              <m:r>
                <m:t>q</m:t>
              </m:r>
            </m:e>
            <m:sub>
              <m:r>
                <m:t>rad</m:t>
              </m:r>
            </m:sub>
          </m:sSub>
          <m:r>
            <m:t> = Φ ε</m:t>
          </m:r>
          <m:sSub>
            <m:e>
              <m:r>
                <m:t/>
              </m:r>
            </m:e>
            <m:sub>
              <m:r>
                <m:t>m</m:t>
              </m:r>
            </m:sub>
          </m:sSub>
          <m:r>
            <m:t> ε</m:t>
          </m:r>
          <m:sSub>
            <m:e>
              <m:r>
                <m:t/>
              </m:r>
            </m:e>
            <m:sub>
              <m:r>
                <m:t>f</m:t>
              </m:r>
            </m:sub>
          </m:sSub>
          <m:r>
            <m:t> σ [(</m:t>
          </m:r>
          <m:sSub>
            <m:e>
              <m:r>
                <m:t>θ</m:t>
              </m:r>
            </m:e>
            <m:sub>
              <m:r>
                <m:t>g</m:t>
              </m:r>
            </m:sub>
          </m:sSub>
          <m:r>
            <m:t> + 273,15)</m:t>
          </m:r>
          <m:sSup>
            <m:e>
              <m:r>
                <m:t/>
              </m:r>
            </m:e>
            <m:sup>
              <m:r>
                <m:t>4</m:t>
              </m:r>
            </m:sup>
          </m:sSup>
          <m:r>
            <m:t> - (</m:t>
          </m:r>
          <m:sSub>
            <m:e>
              <m:r>
                <m:t>θ</m:t>
              </m:r>
            </m:e>
            <m:sub>
              <m:r>
                <m:t>a</m:t>
              </m:r>
            </m:sub>
          </m:sSub>
          <m:r>
            <m:t> + 273,15)</m:t>
          </m:r>
          <m:sSup>
            <m:e>
              <m:r>
                <m:t/>
              </m:r>
            </m:e>
            <m:sup>
              <m:r>
                <m:t>4</m:t>
              </m:r>
            </m:sup>
          </m:sSup>
          <m:r>
            <m:t>] = 16002,7 W/m²</m:t>
          </m:r>
        </m:oMath>
      </m:oMathPara>
    </w:p>
    <w:p>
      <w:pPr>
        <w:jc w:val="center"/>
      </w:pPr>
      <m:oMathPara>
        <m:oMath>
          <m:sSub>
            <m:e>
              <m:r>
                <m:t>q</m:t>
              </m:r>
            </m:e>
            <m:sub>
              <m:r>
                <m:t>net</m:t>
              </m:r>
            </m:sub>
          </m:sSub>
          <m:r>
            <m:t> = </m:t>
          </m:r>
          <m:sSub>
            <m:e>
              <m:r>
                <m:t>q</m:t>
              </m:r>
            </m:e>
            <m:sub>
              <m:r>
                <m:t>conv</m:t>
              </m:r>
            </m:sub>
          </m:sSub>
          <m:r>
            <m:t> + </m:t>
          </m:r>
          <m:sSub>
            <m:e>
              <m:r>
                <m:t>q</m:t>
              </m:r>
            </m:e>
            <m:sub>
              <m:r>
                <m:t>rad</m:t>
              </m:r>
            </m:sub>
          </m:sSub>
          <m:r>
            <m:t> = 18031,9 W/m²</m:t>
          </m:r>
        </m:oMath>
      </m:oMathPara>
    </w:p>
    <w:p>
      <w:pPr>
        <w:pStyle w:val="Heading2"/>
      </w:pPr>
      <w:r>
        <w:t>A.2 Incrément de température</w:t>
      </w:r>
    </w:p>
    <w:p>
      <w:pPr>
        <w:jc w:val="center"/>
      </w:pPr>
      <m:oMathPara>
        <m:oMath>
          <m:r>
            <m:t>Δ</m:t>
          </m:r>
          <m:sSub>
            <m:e>
              <m:r>
                <m:t>θ</m:t>
              </m:r>
            </m:e>
            <m:sub>
              <m:r>
                <m:t>a,t</m:t>
              </m:r>
            </m:sub>
          </m:sSub>
          <m:r>
            <m:t> = </m:t>
          </m:r>
          <m:f>
            <m:num>
              <m:sSub>
                <m:e>
                  <m:r>
                    <m:t>k</m:t>
                  </m:r>
                </m:e>
                <m:sub>
                  <m:r>
                    <m:t>sh</m:t>
                  </m:r>
                </m:sub>
              </m:sSub>
              <m:r>
                <m:t> </m:t>
              </m:r>
              <m:f>
                <m:num>
                  <m:sSub>
                    <m:e>
                      <m:r>
                        <m:t>A</m:t>
                      </m:r>
                    </m:e>
                    <m:sub>
                      <m:r>
                        <m:t>m</m:t>
                      </m:r>
                    </m:sub>
                  </m:sSub>
                </m:num>
                <m:den>
                  <m:r>
                    <m:t>V</m:t>
                  </m:r>
                </m:den>
              </m:f>
              <m:r>
                <m:t> </m:t>
              </m:r>
              <m:sSub>
                <m:e>
                  <m:r>
                    <m:t>q</m:t>
                  </m:r>
                </m:e>
                <m:sub>
                  <m:r>
                    <m:t>net</m:t>
                  </m:r>
                </m:sub>
              </m:sSub>
              <m:r>
                <m:t> Δt</m:t>
              </m:r>
            </m:num>
            <m:den>
              <m:sSub>
                <m:e>
                  <m:r>
                    <m:t>ρ</m:t>
                  </m:r>
                </m:e>
                <m:sub>
                  <m:r>
                    <m:t>a</m:t>
                  </m:r>
                </m:sub>
              </m:sSub>
              <m:r>
                <m:t> </m:t>
              </m:r>
              <m:sSub>
                <m:e>
                  <m:r>
                    <m:t>c</m:t>
                  </m:r>
                </m:e>
                <m:sub>
                  <m:r>
                    <m:t>a</m:t>
                  </m:r>
                </m:sub>
              </m:sSub>
              <m:r>
                <m:t>(</m:t>
              </m:r>
              <m:sSub>
                <m:e>
                  <m:r>
                    <m:t>θ</m:t>
                  </m:r>
                </m:e>
                <m:sub>
                  <m:r>
                    <m:t>a</m:t>
                  </m:r>
                </m:sub>
              </m:sSub>
              <m:r>
                <m:t>)</m:t>
              </m:r>
            </m:den>
          </m:f>
          <m:r>
            <m:t> = 0,9541 °C</m:t>
          </m:r>
        </m:oMath>
      </m:oMathPara>
    </w:p>
    <w:p>
      <w:r>
        <w:t>La température passe de 760,63 °C à 761,58 °C pendant le dernier pas de 5 s. La température à 30 min résulte de l'intégration de tous les pas depuis t = 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