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ANALYSE THERMIQUE D’UN INCENDIE SOUS LA PASSERELLE</w:t>
      </w:r>
    </w:p>
    <w:p>
      <w:pPr>
        <w:jc w:val="center"/>
      </w:pPr>
      <w:r>
        <w:t>Passerelle Gerland - La Saulaie</w:t>
      </w:r>
    </w:p>
    <w:p>
      <w:pPr>
        <w:jc w:val="center"/>
      </w:pPr>
      <w:r>
        <w:t>Rapport du 02/09/2026</w:t>
      </w:r>
    </w:p>
    <w:p>
      <w:r>
        <w:br w:type="page"/>
      </w:r>
    </w:p>
    <w:p>
      <w:pPr>
        <w:pStyle w:val="Heading1"/>
      </w:pPr>
      <w:r>
        <w:t>Sommaire</w:t>
      </w:r>
    </w:p>
    <w:p>
      <w:r>
        <w:fldChar w:fldCharType="begin"/>
        <w:instrText xml:space="preserve"> TOC \o "1-3" \h \z </w:instrText>
        <w:fldChar w:fldCharType="separate"/>
        <w:t>Mettre à jour : Ctrl+A, F9.</w:t>
        <w:fldChar w:fldCharType="end"/>
      </w:r>
    </w:p>
    <w:p>
      <w:r>
        <w:br w:type="page"/>
      </w:r>
    </w:p>
    <w:p>
      <w:pPr>
        <w:pStyle w:val="Heading1"/>
      </w:pPr>
      <w:r>
        <w:t>1. Objet et présentation du projet</w:t>
      </w:r>
    </w:p>
    <w:p>
      <w:r>
        <w:t>L’étude évalue sous Python l’évolution temporelle des températures des suspentes secondaires et du câble principal lors d’un incendie sur la M7.</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pStyle w:val="Caption"/>
        <w:jc w:val="center"/>
      </w:pPr>
      <w: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pStyle w:val="Caption"/>
        <w:jc w:val="center"/>
      </w:pPr>
      <w:r>
        <w:t>Figure 2 -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pStyle w:val="Caption"/>
        <w:jc w:val="center"/>
      </w:pPr>
      <w:r>
        <w:t>Figure 3 - Coupe longitudinale.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pStyle w:val="Caption"/>
        <w:jc w:val="center"/>
      </w:pPr>
      <w:r>
        <w:t>Figure 4 - Coupe transversale.</w:t>
      </w:r>
    </w:p>
    <w:p>
      <w:pPr>
        <w:pStyle w:val="Heading1"/>
      </w:pPr>
      <w:r>
        <w:t>2. Références</w:t>
      </w:r>
    </w:p>
    <w:p>
      <w:r>
        <w:t>NF EN 1991-1-2 ; NF EN 1993-1-2 ; guide Cerema Résistance à l’incendie des ponts routiers ; note SAU_AVP_NTE_069_A_FeuM7.</w:t>
      </w:r>
    </w:p>
    <w:p>
      <w:pPr>
        <w:pStyle w:val="Heading1"/>
      </w:pPr>
      <w:r>
        <w:t>3. Choix des courbes de feu</w:t>
      </w:r>
    </w:p>
    <w:p>
      <w:r>
        <w:t>Les courbes ISO 834, feu extérieur et HC sont étudiées séparément puis comparées. La courbe HC est ajoutée du fait de la proximité signalée d’une station Esso, située à environ 2 km de l’ouvrage. Ce choix prudent pourra être rediscuté avec la MOA et son AMO. Le guide Cerema rappelle que le maître d’ouvrage doit définir le scénario de feu contre lequel il souhaite protéger l’ouvrage.</w:t>
      </w:r>
    </w:p>
    <w:p>
      <w:pPr>
        <w:jc w:val="center"/>
      </w:pPr>
      <w:r>
        <w:drawing>
          <wp:inline xmlns:a="http://schemas.openxmlformats.org/drawingml/2006/main" xmlns:pic="http://schemas.openxmlformats.org/drawingml/2006/picture">
            <wp:extent cx="5400000" cy="1057056"/>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400000" cy="1057056"/>
                    </a:xfrm>
                    <a:prstGeom prst="rect"/>
                  </pic:spPr>
                </pic:pic>
              </a:graphicData>
            </a:graphic>
          </wp:inline>
        </w:drawing>
      </w:r>
    </w:p>
    <w:p>
      <w:pPr>
        <w:pStyle w:val="Caption"/>
        <w:jc w:val="center"/>
      </w:pPr>
      <w:r>
        <w:t>Figure 5 - Extrait du guide Cerema : choix des courbes.</w:t>
      </w:r>
    </w:p>
    <w:p>
      <w:pPr>
        <w:jc w:val="center"/>
      </w:pPr>
      <w:r>
        <w:drawing>
          <wp:inline xmlns:a="http://schemas.openxmlformats.org/drawingml/2006/main" xmlns:pic="http://schemas.openxmlformats.org/drawingml/2006/picture">
            <wp:extent cx="5400000" cy="2912824"/>
            <wp:docPr id="6" name="Picture 6"/>
            <wp:cNvGraphicFramePr>
              <a:graphicFrameLocks noChangeAspect="1"/>
            </wp:cNvGraphicFramePr>
            <a:graphic>
              <a:graphicData uri="http://schemas.openxmlformats.org/drawingml/2006/picture">
                <pic:pic>
                  <pic:nvPicPr>
                    <pic:cNvPr id="0" name="feux.png"/>
                    <pic:cNvPicPr/>
                  </pic:nvPicPr>
                  <pic:blipFill>
                    <a:blip r:embed="rId14"/>
                    <a:stretch>
                      <a:fillRect/>
                    </a:stretch>
                  </pic:blipFill>
                  <pic:spPr>
                    <a:xfrm>
                      <a:off x="0" y="0"/>
                      <a:ext cx="5400000" cy="2912824"/>
                    </a:xfrm>
                    <a:prstGeom prst="rect"/>
                  </pic:spPr>
                </pic:pic>
              </a:graphicData>
            </a:graphic>
          </wp:inline>
        </w:drawing>
      </w:r>
    </w:p>
    <w:p>
      <w:pPr>
        <w:pStyle w:val="Caption"/>
        <w:jc w:val="center"/>
      </w:pPr>
      <w:r>
        <w:t>Figure 6 - Courbes nominales température-temps.</w:t>
      </w:r>
    </w:p>
    <w:p>
      <w:pPr>
        <w:pStyle w:val="Heading1"/>
      </w:pPr>
      <w:r>
        <w:t>4. Géométrie simplifiée et positions de feu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4"/>
              </w:rPr>
              <w:t>Coupe</w:t>
            </w:r>
          </w:p>
        </w:tc>
        <w:tc>
          <w:tcPr>
            <w:tcW w:type="dxa" w:w="2160"/>
          </w:tcPr>
          <w:p>
            <w:r>
              <w:rPr>
                <w:sz w:val="14"/>
              </w:rPr>
              <w:t>Intrados</w:t>
            </w:r>
          </w:p>
        </w:tc>
        <w:tc>
          <w:tcPr>
            <w:tcW w:type="dxa" w:w="2160"/>
          </w:tcPr>
          <w:p>
            <w:r>
              <w:rPr>
                <w:sz w:val="14"/>
              </w:rPr>
              <w:t>Suspente</w:t>
            </w:r>
          </w:p>
        </w:tc>
        <w:tc>
          <w:tcPr>
            <w:tcW w:type="dxa" w:w="2160"/>
          </w:tcPr>
          <w:p>
            <w:r>
              <w:rPr>
                <w:sz w:val="14"/>
              </w:rPr>
              <w:t>Câble</w:t>
            </w:r>
          </w:p>
        </w:tc>
      </w:tr>
      <w:tr>
        <w:tc>
          <w:tcPr>
            <w:tcW w:type="dxa" w:w="2160"/>
          </w:tcPr>
          <w:p>
            <w:r>
              <w:rPr>
                <w:sz w:val="14"/>
              </w:rPr>
              <w:t>OUEST</w:t>
            </w:r>
          </w:p>
        </w:tc>
        <w:tc>
          <w:tcPr>
            <w:tcW w:type="dxa" w:w="2160"/>
          </w:tcPr>
          <w:p>
            <w:r>
              <w:rPr>
                <w:sz w:val="14"/>
              </w:rPr>
              <w:t>6.125</w:t>
            </w:r>
          </w:p>
        </w:tc>
        <w:tc>
          <w:tcPr>
            <w:tcW w:type="dxa" w:w="2160"/>
          </w:tcPr>
          <w:p>
            <w:r>
              <w:rPr>
                <w:sz w:val="14"/>
              </w:rPr>
              <w:t>6.945</w:t>
            </w:r>
          </w:p>
        </w:tc>
        <w:tc>
          <w:tcPr>
            <w:tcW w:type="dxa" w:w="2160"/>
          </w:tcPr>
          <w:p>
            <w:r>
              <w:rPr>
                <w:sz w:val="14"/>
              </w:rPr>
              <w:t>8.12</w:t>
            </w:r>
          </w:p>
        </w:tc>
      </w:tr>
      <w:tr>
        <w:tc>
          <w:tcPr>
            <w:tcW w:type="dxa" w:w="2160"/>
          </w:tcPr>
          <w:p>
            <w:r>
              <w:rPr>
                <w:sz w:val="14"/>
              </w:rPr>
              <w:t>AXE M7</w:t>
            </w:r>
          </w:p>
        </w:tc>
        <w:tc>
          <w:tcPr>
            <w:tcW w:type="dxa" w:w="2160"/>
          </w:tcPr>
          <w:p>
            <w:r>
              <w:rPr>
                <w:sz w:val="14"/>
              </w:rPr>
              <w:t>6.9</w:t>
            </w:r>
          </w:p>
        </w:tc>
        <w:tc>
          <w:tcPr>
            <w:tcW w:type="dxa" w:w="2160"/>
          </w:tcPr>
          <w:p>
            <w:r>
              <w:rPr>
                <w:sz w:val="14"/>
              </w:rPr>
              <w:t>7.72</w:t>
            </w:r>
          </w:p>
        </w:tc>
        <w:tc>
          <w:tcPr>
            <w:tcW w:type="dxa" w:w="2160"/>
          </w:tcPr>
          <w:p>
            <w:r>
              <w:rPr>
                <w:sz w:val="14"/>
              </w:rPr>
              <w:t>9.4</w:t>
            </w:r>
          </w:p>
        </w:tc>
      </w:tr>
      <w:tr>
        <w:tc>
          <w:tcPr>
            <w:tcW w:type="dxa" w:w="2160"/>
          </w:tcPr>
          <w:p>
            <w:r>
              <w:rPr>
                <w:sz w:val="14"/>
              </w:rPr>
              <w:t>EST</w:t>
            </w:r>
          </w:p>
        </w:tc>
        <w:tc>
          <w:tcPr>
            <w:tcW w:type="dxa" w:w="2160"/>
          </w:tcPr>
          <w:p>
            <w:r>
              <w:rPr>
                <w:sz w:val="14"/>
              </w:rPr>
              <w:t>7.25</w:t>
            </w:r>
          </w:p>
        </w:tc>
        <w:tc>
          <w:tcPr>
            <w:tcW w:type="dxa" w:w="2160"/>
          </w:tcPr>
          <w:p>
            <w:r>
              <w:rPr>
                <w:sz w:val="14"/>
              </w:rPr>
              <w:t>8.07</w:t>
            </w:r>
          </w:p>
        </w:tc>
        <w:tc>
          <w:tcPr>
            <w:tcW w:type="dxa" w:w="2160"/>
          </w:tcPr>
          <w:p>
            <w:r>
              <w:rPr>
                <w:sz w:val="14"/>
              </w:rPr>
              <w:t>11.07</w:t>
            </w:r>
          </w:p>
        </w:tc>
      </w:tr>
    </w:tbl>
    <w:p>
      <w:pPr>
        <w:jc w:val="center"/>
      </w:pPr>
      <w:r>
        <w:drawing>
          <wp:inline xmlns:a="http://schemas.openxmlformats.org/drawingml/2006/main" xmlns:pic="http://schemas.openxmlformats.org/drawingml/2006/picture">
            <wp:extent cx="5400000" cy="2790582"/>
            <wp:docPr id="7" name="Picture 7"/>
            <wp:cNvGraphicFramePr>
              <a:graphicFrameLocks noChangeAspect="1"/>
            </wp:cNvGraphicFramePr>
            <a:graphic>
              <a:graphicData uri="http://schemas.openxmlformats.org/drawingml/2006/picture">
                <pic:pic>
                  <pic:nvPicPr>
                    <pic:cNvPr id="0" name="geometrie.png"/>
                    <pic:cNvPicPr/>
                  </pic:nvPicPr>
                  <pic:blipFill>
                    <a:blip r:embed="rId15"/>
                    <a:stretch>
                      <a:fillRect/>
                    </a:stretch>
                  </pic:blipFill>
                  <pic:spPr>
                    <a:xfrm>
                      <a:off x="0" y="0"/>
                      <a:ext cx="5400000" cy="2790582"/>
                    </a:xfrm>
                    <a:prstGeom prst="rect"/>
                  </pic:spPr>
                </pic:pic>
              </a:graphicData>
            </a:graphic>
          </wp:inline>
        </w:drawing>
      </w:r>
    </w:p>
    <w:p>
      <w:pPr>
        <w:pStyle w:val="Caption"/>
        <w:jc w:val="center"/>
      </w:pPr>
      <w:r>
        <w:t>Figure 7 - Trois coupes géométriques de référence : OUEST, AXE M7 et EST.</w:t>
      </w:r>
    </w:p>
    <w:p>
      <w:pPr>
        <w:jc w:val="center"/>
      </w:pPr>
      <w:r>
        <w:drawing>
          <wp:inline xmlns:a="http://schemas.openxmlformats.org/drawingml/2006/main" xmlns:pic="http://schemas.openxmlformats.org/drawingml/2006/picture">
            <wp:extent cx="5040000" cy="2189556"/>
            <wp:docPr id="8" name="Picture 8"/>
            <wp:cNvGraphicFramePr>
              <a:graphicFrameLocks noChangeAspect="1"/>
            </wp:cNvGraphicFramePr>
            <a:graphic>
              <a:graphicData uri="http://schemas.openxmlformats.org/drawingml/2006/picture">
                <pic:pic>
                  <pic:nvPicPr>
                    <pic:cNvPr id="0" name="ZZ_approxim intrados demi-coupe.png"/>
                    <pic:cNvPicPr/>
                  </pic:nvPicPr>
                  <pic:blipFill>
                    <a:blip r:embed="rId16"/>
                    <a:stretch>
                      <a:fillRect/>
                    </a:stretch>
                  </pic:blipFill>
                  <pic:spPr>
                    <a:xfrm>
                      <a:off x="0" y="0"/>
                      <a:ext cx="5040000" cy="2189556"/>
                    </a:xfrm>
                    <a:prstGeom prst="rect"/>
                  </pic:spPr>
                </pic:pic>
              </a:graphicData>
            </a:graphic>
          </wp:inline>
        </w:drawing>
      </w:r>
    </w:p>
    <w:p>
      <w:pPr>
        <w:pStyle w:val="Caption"/>
        <w:jc w:val="center"/>
      </w:pPr>
      <w:r>
        <w:t>Figure 8 - Approximation de l’intrados par deux segments de droite.</w:t>
      </w:r>
    </w:p>
    <w:p>
      <w:pPr>
        <w:pStyle w:val="Heading1"/>
      </w:pPr>
      <w:r>
        <w:t>5. Choix des paramètres et hypothèses</w:t>
      </w:r>
    </w:p>
    <w:p>
      <w:r>
        <w:t>La hauteur de foyer constitue un paramètre de sensibilité du modèle géométrique. Les valeurs 10 m, 15 m et 20 m représentent des enveloppes de hauteur de flamme. Elles s’inscrivent dans la logique du guide Cerema, qui distingue le choix du scénario, de la courbe thermique et la caractérisation géométrique du foyer ; ces trois valeurs restent des hypothèses de l’étude et non des valeurs imposées par le guide.</w:t>
      </w:r>
    </w:p>
    <w:tbl>
      <w:tblPr>
        <w:tblStyle w:val="TableGrid"/>
        <w:tblW w:type="auto" w:w="0"/>
        <w:tblLook w:firstColumn="1" w:firstRow="1" w:lastColumn="0" w:lastRow="0" w:noHBand="0" w:noVBand="1" w:val="04A0"/>
      </w:tblPr>
      <w:tblGrid>
        <w:gridCol w:w="4320"/>
        <w:gridCol w:w="4320"/>
      </w:tblGrid>
      <w:tr>
        <w:tc>
          <w:tcPr>
            <w:tcW w:type="dxa" w:w="4320"/>
          </w:tcPr>
          <w:p>
            <w:r>
              <w:rPr>
                <w:sz w:val="14"/>
              </w:rPr>
              <w:t>Paramètre</w:t>
            </w:r>
          </w:p>
        </w:tc>
        <w:tc>
          <w:tcPr>
            <w:tcW w:type="dxa" w:w="4320"/>
          </w:tcPr>
          <w:p>
            <w:r>
              <w:rPr>
                <w:sz w:val="14"/>
              </w:rPr>
              <w:t>Valeur</w:t>
            </w:r>
          </w:p>
        </w:tc>
      </w:tr>
      <w:tr>
        <w:tc>
          <w:tcPr>
            <w:tcW w:type="dxa" w:w="4320"/>
          </w:tcPr>
          <w:p>
            <w:r>
              <w:rPr>
                <w:sz w:val="14"/>
              </w:rPr>
              <w:t>Hauteurs de foyer (hypothèse de sensibilité)</w:t>
            </w:r>
          </w:p>
        </w:tc>
        <w:tc>
          <w:tcPr>
            <w:tcW w:type="dxa" w:w="4320"/>
          </w:tcPr>
          <w:p>
            <w:r>
              <w:rPr>
                <w:sz w:val="14"/>
              </w:rPr>
              <w:t>10 / 15 / 20 m</w:t>
            </w:r>
          </w:p>
        </w:tc>
      </w:tr>
      <w:tr>
        <w:tc>
          <w:tcPr>
            <w:tcW w:type="dxa" w:w="4320"/>
          </w:tcPr>
          <w:p>
            <w:r>
              <w:rPr>
                <w:sz w:val="14"/>
              </w:rPr>
              <w:t>Ft,Rd câble principal (cf. SAU_AVP_NDC_062_A_JustifOADéfi)</w:t>
            </w:r>
          </w:p>
        </w:tc>
        <w:tc>
          <w:tcPr>
            <w:tcW w:type="dxa" w:w="4320"/>
          </w:tcPr>
          <w:p>
            <w:r>
              <w:rPr>
                <w:sz w:val="14"/>
              </w:rPr>
              <w:t>11 897 kN</w:t>
            </w:r>
          </w:p>
        </w:tc>
      </w:tr>
      <w:tr>
        <w:tc>
          <w:tcPr>
            <w:tcW w:type="dxa" w:w="4320"/>
          </w:tcPr>
          <w:p>
            <w:r>
              <w:rPr>
                <w:sz w:val="14"/>
              </w:rPr>
              <w:t>NQP câble principal</w:t>
            </w:r>
          </w:p>
        </w:tc>
        <w:tc>
          <w:tcPr>
            <w:tcW w:type="dxa" w:w="4320"/>
          </w:tcPr>
          <w:p>
            <w:r>
              <w:rPr>
                <w:sz w:val="14"/>
              </w:rPr>
              <w:t>3 300 kN</w:t>
            </w:r>
          </w:p>
        </w:tc>
      </w:tr>
      <w:tr>
        <w:tc>
          <w:tcPr>
            <w:tcW w:type="dxa" w:w="4320"/>
          </w:tcPr>
          <w:p>
            <w:r>
              <w:rPr>
                <w:sz w:val="14"/>
              </w:rPr>
              <w:t>E câble principal</w:t>
            </w:r>
          </w:p>
        </w:tc>
        <w:tc>
          <w:tcPr>
            <w:tcW w:type="dxa" w:w="4320"/>
          </w:tcPr>
          <w:p>
            <w:r>
              <w:rPr>
                <w:sz w:val="14"/>
              </w:rPr>
              <w:t>160 GPa</w:t>
            </w:r>
          </w:p>
        </w:tc>
      </w:tr>
      <w:tr>
        <w:tc>
          <w:tcPr>
            <w:tcW w:type="dxa" w:w="4320"/>
          </w:tcPr>
          <w:p>
            <w:r>
              <w:rPr>
                <w:sz w:val="14"/>
              </w:rPr>
              <w:t>Ft,Rd suspente secondaire (cf. SAU_AVP_NDC_062_A_JustifOADéfi)</w:t>
            </w:r>
          </w:p>
        </w:tc>
        <w:tc>
          <w:tcPr>
            <w:tcW w:type="dxa" w:w="4320"/>
          </w:tcPr>
          <w:p>
            <w:r>
              <w:rPr>
                <w:sz w:val="14"/>
              </w:rPr>
              <w:t>541 kN</w:t>
            </w:r>
          </w:p>
        </w:tc>
      </w:tr>
      <w:tr>
        <w:tc>
          <w:tcPr>
            <w:tcW w:type="dxa" w:w="4320"/>
          </w:tcPr>
          <w:p>
            <w:r>
              <w:rPr>
                <w:sz w:val="14"/>
              </w:rPr>
              <w:t>NQP suspente secondaire</w:t>
            </w:r>
          </w:p>
        </w:tc>
        <w:tc>
          <w:tcPr>
            <w:tcW w:type="dxa" w:w="4320"/>
          </w:tcPr>
          <w:p>
            <w:r>
              <w:rPr>
                <w:sz w:val="14"/>
              </w:rPr>
              <w:t>115 kN</w:t>
            </w:r>
          </w:p>
        </w:tc>
      </w:tr>
      <w:tr>
        <w:tc>
          <w:tcPr>
            <w:tcW w:type="dxa" w:w="4320"/>
          </w:tcPr>
          <w:p>
            <w:r>
              <w:rPr>
                <w:sz w:val="14"/>
              </w:rPr>
              <w:t>E suspente secondaire</w:t>
            </w:r>
          </w:p>
        </w:tc>
        <w:tc>
          <w:tcPr>
            <w:tcW w:type="dxa" w:w="4320"/>
          </w:tcPr>
          <w:p>
            <w:r>
              <w:rPr>
                <w:sz w:val="14"/>
              </w:rPr>
              <w:t>205 GPa</w:t>
            </w:r>
          </w:p>
        </w:tc>
      </w:tr>
    </w:tbl>
    <w:p>
      <w:pPr>
        <w:pStyle w:val="Heading1"/>
      </w:pPr>
      <w:r>
        <w:t>6. Méthode de calcul</w:t>
      </w:r>
    </w:p>
    <w:p>
      <w:r>
        <w:t>Pour chaque courbe, position et hauteur de foyer, Python calcule la température des gaz, le facteur de forme, la chaleur spécifique, les flux et l’incrément de température par pas de 5 s.</w:t>
      </w:r>
    </w:p>
    <w:p>
      <w:pPr>
        <w:pStyle w:val="Heading1"/>
      </w:pPr>
      <w:r>
        <w:t>7. Résultats thermiques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4"/>
              </w:rPr>
              <w:t>Temps (min)</w:t>
            </w:r>
          </w:p>
        </w:tc>
        <w:tc>
          <w:tcPr>
            <w:tcW w:type="dxa" w:w="2880"/>
          </w:tcPr>
          <w:p>
            <w:r>
              <w:rPr>
                <w:sz w:val="14"/>
              </w:rPr>
              <w:t>Suspente secondaire (°C)</w:t>
            </w:r>
          </w:p>
        </w:tc>
        <w:tc>
          <w:tcPr>
            <w:tcW w:type="dxa" w:w="2880"/>
          </w:tcPr>
          <w:p>
            <w:r>
              <w:rPr>
                <w:sz w:val="14"/>
              </w:rPr>
              <w:t>Câble principal (°C)</w:t>
            </w:r>
          </w:p>
        </w:tc>
      </w:tr>
      <w:tr>
        <w:tc>
          <w:tcPr>
            <w:tcW w:type="dxa" w:w="2880"/>
          </w:tcPr>
          <w:p>
            <w:r>
              <w:rPr>
                <w:sz w:val="14"/>
              </w:rPr>
              <w:t>15.0</w:t>
            </w:r>
          </w:p>
        </w:tc>
        <w:tc>
          <w:tcPr>
            <w:tcW w:type="dxa" w:w="2880"/>
          </w:tcPr>
          <w:p>
            <w:r>
              <w:rPr>
                <w:sz w:val="14"/>
              </w:rPr>
              <w:t>971.9</w:t>
            </w:r>
          </w:p>
        </w:tc>
        <w:tc>
          <w:tcPr>
            <w:tcW w:type="dxa" w:w="2880"/>
          </w:tcPr>
          <w:p>
            <w:r>
              <w:rPr>
                <w:sz w:val="14"/>
              </w:rPr>
              <w:t>544.1</w:t>
            </w:r>
          </w:p>
        </w:tc>
      </w:tr>
      <w:tr>
        <w:tc>
          <w:tcPr>
            <w:tcW w:type="dxa" w:w="2880"/>
          </w:tcPr>
          <w:p>
            <w:r>
              <w:rPr>
                <w:sz w:val="14"/>
              </w:rPr>
              <w:t>30.0</w:t>
            </w:r>
          </w:p>
        </w:tc>
        <w:tc>
          <w:tcPr>
            <w:tcW w:type="dxa" w:w="2880"/>
          </w:tcPr>
          <w:p>
            <w:r>
              <w:rPr>
                <w:sz w:val="14"/>
              </w:rPr>
              <w:t>1095.8</w:t>
            </w:r>
          </w:p>
        </w:tc>
        <w:tc>
          <w:tcPr>
            <w:tcW w:type="dxa" w:w="2880"/>
          </w:tcPr>
          <w:p>
            <w:r>
              <w:rPr>
                <w:sz w:val="14"/>
              </w:rPr>
              <w:t>833.3</w:t>
            </w:r>
          </w:p>
        </w:tc>
      </w:tr>
      <w:tr>
        <w:tc>
          <w:tcPr>
            <w:tcW w:type="dxa" w:w="2880"/>
          </w:tcPr>
          <w:p>
            <w:r>
              <w:rPr>
                <w:sz w:val="14"/>
              </w:rPr>
              <w:t>60.0</w:t>
            </w:r>
          </w:p>
        </w:tc>
        <w:tc>
          <w:tcPr>
            <w:tcW w:type="dxa" w:w="2880"/>
          </w:tcPr>
          <w:p>
            <w:r>
              <w:rPr>
                <w:sz w:val="14"/>
              </w:rPr>
              <w:t>1100.0</w:t>
            </w:r>
          </w:p>
        </w:tc>
        <w:tc>
          <w:tcPr>
            <w:tcW w:type="dxa" w:w="2880"/>
          </w:tcPr>
          <w:p>
            <w:r>
              <w:rPr>
                <w:sz w:val="14"/>
              </w:rPr>
              <w:t>1089.9</w:t>
            </w:r>
          </w:p>
        </w:tc>
      </w:tr>
      <w:tr>
        <w:tc>
          <w:tcPr>
            <w:tcW w:type="dxa" w:w="2880"/>
          </w:tcPr>
          <w:p>
            <w:r>
              <w:rPr>
                <w:sz w:val="14"/>
              </w:rPr>
              <w:t>90.0</w:t>
            </w:r>
          </w:p>
        </w:tc>
        <w:tc>
          <w:tcPr>
            <w:tcW w:type="dxa" w:w="2880"/>
          </w:tcPr>
          <w:p>
            <w:r>
              <w:rPr>
                <w:sz w:val="14"/>
              </w:rPr>
              <w:t>1100.0</w:t>
            </w:r>
          </w:p>
        </w:tc>
        <w:tc>
          <w:tcPr>
            <w:tcW w:type="dxa" w:w="2880"/>
          </w:tcPr>
          <w:p>
            <w:r>
              <w:rPr>
                <w:sz w:val="14"/>
              </w:rPr>
              <w:t>1099.7</w:t>
            </w:r>
          </w:p>
        </w:tc>
      </w:tr>
      <w:tr>
        <w:tc>
          <w:tcPr>
            <w:tcW w:type="dxa" w:w="2880"/>
          </w:tcPr>
          <w:p>
            <w:r>
              <w:rPr>
                <w:sz w:val="14"/>
              </w:rPr>
              <w:t>120.0</w:t>
            </w:r>
          </w:p>
        </w:tc>
        <w:tc>
          <w:tcPr>
            <w:tcW w:type="dxa" w:w="2880"/>
          </w:tcPr>
          <w:p>
            <w:r>
              <w:rPr>
                <w:sz w:val="14"/>
              </w:rPr>
              <w:t>1100.0</w:t>
            </w:r>
          </w:p>
        </w:tc>
        <w:tc>
          <w:tcPr>
            <w:tcW w:type="dxa" w:w="2880"/>
          </w:tcPr>
          <w:p>
            <w:r>
              <w:rPr>
                <w:sz w:val="14"/>
              </w:rPr>
              <w:t>1100.0</w:t>
            </w:r>
          </w:p>
        </w:tc>
      </w:tr>
    </w:tbl>
    <w:p>
      <w:pPr>
        <w:jc w:val="center"/>
      </w:pPr>
      <w:r>
        <w:drawing>
          <wp:inline xmlns:a="http://schemas.openxmlformats.org/drawingml/2006/main" xmlns:pic="http://schemas.openxmlformats.org/drawingml/2006/picture">
            <wp:extent cx="5580000" cy="3043047"/>
            <wp:docPr id="9" name="Picture 9"/>
            <wp:cNvGraphicFramePr>
              <a:graphicFrameLocks noChangeAspect="1"/>
            </wp:cNvGraphicFramePr>
            <a:graphic>
              <a:graphicData uri="http://schemas.openxmlformats.org/drawingml/2006/picture">
                <pic:pic>
                  <pic:nvPicPr>
                    <pic:cNvPr id="0" name="fig12.png"/>
                    <pic:cNvPicPr/>
                  </pic:nvPicPr>
                  <pic:blipFill>
                    <a:blip r:embed="rId17"/>
                    <a:stretch>
                      <a:fillRect/>
                    </a:stretch>
                  </pic:blipFill>
                  <pic:spPr>
                    <a:xfrm>
                      <a:off x="0" y="0"/>
                      <a:ext cx="5580000" cy="3043047"/>
                    </a:xfrm>
                    <a:prstGeom prst="rect"/>
                  </pic:spPr>
                </pic:pic>
              </a:graphicData>
            </a:graphic>
          </wp:inline>
        </w:drawing>
      </w:r>
    </w:p>
    <w:p>
      <w:pPr>
        <w:pStyle w:val="Caption"/>
        <w:jc w:val="center"/>
      </w:pPr>
      <w:r>
        <w:t>Figure 12 - Température de la suspente secondaire - hauteur de foyer 20 m.</w:t>
      </w:r>
    </w:p>
    <w:p>
      <w:pPr>
        <w:jc w:val="center"/>
      </w:pPr>
      <w:r>
        <w:drawing>
          <wp:inline xmlns:a="http://schemas.openxmlformats.org/drawingml/2006/main" xmlns:pic="http://schemas.openxmlformats.org/drawingml/2006/picture">
            <wp:extent cx="5580000" cy="3039802"/>
            <wp:docPr id="10" name="Picture 10"/>
            <wp:cNvGraphicFramePr>
              <a:graphicFrameLocks noChangeAspect="1"/>
            </wp:cNvGraphicFramePr>
            <a:graphic>
              <a:graphicData uri="http://schemas.openxmlformats.org/drawingml/2006/picture">
                <pic:pic>
                  <pic:nvPicPr>
                    <pic:cNvPr id="0" name="fig13.png"/>
                    <pic:cNvPicPr/>
                  </pic:nvPicPr>
                  <pic:blipFill>
                    <a:blip r:embed="rId18"/>
                    <a:stretch>
                      <a:fillRect/>
                    </a:stretch>
                  </pic:blipFill>
                  <pic:spPr>
                    <a:xfrm>
                      <a:off x="0" y="0"/>
                      <a:ext cx="5580000" cy="3039802"/>
                    </a:xfrm>
                    <a:prstGeom prst="rect"/>
                  </pic:spPr>
                </pic:pic>
              </a:graphicData>
            </a:graphic>
          </wp:inline>
        </w:drawing>
      </w:r>
    </w:p>
    <w:p>
      <w:pPr>
        <w:pStyle w:val="Caption"/>
        <w:jc w:val="center"/>
      </w:pPr>
      <w:r>
        <w:t>Figure 13 - Température du câble principal clos - hauteur de foyer 20 m.</w:t>
      </w:r>
    </w:p>
    <w:p>
      <w:pPr>
        <w:pStyle w:val="Heading1"/>
      </w:pPr>
      <w:r>
        <w:t>8. Impact structurel</w:t>
      </w:r>
    </w:p>
    <w:p>
      <w:r>
        <w:t>Le contrôle automatique confirme les hauteurs de foyer pilotantes suivantes : Suspente secondaire sous ISO 834 : H = 20 m ; Câble principal clos sous ISO 834 : H = 20 m ; Suspente secondaire sous Feu extérieur : H = 20 m ; Câble principal clos sous Feu extérieur : H = 20 m ; Suspente secondaire sous HC : H = 20 m ; Câble principal clos sous HC : H = 20 m. La hauteur de 20 m pilote donc les résultats présentés ci-après.</w:t>
      </w:r>
    </w:p>
    <w:p>
      <w:r>
        <w:t>Les résistances à chaud sont estimées par Ft,Rd,θ = ky,θ × Ft,Rd et les ratios par ηfi = NQP / Ft,Rd,θ.</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3"/>
              </w:rPr>
              <w:t>Feu</w:t>
            </w:r>
          </w:p>
        </w:tc>
        <w:tc>
          <w:tcPr>
            <w:tcW w:type="dxa" w:w="864"/>
          </w:tcPr>
          <w:p>
            <w:r>
              <w:rPr>
                <w:sz w:val="13"/>
              </w:rPr>
              <w:t>Temps (min)</w:t>
            </w:r>
          </w:p>
        </w:tc>
        <w:tc>
          <w:tcPr>
            <w:tcW w:type="dxa" w:w="864"/>
          </w:tcPr>
          <w:p>
            <w:r>
              <w:rPr>
                <w:sz w:val="13"/>
              </w:rPr>
              <w:t>Organe</w:t>
            </w:r>
          </w:p>
        </w:tc>
        <w:tc>
          <w:tcPr>
            <w:tcW w:type="dxa" w:w="864"/>
          </w:tcPr>
          <w:p>
            <w:r>
              <w:rPr>
                <w:sz w:val="13"/>
              </w:rPr>
              <w:t>H pilote (m)</w:t>
            </w:r>
          </w:p>
        </w:tc>
        <w:tc>
          <w:tcPr>
            <w:tcW w:type="dxa" w:w="864"/>
          </w:tcPr>
          <w:p>
            <w:r>
              <w:rPr>
                <w:sz w:val="13"/>
              </w:rPr>
              <w:t>θ (°C)</w:t>
            </w:r>
          </w:p>
        </w:tc>
        <w:tc>
          <w:tcPr>
            <w:tcW w:type="dxa" w:w="864"/>
          </w:tcPr>
          <w:p>
            <w:r>
              <w:rPr>
                <w:sz w:val="13"/>
              </w:rPr>
              <w:t>ky,θ</w:t>
            </w:r>
          </w:p>
        </w:tc>
        <w:tc>
          <w:tcPr>
            <w:tcW w:type="dxa" w:w="864"/>
          </w:tcPr>
          <w:p>
            <w:r>
              <w:rPr>
                <w:sz w:val="13"/>
              </w:rPr>
              <w:t>Eθ (GPa)</w:t>
            </w:r>
          </w:p>
        </w:tc>
        <w:tc>
          <w:tcPr>
            <w:tcW w:type="dxa" w:w="864"/>
          </w:tcPr>
          <w:p>
            <w:r>
              <w:rPr>
                <w:sz w:val="13"/>
              </w:rPr>
              <w:t>Ft,Rd,θ (kN)</w:t>
            </w:r>
          </w:p>
        </w:tc>
        <w:tc>
          <w:tcPr>
            <w:tcW w:type="dxa" w:w="864"/>
          </w:tcPr>
          <w:p>
            <w:r>
              <w:rPr>
                <w:sz w:val="13"/>
              </w:rPr>
              <w:t>ηfi</w:t>
            </w:r>
          </w:p>
        </w:tc>
        <w:tc>
          <w:tcPr>
            <w:tcW w:type="dxa" w:w="864"/>
          </w:tcPr>
          <w:p>
            <w:r>
              <w:rPr>
                <w:sz w:val="13"/>
              </w:rPr>
              <w:t>Statut</w:t>
            </w:r>
          </w:p>
        </w:tc>
      </w:tr>
      <w:tr>
        <w:tc>
          <w:tcPr>
            <w:tcW w:type="dxa" w:w="864"/>
          </w:tcPr>
          <w:p>
            <w:r>
              <w:rPr>
                <w:sz w:val="13"/>
              </w:rPr>
              <w:t>ISO 834</w:t>
            </w:r>
          </w:p>
        </w:tc>
        <w:tc>
          <w:tcPr>
            <w:tcW w:type="dxa" w:w="864"/>
          </w:tcPr>
          <w:p>
            <w:r>
              <w:rPr>
                <w:sz w:val="13"/>
              </w:rPr>
              <w:t>15</w:t>
            </w:r>
          </w:p>
        </w:tc>
        <w:tc>
          <w:tcPr>
            <w:tcW w:type="dxa" w:w="864"/>
          </w:tcPr>
          <w:p>
            <w:r>
              <w:rPr>
                <w:sz w:val="13"/>
              </w:rPr>
              <w:t>Suspente secondaire</w:t>
            </w:r>
          </w:p>
        </w:tc>
        <w:tc>
          <w:tcPr>
            <w:tcW w:type="dxa" w:w="864"/>
          </w:tcPr>
          <w:p>
            <w:r>
              <w:rPr>
                <w:sz w:val="13"/>
              </w:rPr>
              <w:t>20.0</w:t>
            </w:r>
          </w:p>
        </w:tc>
        <w:tc>
          <w:tcPr>
            <w:tcW w:type="dxa" w:w="864"/>
          </w:tcPr>
          <w:p>
            <w:r>
              <w:rPr>
                <w:sz w:val="13"/>
              </w:rPr>
              <w:t>516.8</w:t>
            </w:r>
          </w:p>
        </w:tc>
        <w:tc>
          <w:tcPr>
            <w:tcW w:type="dxa" w:w="864"/>
          </w:tcPr>
          <w:p>
            <w:r>
              <w:rPr>
                <w:sz w:val="13"/>
              </w:rPr>
              <w:t>0.728</w:t>
            </w:r>
          </w:p>
        </w:tc>
        <w:tc>
          <w:tcPr>
            <w:tcW w:type="dxa" w:w="864"/>
          </w:tcPr>
          <w:p>
            <w:r>
              <w:rPr>
                <w:sz w:val="13"/>
              </w:rPr>
              <w:t>113.0</w:t>
            </w:r>
          </w:p>
        </w:tc>
        <w:tc>
          <w:tcPr>
            <w:tcW w:type="dxa" w:w="864"/>
          </w:tcPr>
          <w:p>
            <w:r>
              <w:rPr>
                <w:sz w:val="13"/>
              </w:rPr>
              <w:t>393.7</w:t>
            </w:r>
          </w:p>
        </w:tc>
        <w:tc>
          <w:tcPr>
            <w:tcW w:type="dxa" w:w="864"/>
          </w:tcPr>
          <w:p>
            <w:r>
              <w:rPr>
                <w:sz w:val="13"/>
              </w:rPr>
              <w:t>0.292</w:t>
            </w:r>
          </w:p>
        </w:tc>
        <w:tc>
          <w:tcPr>
            <w:tcW w:type="dxa" w:w="864"/>
          </w:tcPr>
          <w:p>
            <w:r>
              <w:rPr>
                <w:sz w:val="13"/>
              </w:rPr>
              <w:t>Justifié</w:t>
            </w:r>
          </w:p>
        </w:tc>
      </w:tr>
      <w:tr>
        <w:tc>
          <w:tcPr>
            <w:tcW w:type="dxa" w:w="864"/>
          </w:tcPr>
          <w:p>
            <w:r>
              <w:rPr>
                <w:sz w:val="13"/>
              </w:rPr>
              <w:t>ISO 834</w:t>
            </w:r>
          </w:p>
        </w:tc>
        <w:tc>
          <w:tcPr>
            <w:tcW w:type="dxa" w:w="864"/>
          </w:tcPr>
          <w:p>
            <w:r>
              <w:rPr>
                <w:sz w:val="13"/>
              </w:rPr>
              <w:t>30</w:t>
            </w:r>
          </w:p>
        </w:tc>
        <w:tc>
          <w:tcPr>
            <w:tcW w:type="dxa" w:w="864"/>
          </w:tcPr>
          <w:p>
            <w:r>
              <w:rPr>
                <w:sz w:val="13"/>
              </w:rPr>
              <w:t>Suspente secondaire</w:t>
            </w:r>
          </w:p>
        </w:tc>
        <w:tc>
          <w:tcPr>
            <w:tcW w:type="dxa" w:w="864"/>
          </w:tcPr>
          <w:p>
            <w:r>
              <w:rPr>
                <w:sz w:val="13"/>
              </w:rPr>
              <w:t>20.0</w:t>
            </w:r>
          </w:p>
        </w:tc>
        <w:tc>
          <w:tcPr>
            <w:tcW w:type="dxa" w:w="864"/>
          </w:tcPr>
          <w:p>
            <w:r>
              <w:rPr>
                <w:sz w:val="13"/>
              </w:rPr>
              <w:t>742.1</w:t>
            </w:r>
          </w:p>
        </w:tc>
        <w:tc>
          <w:tcPr>
            <w:tcW w:type="dxa" w:w="864"/>
          </w:tcPr>
          <w:p>
            <w:r>
              <w:rPr>
                <w:sz w:val="13"/>
              </w:rPr>
              <w:t>0.179</w:t>
            </w:r>
          </w:p>
        </w:tc>
        <w:tc>
          <w:tcPr>
            <w:tcW w:type="dxa" w:w="864"/>
          </w:tcPr>
          <w:p>
            <w:r>
              <w:rPr>
                <w:sz w:val="13"/>
              </w:rPr>
              <w:t>23.2</w:t>
            </w:r>
          </w:p>
        </w:tc>
        <w:tc>
          <w:tcPr>
            <w:tcW w:type="dxa" w:w="864"/>
          </w:tcPr>
          <w:p>
            <w:r>
              <w:rPr>
                <w:sz w:val="13"/>
              </w:rPr>
              <w:t>97.1</w:t>
            </w:r>
          </w:p>
        </w:tc>
        <w:tc>
          <w:tcPr>
            <w:tcW w:type="dxa" w:w="864"/>
          </w:tcPr>
          <w:p>
            <w:r>
              <w:rPr>
                <w:sz w:val="13"/>
              </w:rPr>
              <w:t>1.184</w:t>
            </w:r>
          </w:p>
        </w:tc>
        <w:tc>
          <w:tcPr>
            <w:tcW w:type="dxa" w:w="864"/>
          </w:tcPr>
          <w:p>
            <w:r>
              <w:rPr>
                <w:sz w:val="13"/>
              </w:rPr>
              <w:t>Non justifié</w:t>
            </w:r>
          </w:p>
        </w:tc>
      </w:tr>
      <w:tr>
        <w:tc>
          <w:tcPr>
            <w:tcW w:type="dxa" w:w="864"/>
          </w:tcPr>
          <w:p>
            <w:r>
              <w:rPr>
                <w:sz w:val="13"/>
              </w:rPr>
              <w:t>ISO 834</w:t>
            </w:r>
          </w:p>
        </w:tc>
        <w:tc>
          <w:tcPr>
            <w:tcW w:type="dxa" w:w="864"/>
          </w:tcPr>
          <w:p>
            <w:r>
              <w:rPr>
                <w:sz w:val="13"/>
              </w:rPr>
              <w:t>60</w:t>
            </w:r>
          </w:p>
        </w:tc>
        <w:tc>
          <w:tcPr>
            <w:tcW w:type="dxa" w:w="864"/>
          </w:tcPr>
          <w:p>
            <w:r>
              <w:rPr>
                <w:sz w:val="13"/>
              </w:rPr>
              <w:t>Suspente secondaire</w:t>
            </w:r>
          </w:p>
        </w:tc>
        <w:tc>
          <w:tcPr>
            <w:tcW w:type="dxa" w:w="864"/>
          </w:tcPr>
          <w:p>
            <w:r>
              <w:rPr>
                <w:sz w:val="13"/>
              </w:rPr>
              <w:t>20.0</w:t>
            </w:r>
          </w:p>
        </w:tc>
        <w:tc>
          <w:tcPr>
            <w:tcW w:type="dxa" w:w="864"/>
          </w:tcPr>
          <w:p>
            <w:r>
              <w:rPr>
                <w:sz w:val="13"/>
              </w:rPr>
              <w:t>935.8</w:t>
            </w:r>
          </w:p>
        </w:tc>
        <w:tc>
          <w:tcPr>
            <w:tcW w:type="dxa" w:w="864"/>
          </w:tcPr>
          <w:p>
            <w:r>
              <w:rPr>
                <w:sz w:val="13"/>
              </w:rPr>
              <w:t>0.053</w:t>
            </w:r>
          </w:p>
        </w:tc>
        <w:tc>
          <w:tcPr>
            <w:tcW w:type="dxa" w:w="864"/>
          </w:tcPr>
          <w:p>
            <w:r>
              <w:rPr>
                <w:sz w:val="13"/>
              </w:rPr>
              <w:t>12.2</w:t>
            </w:r>
          </w:p>
        </w:tc>
        <w:tc>
          <w:tcPr>
            <w:tcW w:type="dxa" w:w="864"/>
          </w:tcPr>
          <w:p>
            <w:r>
              <w:rPr>
                <w:sz w:val="13"/>
              </w:rPr>
              <w:t>28.6</w:t>
            </w:r>
          </w:p>
        </w:tc>
        <w:tc>
          <w:tcPr>
            <w:tcW w:type="dxa" w:w="864"/>
          </w:tcPr>
          <w:p>
            <w:r>
              <w:rPr>
                <w:sz w:val="13"/>
              </w:rPr>
              <w:t>4.022</w:t>
            </w:r>
          </w:p>
        </w:tc>
        <w:tc>
          <w:tcPr>
            <w:tcW w:type="dxa" w:w="864"/>
          </w:tcPr>
          <w:p>
            <w:r>
              <w:rPr>
                <w:sz w:val="13"/>
              </w:rPr>
              <w:t>Non justifié</w:t>
            </w:r>
          </w:p>
        </w:tc>
      </w:tr>
      <w:tr>
        <w:tc>
          <w:tcPr>
            <w:tcW w:type="dxa" w:w="864"/>
          </w:tcPr>
          <w:p>
            <w:r>
              <w:rPr>
                <w:sz w:val="13"/>
              </w:rPr>
              <w:t>ISO 834</w:t>
            </w:r>
          </w:p>
        </w:tc>
        <w:tc>
          <w:tcPr>
            <w:tcW w:type="dxa" w:w="864"/>
          </w:tcPr>
          <w:p>
            <w:r>
              <w:rPr>
                <w:sz w:val="13"/>
              </w:rPr>
              <w:t>90</w:t>
            </w:r>
          </w:p>
        </w:tc>
        <w:tc>
          <w:tcPr>
            <w:tcW w:type="dxa" w:w="864"/>
          </w:tcPr>
          <w:p>
            <w:r>
              <w:rPr>
                <w:sz w:val="13"/>
              </w:rPr>
              <w:t>Suspente secondaire</w:t>
            </w:r>
          </w:p>
        </w:tc>
        <w:tc>
          <w:tcPr>
            <w:tcW w:type="dxa" w:w="864"/>
          </w:tcPr>
          <w:p>
            <w:r>
              <w:rPr>
                <w:sz w:val="13"/>
              </w:rPr>
              <w:t>20.0</w:t>
            </w:r>
          </w:p>
        </w:tc>
        <w:tc>
          <w:tcPr>
            <w:tcW w:type="dxa" w:w="864"/>
          </w:tcPr>
          <w:p>
            <w:r>
              <w:rPr>
                <w:sz w:val="13"/>
              </w:rPr>
              <w:t>1000.7</w:t>
            </w:r>
          </w:p>
        </w:tc>
        <w:tc>
          <w:tcPr>
            <w:tcW w:type="dxa" w:w="864"/>
          </w:tcPr>
          <w:p>
            <w:r>
              <w:rPr>
                <w:sz w:val="13"/>
              </w:rPr>
              <w:t>0.04</w:t>
            </w:r>
          </w:p>
        </w:tc>
        <w:tc>
          <w:tcPr>
            <w:tcW w:type="dxa" w:w="864"/>
          </w:tcPr>
          <w:p>
            <w:r>
              <w:rPr>
                <w:sz w:val="13"/>
              </w:rPr>
              <w:t>9.2</w:t>
            </w:r>
          </w:p>
        </w:tc>
        <w:tc>
          <w:tcPr>
            <w:tcW w:type="dxa" w:w="864"/>
          </w:tcPr>
          <w:p>
            <w:r>
              <w:rPr>
                <w:sz w:val="13"/>
              </w:rPr>
              <w:t>21.6</w:t>
            </w:r>
          </w:p>
        </w:tc>
        <w:tc>
          <w:tcPr>
            <w:tcW w:type="dxa" w:w="864"/>
          </w:tcPr>
          <w:p>
            <w:r>
              <w:rPr>
                <w:sz w:val="13"/>
              </w:rPr>
              <w:t>5.333</w:t>
            </w:r>
          </w:p>
        </w:tc>
        <w:tc>
          <w:tcPr>
            <w:tcW w:type="dxa" w:w="864"/>
          </w:tcPr>
          <w:p>
            <w:r>
              <w:rPr>
                <w:sz w:val="13"/>
              </w:rPr>
              <w:t>Non justifié</w:t>
            </w:r>
          </w:p>
        </w:tc>
      </w:tr>
      <w:tr>
        <w:tc>
          <w:tcPr>
            <w:tcW w:type="dxa" w:w="864"/>
          </w:tcPr>
          <w:p>
            <w:r>
              <w:rPr>
                <w:sz w:val="13"/>
              </w:rPr>
              <w:t>ISO 834</w:t>
            </w:r>
          </w:p>
        </w:tc>
        <w:tc>
          <w:tcPr>
            <w:tcW w:type="dxa" w:w="864"/>
          </w:tcPr>
          <w:p>
            <w:r>
              <w:rPr>
                <w:sz w:val="13"/>
              </w:rPr>
              <w:t>120</w:t>
            </w:r>
          </w:p>
        </w:tc>
        <w:tc>
          <w:tcPr>
            <w:tcW w:type="dxa" w:w="864"/>
          </w:tcPr>
          <w:p>
            <w:r>
              <w:rPr>
                <w:sz w:val="13"/>
              </w:rPr>
              <w:t>Suspente secondaire</w:t>
            </w:r>
          </w:p>
        </w:tc>
        <w:tc>
          <w:tcPr>
            <w:tcW w:type="dxa" w:w="864"/>
          </w:tcPr>
          <w:p>
            <w:r>
              <w:rPr>
                <w:sz w:val="13"/>
              </w:rPr>
              <w:t>20.0</w:t>
            </w:r>
          </w:p>
        </w:tc>
        <w:tc>
          <w:tcPr>
            <w:tcW w:type="dxa" w:w="864"/>
          </w:tcPr>
          <w:p>
            <w:r>
              <w:rPr>
                <w:sz w:val="13"/>
              </w:rPr>
              <w:t>1045.5</w:t>
            </w:r>
          </w:p>
        </w:tc>
        <w:tc>
          <w:tcPr>
            <w:tcW w:type="dxa" w:w="864"/>
          </w:tcPr>
          <w:p>
            <w:r>
              <w:rPr>
                <w:sz w:val="13"/>
              </w:rPr>
              <w:t>0.031</w:t>
            </w:r>
          </w:p>
        </w:tc>
        <w:tc>
          <w:tcPr>
            <w:tcW w:type="dxa" w:w="864"/>
          </w:tcPr>
          <w:p>
            <w:r>
              <w:rPr>
                <w:sz w:val="13"/>
              </w:rPr>
              <w:t>7.1</w:t>
            </w:r>
          </w:p>
        </w:tc>
        <w:tc>
          <w:tcPr>
            <w:tcW w:type="dxa" w:w="864"/>
          </w:tcPr>
          <w:p>
            <w:r>
              <w:rPr>
                <w:sz w:val="13"/>
              </w:rPr>
              <w:t>16.7</w:t>
            </w:r>
          </w:p>
        </w:tc>
        <w:tc>
          <w:tcPr>
            <w:tcW w:type="dxa" w:w="864"/>
          </w:tcPr>
          <w:p>
            <w:r>
              <w:rPr>
                <w:sz w:val="13"/>
              </w:rPr>
              <w:t>6.879</w:t>
            </w:r>
          </w:p>
        </w:tc>
        <w:tc>
          <w:tcPr>
            <w:tcW w:type="dxa" w:w="864"/>
          </w:tcPr>
          <w:p>
            <w:r>
              <w:rPr>
                <w:sz w:val="13"/>
              </w:rPr>
              <w:t>Non justifié</w:t>
            </w:r>
          </w:p>
        </w:tc>
      </w:tr>
      <w:tr>
        <w:tc>
          <w:tcPr>
            <w:tcW w:type="dxa" w:w="864"/>
          </w:tcPr>
          <w:p>
            <w:r>
              <w:rPr>
                <w:sz w:val="13"/>
              </w:rPr>
              <w:t>ISO 834</w:t>
            </w:r>
          </w:p>
        </w:tc>
        <w:tc>
          <w:tcPr>
            <w:tcW w:type="dxa" w:w="864"/>
          </w:tcPr>
          <w:p>
            <w:r>
              <w:rPr>
                <w:sz w:val="13"/>
              </w:rPr>
              <w:t>15</w:t>
            </w:r>
          </w:p>
        </w:tc>
        <w:tc>
          <w:tcPr>
            <w:tcW w:type="dxa" w:w="864"/>
          </w:tcPr>
          <w:p>
            <w:r>
              <w:rPr>
                <w:sz w:val="13"/>
              </w:rPr>
              <w:t>Câble principal clos</w:t>
            </w:r>
          </w:p>
        </w:tc>
        <w:tc>
          <w:tcPr>
            <w:tcW w:type="dxa" w:w="864"/>
          </w:tcPr>
          <w:p>
            <w:r>
              <w:rPr>
                <w:sz w:val="13"/>
              </w:rPr>
              <w:t>20.0</w:t>
            </w:r>
          </w:p>
        </w:tc>
        <w:tc>
          <w:tcPr>
            <w:tcW w:type="dxa" w:w="864"/>
          </w:tcPr>
          <w:p>
            <w:r>
              <w:rPr>
                <w:sz w:val="13"/>
              </w:rPr>
              <w:t>231.8</w:t>
            </w:r>
          </w:p>
        </w:tc>
        <w:tc>
          <w:tcPr>
            <w:tcW w:type="dxa" w:w="864"/>
          </w:tcPr>
          <w:p>
            <w:r>
              <w:rPr>
                <w:sz w:val="13"/>
              </w:rPr>
              <w:t>1.0</w:t>
            </w:r>
          </w:p>
        </w:tc>
        <w:tc>
          <w:tcPr>
            <w:tcW w:type="dxa" w:w="864"/>
          </w:tcPr>
          <w:p>
            <w:r>
              <w:rPr>
                <w:sz w:val="13"/>
              </w:rPr>
              <w:t>138.9</w:t>
            </w:r>
          </w:p>
        </w:tc>
        <w:tc>
          <w:tcPr>
            <w:tcW w:type="dxa" w:w="864"/>
          </w:tcPr>
          <w:p>
            <w:r>
              <w:rPr>
                <w:sz w:val="13"/>
              </w:rPr>
              <w:t>11897.0</w:t>
            </w:r>
          </w:p>
        </w:tc>
        <w:tc>
          <w:tcPr>
            <w:tcW w:type="dxa" w:w="864"/>
          </w:tcPr>
          <w:p>
            <w:r>
              <w:rPr>
                <w:sz w:val="13"/>
              </w:rPr>
              <w:t>0.277</w:t>
            </w:r>
          </w:p>
        </w:tc>
        <w:tc>
          <w:tcPr>
            <w:tcW w:type="dxa" w:w="864"/>
          </w:tcPr>
          <w:p>
            <w:r>
              <w:rPr>
                <w:sz w:val="13"/>
              </w:rPr>
              <w:t>Justifié</w:t>
            </w:r>
          </w:p>
        </w:tc>
      </w:tr>
      <w:tr>
        <w:tc>
          <w:tcPr>
            <w:tcW w:type="dxa" w:w="864"/>
          </w:tcPr>
          <w:p>
            <w:r>
              <w:rPr>
                <w:sz w:val="13"/>
              </w:rPr>
              <w:t>ISO 834</w:t>
            </w:r>
          </w:p>
        </w:tc>
        <w:tc>
          <w:tcPr>
            <w:tcW w:type="dxa" w:w="864"/>
          </w:tcPr>
          <w:p>
            <w:r>
              <w:rPr>
                <w:sz w:val="13"/>
              </w:rPr>
              <w:t>30</w:t>
            </w:r>
          </w:p>
        </w:tc>
        <w:tc>
          <w:tcPr>
            <w:tcW w:type="dxa" w:w="864"/>
          </w:tcPr>
          <w:p>
            <w:r>
              <w:rPr>
                <w:sz w:val="13"/>
              </w:rPr>
              <w:t>Câble principal clos</w:t>
            </w:r>
          </w:p>
        </w:tc>
        <w:tc>
          <w:tcPr>
            <w:tcW w:type="dxa" w:w="864"/>
          </w:tcPr>
          <w:p>
            <w:r>
              <w:rPr>
                <w:sz w:val="13"/>
              </w:rPr>
              <w:t>20.0</w:t>
            </w:r>
          </w:p>
        </w:tc>
        <w:tc>
          <w:tcPr>
            <w:tcW w:type="dxa" w:w="864"/>
          </w:tcPr>
          <w:p>
            <w:r>
              <w:rPr>
                <w:sz w:val="13"/>
              </w:rPr>
              <w:t>492.9</w:t>
            </w:r>
          </w:p>
        </w:tc>
        <w:tc>
          <w:tcPr>
            <w:tcW w:type="dxa" w:w="864"/>
          </w:tcPr>
          <w:p>
            <w:r>
              <w:rPr>
                <w:sz w:val="13"/>
              </w:rPr>
              <w:t>0.796</w:t>
            </w:r>
          </w:p>
        </w:tc>
        <w:tc>
          <w:tcPr>
            <w:tcW w:type="dxa" w:w="864"/>
          </w:tcPr>
          <w:p>
            <w:r>
              <w:rPr>
                <w:sz w:val="13"/>
              </w:rPr>
              <w:t>97.1</w:t>
            </w:r>
          </w:p>
        </w:tc>
        <w:tc>
          <w:tcPr>
            <w:tcW w:type="dxa" w:w="864"/>
          </w:tcPr>
          <w:p>
            <w:r>
              <w:rPr>
                <w:sz w:val="13"/>
              </w:rPr>
              <w:t>9466.3</w:t>
            </w:r>
          </w:p>
        </w:tc>
        <w:tc>
          <w:tcPr>
            <w:tcW w:type="dxa" w:w="864"/>
          </w:tcPr>
          <w:p>
            <w:r>
              <w:rPr>
                <w:sz w:val="13"/>
              </w:rPr>
              <w:t>0.349</w:t>
            </w:r>
          </w:p>
        </w:tc>
        <w:tc>
          <w:tcPr>
            <w:tcW w:type="dxa" w:w="864"/>
          </w:tcPr>
          <w:p>
            <w:r>
              <w:rPr>
                <w:sz w:val="13"/>
              </w:rPr>
              <w:t>Justifié</w:t>
            </w:r>
          </w:p>
        </w:tc>
      </w:tr>
      <w:tr>
        <w:tc>
          <w:tcPr>
            <w:tcW w:type="dxa" w:w="864"/>
          </w:tcPr>
          <w:p>
            <w:r>
              <w:rPr>
                <w:sz w:val="13"/>
              </w:rPr>
              <w:t>ISO 834</w:t>
            </w:r>
          </w:p>
        </w:tc>
        <w:tc>
          <w:tcPr>
            <w:tcW w:type="dxa" w:w="864"/>
          </w:tcPr>
          <w:p>
            <w:r>
              <w:rPr>
                <w:sz w:val="13"/>
              </w:rPr>
              <w:t>60</w:t>
            </w:r>
          </w:p>
        </w:tc>
        <w:tc>
          <w:tcPr>
            <w:tcW w:type="dxa" w:w="864"/>
          </w:tcPr>
          <w:p>
            <w:r>
              <w:rPr>
                <w:sz w:val="13"/>
              </w:rPr>
              <w:t>Câble principal clos</w:t>
            </w:r>
          </w:p>
        </w:tc>
        <w:tc>
          <w:tcPr>
            <w:tcW w:type="dxa" w:w="864"/>
          </w:tcPr>
          <w:p>
            <w:r>
              <w:rPr>
                <w:sz w:val="13"/>
              </w:rPr>
              <w:t>20.0</w:t>
            </w:r>
          </w:p>
        </w:tc>
        <w:tc>
          <w:tcPr>
            <w:tcW w:type="dxa" w:w="864"/>
          </w:tcPr>
          <w:p>
            <w:r>
              <w:rPr>
                <w:sz w:val="13"/>
              </w:rPr>
              <w:t>764.8</w:t>
            </w:r>
          </w:p>
        </w:tc>
        <w:tc>
          <w:tcPr>
            <w:tcW w:type="dxa" w:w="864"/>
          </w:tcPr>
          <w:p>
            <w:r>
              <w:rPr>
                <w:sz w:val="13"/>
              </w:rPr>
              <w:t>0.152</w:t>
            </w:r>
          </w:p>
        </w:tc>
        <w:tc>
          <w:tcPr>
            <w:tcW w:type="dxa" w:w="864"/>
          </w:tcPr>
          <w:p>
            <w:r>
              <w:rPr>
                <w:sz w:val="13"/>
              </w:rPr>
              <w:t>16.7</w:t>
            </w:r>
          </w:p>
        </w:tc>
        <w:tc>
          <w:tcPr>
            <w:tcW w:type="dxa" w:w="864"/>
          </w:tcPr>
          <w:p>
            <w:r>
              <w:rPr>
                <w:sz w:val="13"/>
              </w:rPr>
              <w:t>1811.5</w:t>
            </w:r>
          </w:p>
        </w:tc>
        <w:tc>
          <w:tcPr>
            <w:tcW w:type="dxa" w:w="864"/>
          </w:tcPr>
          <w:p>
            <w:r>
              <w:rPr>
                <w:sz w:val="13"/>
              </w:rPr>
              <w:t>1.822</w:t>
            </w:r>
          </w:p>
        </w:tc>
        <w:tc>
          <w:tcPr>
            <w:tcW w:type="dxa" w:w="864"/>
          </w:tcPr>
          <w:p>
            <w:r>
              <w:rPr>
                <w:sz w:val="13"/>
              </w:rPr>
              <w:t>Non justifié</w:t>
            </w:r>
          </w:p>
        </w:tc>
      </w:tr>
      <w:tr>
        <w:tc>
          <w:tcPr>
            <w:tcW w:type="dxa" w:w="864"/>
          </w:tcPr>
          <w:p>
            <w:r>
              <w:rPr>
                <w:sz w:val="13"/>
              </w:rPr>
              <w:t>ISO 834</w:t>
            </w:r>
          </w:p>
        </w:tc>
        <w:tc>
          <w:tcPr>
            <w:tcW w:type="dxa" w:w="864"/>
          </w:tcPr>
          <w:p>
            <w:r>
              <w:rPr>
                <w:sz w:val="13"/>
              </w:rPr>
              <w:t>90</w:t>
            </w:r>
          </w:p>
        </w:tc>
        <w:tc>
          <w:tcPr>
            <w:tcW w:type="dxa" w:w="864"/>
          </w:tcPr>
          <w:p>
            <w:r>
              <w:rPr>
                <w:sz w:val="13"/>
              </w:rPr>
              <w:t>Câble principal clos</w:t>
            </w:r>
          </w:p>
        </w:tc>
        <w:tc>
          <w:tcPr>
            <w:tcW w:type="dxa" w:w="864"/>
          </w:tcPr>
          <w:p>
            <w:r>
              <w:rPr>
                <w:sz w:val="13"/>
              </w:rPr>
              <w:t>20.0</w:t>
            </w:r>
          </w:p>
        </w:tc>
        <w:tc>
          <w:tcPr>
            <w:tcW w:type="dxa" w:w="864"/>
          </w:tcPr>
          <w:p>
            <w:r>
              <w:rPr>
                <w:sz w:val="13"/>
              </w:rPr>
              <w:t>969.3</w:t>
            </w:r>
          </w:p>
        </w:tc>
        <w:tc>
          <w:tcPr>
            <w:tcW w:type="dxa" w:w="864"/>
          </w:tcPr>
          <w:p>
            <w:r>
              <w:rPr>
                <w:sz w:val="13"/>
              </w:rPr>
              <w:t>0.046</w:t>
            </w:r>
          </w:p>
        </w:tc>
        <w:tc>
          <w:tcPr>
            <w:tcW w:type="dxa" w:w="864"/>
          </w:tcPr>
          <w:p>
            <w:r>
              <w:rPr>
                <w:sz w:val="13"/>
              </w:rPr>
              <w:t>8.3</w:t>
            </w:r>
          </w:p>
        </w:tc>
        <w:tc>
          <w:tcPr>
            <w:tcW w:type="dxa" w:w="864"/>
          </w:tcPr>
          <w:p>
            <w:r>
              <w:rPr>
                <w:sz w:val="13"/>
              </w:rPr>
              <w:t>549.0</w:t>
            </w:r>
          </w:p>
        </w:tc>
        <w:tc>
          <w:tcPr>
            <w:tcW w:type="dxa" w:w="864"/>
          </w:tcPr>
          <w:p>
            <w:r>
              <w:rPr>
                <w:sz w:val="13"/>
              </w:rPr>
              <w:t>6.011</w:t>
            </w:r>
          </w:p>
        </w:tc>
        <w:tc>
          <w:tcPr>
            <w:tcW w:type="dxa" w:w="864"/>
          </w:tcPr>
          <w:p>
            <w:r>
              <w:rPr>
                <w:sz w:val="13"/>
              </w:rPr>
              <w:t>Non justifié</w:t>
            </w:r>
          </w:p>
        </w:tc>
      </w:tr>
      <w:tr>
        <w:tc>
          <w:tcPr>
            <w:tcW w:type="dxa" w:w="864"/>
          </w:tcPr>
          <w:p>
            <w:r>
              <w:rPr>
                <w:sz w:val="13"/>
              </w:rPr>
              <w:t>ISO 834</w:t>
            </w:r>
          </w:p>
        </w:tc>
        <w:tc>
          <w:tcPr>
            <w:tcW w:type="dxa" w:w="864"/>
          </w:tcPr>
          <w:p>
            <w:r>
              <w:rPr>
                <w:sz w:val="13"/>
              </w:rPr>
              <w:t>120</w:t>
            </w:r>
          </w:p>
        </w:tc>
        <w:tc>
          <w:tcPr>
            <w:tcW w:type="dxa" w:w="864"/>
          </w:tcPr>
          <w:p>
            <w:r>
              <w:rPr>
                <w:sz w:val="13"/>
              </w:rPr>
              <w:t>Câble principal clos</w:t>
            </w:r>
          </w:p>
        </w:tc>
        <w:tc>
          <w:tcPr>
            <w:tcW w:type="dxa" w:w="864"/>
          </w:tcPr>
          <w:p>
            <w:r>
              <w:rPr>
                <w:sz w:val="13"/>
              </w:rPr>
              <w:t>20.0</w:t>
            </w:r>
          </w:p>
        </w:tc>
        <w:tc>
          <w:tcPr>
            <w:tcW w:type="dxa" w:w="864"/>
          </w:tcPr>
          <w:p>
            <w:r>
              <w:rPr>
                <w:sz w:val="13"/>
              </w:rPr>
              <w:t>1034.8</w:t>
            </w:r>
          </w:p>
        </w:tc>
        <w:tc>
          <w:tcPr>
            <w:tcW w:type="dxa" w:w="864"/>
          </w:tcPr>
          <w:p>
            <w:r>
              <w:rPr>
                <w:sz w:val="13"/>
              </w:rPr>
              <w:t>0.033</w:t>
            </w:r>
          </w:p>
        </w:tc>
        <w:tc>
          <w:tcPr>
            <w:tcW w:type="dxa" w:w="864"/>
          </w:tcPr>
          <w:p>
            <w:r>
              <w:rPr>
                <w:sz w:val="13"/>
              </w:rPr>
              <w:t>5.9</w:t>
            </w:r>
          </w:p>
        </w:tc>
        <w:tc>
          <w:tcPr>
            <w:tcW w:type="dxa" w:w="864"/>
          </w:tcPr>
          <w:p>
            <w:r>
              <w:rPr>
                <w:sz w:val="13"/>
              </w:rPr>
              <w:t>393.1</w:t>
            </w:r>
          </w:p>
        </w:tc>
        <w:tc>
          <w:tcPr>
            <w:tcW w:type="dxa" w:w="864"/>
          </w:tcPr>
          <w:p>
            <w:r>
              <w:rPr>
                <w:sz w:val="13"/>
              </w:rPr>
              <w:t>8.395</w:t>
            </w:r>
          </w:p>
        </w:tc>
        <w:tc>
          <w:tcPr>
            <w:tcW w:type="dxa" w:w="864"/>
          </w:tcPr>
          <w:p>
            <w:r>
              <w:rPr>
                <w:sz w:val="13"/>
              </w:rPr>
              <w:t>Non justifié</w:t>
            </w:r>
          </w:p>
        </w:tc>
      </w:tr>
      <w:tr>
        <w:tc>
          <w:tcPr>
            <w:tcW w:type="dxa" w:w="864"/>
          </w:tcPr>
          <w:p>
            <w:r>
              <w:rPr>
                <w:sz w:val="13"/>
              </w:rPr>
              <w:t>Feu extérieur</w:t>
            </w:r>
          </w:p>
        </w:tc>
        <w:tc>
          <w:tcPr>
            <w:tcW w:type="dxa" w:w="864"/>
          </w:tcPr>
          <w:p>
            <w:r>
              <w:rPr>
                <w:sz w:val="13"/>
              </w:rPr>
              <w:t>15</w:t>
            </w:r>
          </w:p>
        </w:tc>
        <w:tc>
          <w:tcPr>
            <w:tcW w:type="dxa" w:w="864"/>
          </w:tcPr>
          <w:p>
            <w:r>
              <w:rPr>
                <w:sz w:val="13"/>
              </w:rPr>
              <w:t>Suspente secondaire</w:t>
            </w:r>
          </w:p>
        </w:tc>
        <w:tc>
          <w:tcPr>
            <w:tcW w:type="dxa" w:w="864"/>
          </w:tcPr>
          <w:p>
            <w:r>
              <w:rPr>
                <w:sz w:val="13"/>
              </w:rPr>
              <w:t>20.0</w:t>
            </w:r>
          </w:p>
        </w:tc>
        <w:tc>
          <w:tcPr>
            <w:tcW w:type="dxa" w:w="864"/>
          </w:tcPr>
          <w:p>
            <w:r>
              <w:rPr>
                <w:sz w:val="13"/>
              </w:rPr>
              <w:t>491.7</w:t>
            </w:r>
          </w:p>
        </w:tc>
        <w:tc>
          <w:tcPr>
            <w:tcW w:type="dxa" w:w="864"/>
          </w:tcPr>
          <w:p>
            <w:r>
              <w:rPr>
                <w:sz w:val="13"/>
              </w:rPr>
              <w:t>0.798</w:t>
            </w:r>
          </w:p>
        </w:tc>
        <w:tc>
          <w:tcPr>
            <w:tcW w:type="dxa" w:w="864"/>
          </w:tcPr>
          <w:p>
            <w:r>
              <w:rPr>
                <w:sz w:val="13"/>
              </w:rPr>
              <w:t>124.7</w:t>
            </w:r>
          </w:p>
        </w:tc>
        <w:tc>
          <w:tcPr>
            <w:tcW w:type="dxa" w:w="864"/>
          </w:tcPr>
          <w:p>
            <w:r>
              <w:rPr>
                <w:sz w:val="13"/>
              </w:rPr>
              <w:t>431.8</w:t>
            </w:r>
          </w:p>
        </w:tc>
        <w:tc>
          <w:tcPr>
            <w:tcW w:type="dxa" w:w="864"/>
          </w:tcPr>
          <w:p>
            <w:r>
              <w:rPr>
                <w:sz w:val="13"/>
              </w:rPr>
              <w:t>0.266</w:t>
            </w:r>
          </w:p>
        </w:tc>
        <w:tc>
          <w:tcPr>
            <w:tcW w:type="dxa" w:w="864"/>
          </w:tcPr>
          <w:p>
            <w:r>
              <w:rPr>
                <w:sz w:val="13"/>
              </w:rPr>
              <w:t>Justifié</w:t>
            </w:r>
          </w:p>
        </w:tc>
      </w:tr>
      <w:tr>
        <w:tc>
          <w:tcPr>
            <w:tcW w:type="dxa" w:w="864"/>
          </w:tcPr>
          <w:p>
            <w:r>
              <w:rPr>
                <w:sz w:val="13"/>
              </w:rPr>
              <w:t>Feu extérieur</w:t>
            </w:r>
          </w:p>
        </w:tc>
        <w:tc>
          <w:tcPr>
            <w:tcW w:type="dxa" w:w="864"/>
          </w:tcPr>
          <w:p>
            <w:r>
              <w:rPr>
                <w:sz w:val="13"/>
              </w:rPr>
              <w:t>30</w:t>
            </w:r>
          </w:p>
        </w:tc>
        <w:tc>
          <w:tcPr>
            <w:tcW w:type="dxa" w:w="864"/>
          </w:tcPr>
          <w:p>
            <w:r>
              <w:rPr>
                <w:sz w:val="13"/>
              </w:rPr>
              <w:t>Suspente secondaire</w:t>
            </w:r>
          </w:p>
        </w:tc>
        <w:tc>
          <w:tcPr>
            <w:tcW w:type="dxa" w:w="864"/>
          </w:tcPr>
          <w:p>
            <w:r>
              <w:rPr>
                <w:sz w:val="13"/>
              </w:rPr>
              <w:t>20.0</w:t>
            </w:r>
          </w:p>
        </w:tc>
        <w:tc>
          <w:tcPr>
            <w:tcW w:type="dxa" w:w="864"/>
          </w:tcPr>
          <w:p>
            <w:r>
              <w:rPr>
                <w:sz w:val="13"/>
              </w:rPr>
              <w:t>648.4</w:t>
            </w:r>
          </w:p>
        </w:tc>
        <w:tc>
          <w:tcPr>
            <w:tcW w:type="dxa" w:w="864"/>
          </w:tcPr>
          <w:p>
            <w:r>
              <w:rPr>
                <w:sz w:val="13"/>
              </w:rPr>
              <w:t>0.354</w:t>
            </w:r>
          </w:p>
        </w:tc>
        <w:tc>
          <w:tcPr>
            <w:tcW w:type="dxa" w:w="864"/>
          </w:tcPr>
          <w:p>
            <w:r>
              <w:rPr>
                <w:sz w:val="13"/>
              </w:rPr>
              <w:t>45.7</w:t>
            </w:r>
          </w:p>
        </w:tc>
        <w:tc>
          <w:tcPr>
            <w:tcW w:type="dxa" w:w="864"/>
          </w:tcPr>
          <w:p>
            <w:r>
              <w:rPr>
                <w:sz w:val="13"/>
              </w:rPr>
              <w:t>191.4</w:t>
            </w:r>
          </w:p>
        </w:tc>
        <w:tc>
          <w:tcPr>
            <w:tcW w:type="dxa" w:w="864"/>
          </w:tcPr>
          <w:p>
            <w:r>
              <w:rPr>
                <w:sz w:val="13"/>
              </w:rPr>
              <w:t>0.601</w:t>
            </w:r>
          </w:p>
        </w:tc>
        <w:tc>
          <w:tcPr>
            <w:tcW w:type="dxa" w:w="864"/>
          </w:tcPr>
          <w:p>
            <w:r>
              <w:rPr>
                <w:sz w:val="13"/>
              </w:rPr>
              <w:t>Justifié</w:t>
            </w:r>
          </w:p>
        </w:tc>
      </w:tr>
      <w:tr>
        <w:tc>
          <w:tcPr>
            <w:tcW w:type="dxa" w:w="864"/>
          </w:tcPr>
          <w:p>
            <w:r>
              <w:rPr>
                <w:sz w:val="13"/>
              </w:rPr>
              <w:t>Feu extérieur</w:t>
            </w:r>
          </w:p>
        </w:tc>
        <w:tc>
          <w:tcPr>
            <w:tcW w:type="dxa" w:w="864"/>
          </w:tcPr>
          <w:p>
            <w:r>
              <w:rPr>
                <w:sz w:val="13"/>
              </w:rPr>
              <w:t>60</w:t>
            </w:r>
          </w:p>
        </w:tc>
        <w:tc>
          <w:tcPr>
            <w:tcW w:type="dxa" w:w="864"/>
          </w:tcPr>
          <w:p>
            <w:r>
              <w:rPr>
                <w:sz w:val="13"/>
              </w:rPr>
              <w:t>Suspente secondaire</w:t>
            </w:r>
          </w:p>
        </w:tc>
        <w:tc>
          <w:tcPr>
            <w:tcW w:type="dxa" w:w="864"/>
          </w:tcPr>
          <w:p>
            <w:r>
              <w:rPr>
                <w:sz w:val="13"/>
              </w:rPr>
              <w:t>20.0</w:t>
            </w:r>
          </w:p>
        </w:tc>
        <w:tc>
          <w:tcPr>
            <w:tcW w:type="dxa" w:w="864"/>
          </w:tcPr>
          <w:p>
            <w:r>
              <w:rPr>
                <w:sz w:val="13"/>
              </w:rPr>
              <w:t>679.0</w:t>
            </w:r>
          </w:p>
        </w:tc>
        <w:tc>
          <w:tcPr>
            <w:tcW w:type="dxa" w:w="864"/>
          </w:tcPr>
          <w:p>
            <w:r>
              <w:rPr>
                <w:sz w:val="13"/>
              </w:rPr>
              <w:t>0.28</w:t>
            </w:r>
          </w:p>
        </w:tc>
        <w:tc>
          <w:tcPr>
            <w:tcW w:type="dxa" w:w="864"/>
          </w:tcPr>
          <w:p>
            <w:r>
              <w:rPr>
                <w:sz w:val="13"/>
              </w:rPr>
              <w:t>34.4</w:t>
            </w:r>
          </w:p>
        </w:tc>
        <w:tc>
          <w:tcPr>
            <w:tcW w:type="dxa" w:w="864"/>
          </w:tcPr>
          <w:p>
            <w:r>
              <w:rPr>
                <w:sz w:val="13"/>
              </w:rPr>
              <w:t>151.7</w:t>
            </w:r>
          </w:p>
        </w:tc>
        <w:tc>
          <w:tcPr>
            <w:tcW w:type="dxa" w:w="864"/>
          </w:tcPr>
          <w:p>
            <w:r>
              <w:rPr>
                <w:sz w:val="13"/>
              </w:rPr>
              <w:t>0.758</w:t>
            </w:r>
          </w:p>
        </w:tc>
        <w:tc>
          <w:tcPr>
            <w:tcW w:type="dxa" w:w="864"/>
          </w:tcPr>
          <w:p>
            <w:r>
              <w:rPr>
                <w:sz w:val="13"/>
              </w:rPr>
              <w:t>Justifié</w:t>
            </w:r>
          </w:p>
        </w:tc>
      </w:tr>
      <w:tr>
        <w:tc>
          <w:tcPr>
            <w:tcW w:type="dxa" w:w="864"/>
          </w:tcPr>
          <w:p>
            <w:r>
              <w:rPr>
                <w:sz w:val="13"/>
              </w:rPr>
              <w:t>Feu extérieur</w:t>
            </w:r>
          </w:p>
        </w:tc>
        <w:tc>
          <w:tcPr>
            <w:tcW w:type="dxa" w:w="864"/>
          </w:tcPr>
          <w:p>
            <w:r>
              <w:rPr>
                <w:sz w:val="13"/>
              </w:rPr>
              <w:t>90</w:t>
            </w:r>
          </w:p>
        </w:tc>
        <w:tc>
          <w:tcPr>
            <w:tcW w:type="dxa" w:w="864"/>
          </w:tcPr>
          <w:p>
            <w:r>
              <w:rPr>
                <w:sz w:val="13"/>
              </w:rPr>
              <w:t>Suspente secondaire</w:t>
            </w:r>
          </w:p>
        </w:tc>
        <w:tc>
          <w:tcPr>
            <w:tcW w:type="dxa" w:w="864"/>
          </w:tcPr>
          <w:p>
            <w:r>
              <w:rPr>
                <w:sz w:val="13"/>
              </w:rPr>
              <w:t>20.0</w:t>
            </w:r>
          </w:p>
        </w:tc>
        <w:tc>
          <w:tcPr>
            <w:tcW w:type="dxa" w:w="864"/>
          </w:tcPr>
          <w:p>
            <w:r>
              <w:rPr>
                <w:sz w:val="13"/>
              </w:rPr>
              <w:t>680.0</w:t>
            </w:r>
          </w:p>
        </w:tc>
        <w:tc>
          <w:tcPr>
            <w:tcW w:type="dxa" w:w="864"/>
          </w:tcPr>
          <w:p>
            <w:r>
              <w:rPr>
                <w:sz w:val="13"/>
              </w:rPr>
              <w:t>0.278</w:t>
            </w:r>
          </w:p>
        </w:tc>
        <w:tc>
          <w:tcPr>
            <w:tcW w:type="dxa" w:w="864"/>
          </w:tcPr>
          <w:p>
            <w:r>
              <w:rPr>
                <w:sz w:val="13"/>
              </w:rPr>
              <w:t>34.0</w:t>
            </w:r>
          </w:p>
        </w:tc>
        <w:tc>
          <w:tcPr>
            <w:tcW w:type="dxa" w:w="864"/>
          </w:tcPr>
          <w:p>
            <w:r>
              <w:rPr>
                <w:sz w:val="13"/>
              </w:rPr>
              <w:t>150.4</w:t>
            </w:r>
          </w:p>
        </w:tc>
        <w:tc>
          <w:tcPr>
            <w:tcW w:type="dxa" w:w="864"/>
          </w:tcPr>
          <w:p>
            <w:r>
              <w:rPr>
                <w:sz w:val="13"/>
              </w:rPr>
              <w:t>0.764</w:t>
            </w:r>
          </w:p>
        </w:tc>
        <w:tc>
          <w:tcPr>
            <w:tcW w:type="dxa" w:w="864"/>
          </w:tcPr>
          <w:p>
            <w:r>
              <w:rPr>
                <w:sz w:val="13"/>
              </w:rPr>
              <w:t>Justifié</w:t>
            </w:r>
          </w:p>
        </w:tc>
      </w:tr>
      <w:tr>
        <w:tc>
          <w:tcPr>
            <w:tcW w:type="dxa" w:w="864"/>
          </w:tcPr>
          <w:p>
            <w:r>
              <w:rPr>
                <w:sz w:val="13"/>
              </w:rPr>
              <w:t>Feu extérieur</w:t>
            </w:r>
          </w:p>
        </w:tc>
        <w:tc>
          <w:tcPr>
            <w:tcW w:type="dxa" w:w="864"/>
          </w:tcPr>
          <w:p>
            <w:r>
              <w:rPr>
                <w:sz w:val="13"/>
              </w:rPr>
              <w:t>120</w:t>
            </w:r>
          </w:p>
        </w:tc>
        <w:tc>
          <w:tcPr>
            <w:tcW w:type="dxa" w:w="864"/>
          </w:tcPr>
          <w:p>
            <w:r>
              <w:rPr>
                <w:sz w:val="13"/>
              </w:rPr>
              <w:t>Suspente secondaire</w:t>
            </w:r>
          </w:p>
        </w:tc>
        <w:tc>
          <w:tcPr>
            <w:tcW w:type="dxa" w:w="864"/>
          </w:tcPr>
          <w:p>
            <w:r>
              <w:rPr>
                <w:sz w:val="13"/>
              </w:rPr>
              <w:t>20.0</w:t>
            </w:r>
          </w:p>
        </w:tc>
        <w:tc>
          <w:tcPr>
            <w:tcW w:type="dxa" w:w="864"/>
          </w:tcPr>
          <w:p>
            <w:r>
              <w:rPr>
                <w:sz w:val="13"/>
              </w:rPr>
              <w:t>680.0</w:t>
            </w:r>
          </w:p>
        </w:tc>
        <w:tc>
          <w:tcPr>
            <w:tcW w:type="dxa" w:w="864"/>
          </w:tcPr>
          <w:p>
            <w:r>
              <w:rPr>
                <w:sz w:val="13"/>
              </w:rPr>
              <w:t>0.278</w:t>
            </w:r>
          </w:p>
        </w:tc>
        <w:tc>
          <w:tcPr>
            <w:tcW w:type="dxa" w:w="864"/>
          </w:tcPr>
          <w:p>
            <w:r>
              <w:rPr>
                <w:sz w:val="13"/>
              </w:rPr>
              <w:t>34.0</w:t>
            </w:r>
          </w:p>
        </w:tc>
        <w:tc>
          <w:tcPr>
            <w:tcW w:type="dxa" w:w="864"/>
          </w:tcPr>
          <w:p>
            <w:r>
              <w:rPr>
                <w:sz w:val="13"/>
              </w:rPr>
              <w:t>150.4</w:t>
            </w:r>
          </w:p>
        </w:tc>
        <w:tc>
          <w:tcPr>
            <w:tcW w:type="dxa" w:w="864"/>
          </w:tcPr>
          <w:p>
            <w:r>
              <w:rPr>
                <w:sz w:val="13"/>
              </w:rPr>
              <w:t>0.765</w:t>
            </w:r>
          </w:p>
        </w:tc>
        <w:tc>
          <w:tcPr>
            <w:tcW w:type="dxa" w:w="864"/>
          </w:tcPr>
          <w:p>
            <w:r>
              <w:rPr>
                <w:sz w:val="13"/>
              </w:rPr>
              <w:t>Justifié</w:t>
            </w:r>
          </w:p>
        </w:tc>
      </w:tr>
      <w:tr>
        <w:tc>
          <w:tcPr>
            <w:tcW w:type="dxa" w:w="864"/>
          </w:tcPr>
          <w:p>
            <w:r>
              <w:rPr>
                <w:sz w:val="13"/>
              </w:rPr>
              <w:t>Feu extérieur</w:t>
            </w:r>
          </w:p>
        </w:tc>
        <w:tc>
          <w:tcPr>
            <w:tcW w:type="dxa" w:w="864"/>
          </w:tcPr>
          <w:p>
            <w:r>
              <w:rPr>
                <w:sz w:val="13"/>
              </w:rPr>
              <w:t>15</w:t>
            </w:r>
          </w:p>
        </w:tc>
        <w:tc>
          <w:tcPr>
            <w:tcW w:type="dxa" w:w="864"/>
          </w:tcPr>
          <w:p>
            <w:r>
              <w:rPr>
                <w:sz w:val="13"/>
              </w:rPr>
              <w:t>Câble principal clos</w:t>
            </w:r>
          </w:p>
        </w:tc>
        <w:tc>
          <w:tcPr>
            <w:tcW w:type="dxa" w:w="864"/>
          </w:tcPr>
          <w:p>
            <w:r>
              <w:rPr>
                <w:sz w:val="13"/>
              </w:rPr>
              <w:t>20.0</w:t>
            </w:r>
          </w:p>
        </w:tc>
        <w:tc>
          <w:tcPr>
            <w:tcW w:type="dxa" w:w="864"/>
          </w:tcPr>
          <w:p>
            <w:r>
              <w:rPr>
                <w:sz w:val="13"/>
              </w:rPr>
              <w:t>221.6</w:t>
            </w:r>
          </w:p>
        </w:tc>
        <w:tc>
          <w:tcPr>
            <w:tcW w:type="dxa" w:w="864"/>
          </w:tcPr>
          <w:p>
            <w:r>
              <w:rPr>
                <w:sz w:val="13"/>
              </w:rPr>
              <w:t>1.0</w:t>
            </w:r>
          </w:p>
        </w:tc>
        <w:tc>
          <w:tcPr>
            <w:tcW w:type="dxa" w:w="864"/>
          </w:tcPr>
          <w:p>
            <w:r>
              <w:rPr>
                <w:sz w:val="13"/>
              </w:rPr>
              <w:t>140.5</w:t>
            </w:r>
          </w:p>
        </w:tc>
        <w:tc>
          <w:tcPr>
            <w:tcW w:type="dxa" w:w="864"/>
          </w:tcPr>
          <w:p>
            <w:r>
              <w:rPr>
                <w:sz w:val="13"/>
              </w:rPr>
              <w:t>11897.0</w:t>
            </w:r>
          </w:p>
        </w:tc>
        <w:tc>
          <w:tcPr>
            <w:tcW w:type="dxa" w:w="864"/>
          </w:tcPr>
          <w:p>
            <w:r>
              <w:rPr>
                <w:sz w:val="13"/>
              </w:rPr>
              <w:t>0.277</w:t>
            </w:r>
          </w:p>
        </w:tc>
        <w:tc>
          <w:tcPr>
            <w:tcW w:type="dxa" w:w="864"/>
          </w:tcPr>
          <w:p>
            <w:r>
              <w:rPr>
                <w:sz w:val="13"/>
              </w:rPr>
              <w:t>Justifié</w:t>
            </w:r>
          </w:p>
        </w:tc>
      </w:tr>
      <w:tr>
        <w:tc>
          <w:tcPr>
            <w:tcW w:type="dxa" w:w="864"/>
          </w:tcPr>
          <w:p>
            <w:r>
              <w:rPr>
                <w:sz w:val="13"/>
              </w:rPr>
              <w:t>Feu extérieur</w:t>
            </w:r>
          </w:p>
        </w:tc>
        <w:tc>
          <w:tcPr>
            <w:tcW w:type="dxa" w:w="864"/>
          </w:tcPr>
          <w:p>
            <w:r>
              <w:rPr>
                <w:sz w:val="13"/>
              </w:rPr>
              <w:t>30</w:t>
            </w:r>
          </w:p>
        </w:tc>
        <w:tc>
          <w:tcPr>
            <w:tcW w:type="dxa" w:w="864"/>
          </w:tcPr>
          <w:p>
            <w:r>
              <w:rPr>
                <w:sz w:val="13"/>
              </w:rPr>
              <w:t>Câble principal clos</w:t>
            </w:r>
          </w:p>
        </w:tc>
        <w:tc>
          <w:tcPr>
            <w:tcW w:type="dxa" w:w="864"/>
          </w:tcPr>
          <w:p>
            <w:r>
              <w:rPr>
                <w:sz w:val="13"/>
              </w:rPr>
              <w:t>20.0</w:t>
            </w:r>
          </w:p>
        </w:tc>
        <w:tc>
          <w:tcPr>
            <w:tcW w:type="dxa" w:w="864"/>
          </w:tcPr>
          <w:p>
            <w:r>
              <w:rPr>
                <w:sz w:val="13"/>
              </w:rPr>
              <w:t>402.9</w:t>
            </w:r>
          </w:p>
        </w:tc>
        <w:tc>
          <w:tcPr>
            <w:tcW w:type="dxa" w:w="864"/>
          </w:tcPr>
          <w:p>
            <w:r>
              <w:rPr>
                <w:sz w:val="13"/>
              </w:rPr>
              <w:t>0.994</w:t>
            </w:r>
          </w:p>
        </w:tc>
        <w:tc>
          <w:tcPr>
            <w:tcW w:type="dxa" w:w="864"/>
          </w:tcPr>
          <w:p>
            <w:r>
              <w:rPr>
                <w:sz w:val="13"/>
              </w:rPr>
              <w:t>111.5</w:t>
            </w:r>
          </w:p>
        </w:tc>
        <w:tc>
          <w:tcPr>
            <w:tcW w:type="dxa" w:w="864"/>
          </w:tcPr>
          <w:p>
            <w:r>
              <w:rPr>
                <w:sz w:val="13"/>
              </w:rPr>
              <w:t>11821.1</w:t>
            </w:r>
          </w:p>
        </w:tc>
        <w:tc>
          <w:tcPr>
            <w:tcW w:type="dxa" w:w="864"/>
          </w:tcPr>
          <w:p>
            <w:r>
              <w:rPr>
                <w:sz w:val="13"/>
              </w:rPr>
              <w:t>0.279</w:t>
            </w:r>
          </w:p>
        </w:tc>
        <w:tc>
          <w:tcPr>
            <w:tcW w:type="dxa" w:w="864"/>
          </w:tcPr>
          <w:p>
            <w:r>
              <w:rPr>
                <w:sz w:val="13"/>
              </w:rPr>
              <w:t>Justifié</w:t>
            </w:r>
          </w:p>
        </w:tc>
      </w:tr>
      <w:tr>
        <w:tc>
          <w:tcPr>
            <w:tcW w:type="dxa" w:w="864"/>
          </w:tcPr>
          <w:p>
            <w:r>
              <w:rPr>
                <w:sz w:val="13"/>
              </w:rPr>
              <w:t>Feu extérieur</w:t>
            </w:r>
          </w:p>
        </w:tc>
        <w:tc>
          <w:tcPr>
            <w:tcW w:type="dxa" w:w="864"/>
          </w:tcPr>
          <w:p>
            <w:r>
              <w:rPr>
                <w:sz w:val="13"/>
              </w:rPr>
              <w:t>60</w:t>
            </w:r>
          </w:p>
        </w:tc>
        <w:tc>
          <w:tcPr>
            <w:tcW w:type="dxa" w:w="864"/>
          </w:tcPr>
          <w:p>
            <w:r>
              <w:rPr>
                <w:sz w:val="13"/>
              </w:rPr>
              <w:t>Câble principal clos</w:t>
            </w:r>
          </w:p>
        </w:tc>
        <w:tc>
          <w:tcPr>
            <w:tcW w:type="dxa" w:w="864"/>
          </w:tcPr>
          <w:p>
            <w:r>
              <w:rPr>
                <w:sz w:val="13"/>
              </w:rPr>
              <w:t>20.0</w:t>
            </w:r>
          </w:p>
        </w:tc>
        <w:tc>
          <w:tcPr>
            <w:tcW w:type="dxa" w:w="864"/>
          </w:tcPr>
          <w:p>
            <w:r>
              <w:rPr>
                <w:sz w:val="13"/>
              </w:rPr>
              <w:t>584.6</w:t>
            </w:r>
          </w:p>
        </w:tc>
        <w:tc>
          <w:tcPr>
            <w:tcW w:type="dxa" w:w="864"/>
          </w:tcPr>
          <w:p>
            <w:r>
              <w:rPr>
                <w:sz w:val="13"/>
              </w:rPr>
              <w:t>0.518</w:t>
            </w:r>
          </w:p>
        </w:tc>
        <w:tc>
          <w:tcPr>
            <w:tcW w:type="dxa" w:w="864"/>
          </w:tcPr>
          <w:p>
            <w:r>
              <w:rPr>
                <w:sz w:val="13"/>
              </w:rPr>
              <w:t>56.7</w:t>
            </w:r>
          </w:p>
        </w:tc>
        <w:tc>
          <w:tcPr>
            <w:tcW w:type="dxa" w:w="864"/>
          </w:tcPr>
          <w:p>
            <w:r>
              <w:rPr>
                <w:sz w:val="13"/>
              </w:rPr>
              <w:t>6158.7</w:t>
            </w:r>
          </w:p>
        </w:tc>
        <w:tc>
          <w:tcPr>
            <w:tcW w:type="dxa" w:w="864"/>
          </w:tcPr>
          <w:p>
            <w:r>
              <w:rPr>
                <w:sz w:val="13"/>
              </w:rPr>
              <w:t>0.536</w:t>
            </w:r>
          </w:p>
        </w:tc>
        <w:tc>
          <w:tcPr>
            <w:tcW w:type="dxa" w:w="864"/>
          </w:tcPr>
          <w:p>
            <w:r>
              <w:rPr>
                <w:sz w:val="13"/>
              </w:rPr>
              <w:t>Justifié</w:t>
            </w:r>
          </w:p>
        </w:tc>
      </w:tr>
      <w:tr>
        <w:tc>
          <w:tcPr>
            <w:tcW w:type="dxa" w:w="864"/>
          </w:tcPr>
          <w:p>
            <w:r>
              <w:rPr>
                <w:sz w:val="13"/>
              </w:rPr>
              <w:t>Feu extérieur</w:t>
            </w:r>
          </w:p>
        </w:tc>
        <w:tc>
          <w:tcPr>
            <w:tcW w:type="dxa" w:w="864"/>
          </w:tcPr>
          <w:p>
            <w:r>
              <w:rPr>
                <w:sz w:val="13"/>
              </w:rPr>
              <w:t>90</w:t>
            </w:r>
          </w:p>
        </w:tc>
        <w:tc>
          <w:tcPr>
            <w:tcW w:type="dxa" w:w="864"/>
          </w:tcPr>
          <w:p>
            <w:r>
              <w:rPr>
                <w:sz w:val="13"/>
              </w:rPr>
              <w:t>Câble principal clos</w:t>
            </w:r>
          </w:p>
        </w:tc>
        <w:tc>
          <w:tcPr>
            <w:tcW w:type="dxa" w:w="864"/>
          </w:tcPr>
          <w:p>
            <w:r>
              <w:rPr>
                <w:sz w:val="13"/>
              </w:rPr>
              <w:t>20.0</w:t>
            </w:r>
          </w:p>
        </w:tc>
        <w:tc>
          <w:tcPr>
            <w:tcW w:type="dxa" w:w="864"/>
          </w:tcPr>
          <w:p>
            <w:r>
              <w:rPr>
                <w:sz w:val="13"/>
              </w:rPr>
              <w:t>647.1</w:t>
            </w:r>
          </w:p>
        </w:tc>
        <w:tc>
          <w:tcPr>
            <w:tcW w:type="dxa" w:w="864"/>
          </w:tcPr>
          <w:p>
            <w:r>
              <w:rPr>
                <w:sz w:val="13"/>
              </w:rPr>
              <w:t>0.357</w:t>
            </w:r>
          </w:p>
        </w:tc>
        <w:tc>
          <w:tcPr>
            <w:tcW w:type="dxa" w:w="864"/>
          </w:tcPr>
          <w:p>
            <w:r>
              <w:rPr>
                <w:sz w:val="13"/>
              </w:rPr>
              <w:t>36.0</w:t>
            </w:r>
          </w:p>
        </w:tc>
        <w:tc>
          <w:tcPr>
            <w:tcW w:type="dxa" w:w="864"/>
          </w:tcPr>
          <w:p>
            <w:r>
              <w:rPr>
                <w:sz w:val="13"/>
              </w:rPr>
              <w:t>4247.2</w:t>
            </w:r>
          </w:p>
        </w:tc>
        <w:tc>
          <w:tcPr>
            <w:tcW w:type="dxa" w:w="864"/>
          </w:tcPr>
          <w:p>
            <w:r>
              <w:rPr>
                <w:sz w:val="13"/>
              </w:rPr>
              <w:t>0.777</w:t>
            </w:r>
          </w:p>
        </w:tc>
        <w:tc>
          <w:tcPr>
            <w:tcW w:type="dxa" w:w="864"/>
          </w:tcPr>
          <w:p>
            <w:r>
              <w:rPr>
                <w:sz w:val="13"/>
              </w:rPr>
              <w:t>Justifié</w:t>
            </w:r>
          </w:p>
        </w:tc>
      </w:tr>
      <w:tr>
        <w:tc>
          <w:tcPr>
            <w:tcW w:type="dxa" w:w="864"/>
          </w:tcPr>
          <w:p>
            <w:r>
              <w:rPr>
                <w:sz w:val="13"/>
              </w:rPr>
              <w:t>Feu extérieur</w:t>
            </w:r>
          </w:p>
        </w:tc>
        <w:tc>
          <w:tcPr>
            <w:tcW w:type="dxa" w:w="864"/>
          </w:tcPr>
          <w:p>
            <w:r>
              <w:rPr>
                <w:sz w:val="13"/>
              </w:rPr>
              <w:t>120</w:t>
            </w:r>
          </w:p>
        </w:tc>
        <w:tc>
          <w:tcPr>
            <w:tcW w:type="dxa" w:w="864"/>
          </w:tcPr>
          <w:p>
            <w:r>
              <w:rPr>
                <w:sz w:val="13"/>
              </w:rPr>
              <w:t>Câble principal clos</w:t>
            </w:r>
          </w:p>
        </w:tc>
        <w:tc>
          <w:tcPr>
            <w:tcW w:type="dxa" w:w="864"/>
          </w:tcPr>
          <w:p>
            <w:r>
              <w:rPr>
                <w:sz w:val="13"/>
              </w:rPr>
              <w:t>20.0</w:t>
            </w:r>
          </w:p>
        </w:tc>
        <w:tc>
          <w:tcPr>
            <w:tcW w:type="dxa" w:w="864"/>
          </w:tcPr>
          <w:p>
            <w:r>
              <w:rPr>
                <w:sz w:val="13"/>
              </w:rPr>
              <w:t>668.4</w:t>
            </w:r>
          </w:p>
        </w:tc>
        <w:tc>
          <w:tcPr>
            <w:tcW w:type="dxa" w:w="864"/>
          </w:tcPr>
          <w:p>
            <w:r>
              <w:rPr>
                <w:sz w:val="13"/>
              </w:rPr>
              <w:t>0.306</w:t>
            </w:r>
          </w:p>
        </w:tc>
        <w:tc>
          <w:tcPr>
            <w:tcW w:type="dxa" w:w="864"/>
          </w:tcPr>
          <w:p>
            <w:r>
              <w:rPr>
                <w:sz w:val="13"/>
              </w:rPr>
              <w:t>29.9</w:t>
            </w:r>
          </w:p>
        </w:tc>
        <w:tc>
          <w:tcPr>
            <w:tcW w:type="dxa" w:w="864"/>
          </w:tcPr>
          <w:p>
            <w:r>
              <w:rPr>
                <w:sz w:val="13"/>
              </w:rPr>
              <w:t>3638.0</w:t>
            </w:r>
          </w:p>
        </w:tc>
        <w:tc>
          <w:tcPr>
            <w:tcW w:type="dxa" w:w="864"/>
          </w:tcPr>
          <w:p>
            <w:r>
              <w:rPr>
                <w:sz w:val="13"/>
              </w:rPr>
              <w:t>0.907</w:t>
            </w:r>
          </w:p>
        </w:tc>
        <w:tc>
          <w:tcPr>
            <w:tcW w:type="dxa" w:w="864"/>
          </w:tcPr>
          <w:p>
            <w:r>
              <w:rPr>
                <w:sz w:val="13"/>
              </w:rPr>
              <w:t>Justifié</w:t>
            </w:r>
          </w:p>
        </w:tc>
      </w:tr>
      <w:tr>
        <w:tc>
          <w:tcPr>
            <w:tcW w:type="dxa" w:w="864"/>
          </w:tcPr>
          <w:p>
            <w:r>
              <w:rPr>
                <w:sz w:val="13"/>
              </w:rPr>
              <w:t>HC</w:t>
            </w:r>
          </w:p>
        </w:tc>
        <w:tc>
          <w:tcPr>
            <w:tcW w:type="dxa" w:w="864"/>
          </w:tcPr>
          <w:p>
            <w:r>
              <w:rPr>
                <w:sz w:val="13"/>
              </w:rPr>
              <w:t>15</w:t>
            </w:r>
          </w:p>
        </w:tc>
        <w:tc>
          <w:tcPr>
            <w:tcW w:type="dxa" w:w="864"/>
          </w:tcPr>
          <w:p>
            <w:r>
              <w:rPr>
                <w:sz w:val="13"/>
              </w:rPr>
              <w:t>Suspente secondaire</w:t>
            </w:r>
          </w:p>
        </w:tc>
        <w:tc>
          <w:tcPr>
            <w:tcW w:type="dxa" w:w="864"/>
          </w:tcPr>
          <w:p>
            <w:r>
              <w:rPr>
                <w:sz w:val="13"/>
              </w:rPr>
              <w:t>20.0</w:t>
            </w:r>
          </w:p>
        </w:tc>
        <w:tc>
          <w:tcPr>
            <w:tcW w:type="dxa" w:w="864"/>
          </w:tcPr>
          <w:p>
            <w:r>
              <w:rPr>
                <w:sz w:val="13"/>
              </w:rPr>
              <w:t>971.9</w:t>
            </w:r>
          </w:p>
        </w:tc>
        <w:tc>
          <w:tcPr>
            <w:tcW w:type="dxa" w:w="864"/>
          </w:tcPr>
          <w:p>
            <w:r>
              <w:rPr>
                <w:sz w:val="13"/>
              </w:rPr>
              <w:t>0.046</w:t>
            </w:r>
          </w:p>
        </w:tc>
        <w:tc>
          <w:tcPr>
            <w:tcW w:type="dxa" w:w="864"/>
          </w:tcPr>
          <w:p>
            <w:r>
              <w:rPr>
                <w:sz w:val="13"/>
              </w:rPr>
              <w:t>10.5</w:t>
            </w:r>
          </w:p>
        </w:tc>
        <w:tc>
          <w:tcPr>
            <w:tcW w:type="dxa" w:w="864"/>
          </w:tcPr>
          <w:p>
            <w:r>
              <w:rPr>
                <w:sz w:val="13"/>
              </w:rPr>
              <w:t>24.7</w:t>
            </w:r>
          </w:p>
        </w:tc>
        <w:tc>
          <w:tcPr>
            <w:tcW w:type="dxa" w:w="864"/>
          </w:tcPr>
          <w:p>
            <w:r>
              <w:rPr>
                <w:sz w:val="13"/>
              </w:rPr>
              <w:t>4.66</w:t>
            </w:r>
          </w:p>
        </w:tc>
        <w:tc>
          <w:tcPr>
            <w:tcW w:type="dxa" w:w="864"/>
          </w:tcPr>
          <w:p>
            <w:r>
              <w:rPr>
                <w:sz w:val="13"/>
              </w:rPr>
              <w:t>Non justifié</w:t>
            </w:r>
          </w:p>
        </w:tc>
      </w:tr>
      <w:tr>
        <w:tc>
          <w:tcPr>
            <w:tcW w:type="dxa" w:w="864"/>
          </w:tcPr>
          <w:p>
            <w:r>
              <w:rPr>
                <w:sz w:val="13"/>
              </w:rPr>
              <w:t>HC</w:t>
            </w:r>
          </w:p>
        </w:tc>
        <w:tc>
          <w:tcPr>
            <w:tcW w:type="dxa" w:w="864"/>
          </w:tcPr>
          <w:p>
            <w:r>
              <w:rPr>
                <w:sz w:val="13"/>
              </w:rPr>
              <w:t>30</w:t>
            </w:r>
          </w:p>
        </w:tc>
        <w:tc>
          <w:tcPr>
            <w:tcW w:type="dxa" w:w="864"/>
          </w:tcPr>
          <w:p>
            <w:r>
              <w:rPr>
                <w:sz w:val="13"/>
              </w:rPr>
              <w:t>Suspente secondaire</w:t>
            </w:r>
          </w:p>
        </w:tc>
        <w:tc>
          <w:tcPr>
            <w:tcW w:type="dxa" w:w="864"/>
          </w:tcPr>
          <w:p>
            <w:r>
              <w:rPr>
                <w:sz w:val="13"/>
              </w:rPr>
              <w:t>20.0</w:t>
            </w:r>
          </w:p>
        </w:tc>
        <w:tc>
          <w:tcPr>
            <w:tcW w:type="dxa" w:w="864"/>
          </w:tcPr>
          <w:p>
            <w:r>
              <w:rPr>
                <w:sz w:val="13"/>
              </w:rPr>
              <w:t>1095.8</w:t>
            </w:r>
          </w:p>
        </w:tc>
        <w:tc>
          <w:tcPr>
            <w:tcW w:type="dxa" w:w="864"/>
          </w:tcPr>
          <w:p>
            <w:r>
              <w:rPr>
                <w:sz w:val="13"/>
              </w:rPr>
              <w:t>0.021</w:t>
            </w:r>
          </w:p>
        </w:tc>
        <w:tc>
          <w:tcPr>
            <w:tcW w:type="dxa" w:w="864"/>
          </w:tcPr>
          <w:p>
            <w:r>
              <w:rPr>
                <w:sz w:val="13"/>
              </w:rPr>
              <w:t>4.8</w:t>
            </w:r>
          </w:p>
        </w:tc>
        <w:tc>
          <w:tcPr>
            <w:tcW w:type="dxa" w:w="864"/>
          </w:tcPr>
          <w:p>
            <w:r>
              <w:rPr>
                <w:sz w:val="13"/>
              </w:rPr>
              <w:t>11.3</w:t>
            </w:r>
          </w:p>
        </w:tc>
        <w:tc>
          <w:tcPr>
            <w:tcW w:type="dxa" w:w="864"/>
          </w:tcPr>
          <w:p>
            <w:r>
              <w:rPr>
                <w:sz w:val="13"/>
              </w:rPr>
              <w:t>10.196</w:t>
            </w:r>
          </w:p>
        </w:tc>
        <w:tc>
          <w:tcPr>
            <w:tcW w:type="dxa" w:w="864"/>
          </w:tcPr>
          <w:p>
            <w:r>
              <w:rPr>
                <w:sz w:val="13"/>
              </w:rPr>
              <w:t>Non justifié</w:t>
            </w:r>
          </w:p>
        </w:tc>
      </w:tr>
      <w:tr>
        <w:tc>
          <w:tcPr>
            <w:tcW w:type="dxa" w:w="864"/>
          </w:tcPr>
          <w:p>
            <w:r>
              <w:rPr>
                <w:sz w:val="13"/>
              </w:rPr>
              <w:t>HC</w:t>
            </w:r>
          </w:p>
        </w:tc>
        <w:tc>
          <w:tcPr>
            <w:tcW w:type="dxa" w:w="864"/>
          </w:tcPr>
          <w:p>
            <w:r>
              <w:rPr>
                <w:sz w:val="13"/>
              </w:rPr>
              <w:t>60</w:t>
            </w:r>
          </w:p>
        </w:tc>
        <w:tc>
          <w:tcPr>
            <w:tcW w:type="dxa" w:w="864"/>
          </w:tcPr>
          <w:p>
            <w:r>
              <w:rPr>
                <w:sz w:val="13"/>
              </w:rPr>
              <w:t>Suspente secondaire</w:t>
            </w:r>
          </w:p>
        </w:tc>
        <w:tc>
          <w:tcPr>
            <w:tcW w:type="dxa" w:w="864"/>
          </w:tcPr>
          <w:p>
            <w:r>
              <w:rPr>
                <w:sz w:val="13"/>
              </w:rPr>
              <w:t>20.0</w:t>
            </w:r>
          </w:p>
        </w:tc>
        <w:tc>
          <w:tcPr>
            <w:tcW w:type="dxa" w:w="864"/>
          </w:tcPr>
          <w:p>
            <w:r>
              <w:rPr>
                <w:sz w:val="13"/>
              </w:rPr>
              <w:t>1100.0</w:t>
            </w:r>
          </w:p>
        </w:tc>
        <w:tc>
          <w:tcPr>
            <w:tcW w:type="dxa" w:w="864"/>
          </w:tcPr>
          <w:p>
            <w:r>
              <w:rPr>
                <w:sz w:val="13"/>
              </w:rPr>
              <w:t>0.02</w:t>
            </w:r>
          </w:p>
        </w:tc>
        <w:tc>
          <w:tcPr>
            <w:tcW w:type="dxa" w:w="864"/>
          </w:tcPr>
          <w:p>
            <w:r>
              <w:rPr>
                <w:sz w:val="13"/>
              </w:rPr>
              <w:t>4.6</w:t>
            </w:r>
          </w:p>
        </w:tc>
        <w:tc>
          <w:tcPr>
            <w:tcW w:type="dxa" w:w="864"/>
          </w:tcPr>
          <w:p>
            <w:r>
              <w:rPr>
                <w:sz w:val="13"/>
              </w:rPr>
              <w:t>10.8</w:t>
            </w:r>
          </w:p>
        </w:tc>
        <w:tc>
          <w:tcPr>
            <w:tcW w:type="dxa" w:w="864"/>
          </w:tcPr>
          <w:p>
            <w:r>
              <w:rPr>
                <w:sz w:val="13"/>
              </w:rPr>
              <w:t>10.626</w:t>
            </w:r>
          </w:p>
        </w:tc>
        <w:tc>
          <w:tcPr>
            <w:tcW w:type="dxa" w:w="864"/>
          </w:tcPr>
          <w:p>
            <w:r>
              <w:rPr>
                <w:sz w:val="13"/>
              </w:rPr>
              <w:t>Non justifié</w:t>
            </w:r>
          </w:p>
        </w:tc>
      </w:tr>
      <w:tr>
        <w:tc>
          <w:tcPr>
            <w:tcW w:type="dxa" w:w="864"/>
          </w:tcPr>
          <w:p>
            <w:r>
              <w:rPr>
                <w:sz w:val="13"/>
              </w:rPr>
              <w:t>HC</w:t>
            </w:r>
          </w:p>
        </w:tc>
        <w:tc>
          <w:tcPr>
            <w:tcW w:type="dxa" w:w="864"/>
          </w:tcPr>
          <w:p>
            <w:r>
              <w:rPr>
                <w:sz w:val="13"/>
              </w:rPr>
              <w:t>90</w:t>
            </w:r>
          </w:p>
        </w:tc>
        <w:tc>
          <w:tcPr>
            <w:tcW w:type="dxa" w:w="864"/>
          </w:tcPr>
          <w:p>
            <w:r>
              <w:rPr>
                <w:sz w:val="13"/>
              </w:rPr>
              <w:t>Suspente secondaire</w:t>
            </w:r>
          </w:p>
        </w:tc>
        <w:tc>
          <w:tcPr>
            <w:tcW w:type="dxa" w:w="864"/>
          </w:tcPr>
          <w:p>
            <w:r>
              <w:rPr>
                <w:sz w:val="13"/>
              </w:rPr>
              <w:t>20.0</w:t>
            </w:r>
          </w:p>
        </w:tc>
        <w:tc>
          <w:tcPr>
            <w:tcW w:type="dxa" w:w="864"/>
          </w:tcPr>
          <w:p>
            <w:r>
              <w:rPr>
                <w:sz w:val="13"/>
              </w:rPr>
              <w:t>1100.0</w:t>
            </w:r>
          </w:p>
        </w:tc>
        <w:tc>
          <w:tcPr>
            <w:tcW w:type="dxa" w:w="864"/>
          </w:tcPr>
          <w:p>
            <w:r>
              <w:rPr>
                <w:sz w:val="13"/>
              </w:rPr>
              <w:t>0.02</w:t>
            </w:r>
          </w:p>
        </w:tc>
        <w:tc>
          <w:tcPr>
            <w:tcW w:type="dxa" w:w="864"/>
          </w:tcPr>
          <w:p>
            <w:r>
              <w:rPr>
                <w:sz w:val="13"/>
              </w:rPr>
              <w:t>4.6</w:t>
            </w:r>
          </w:p>
        </w:tc>
        <w:tc>
          <w:tcPr>
            <w:tcW w:type="dxa" w:w="864"/>
          </w:tcPr>
          <w:p>
            <w:r>
              <w:rPr>
                <w:sz w:val="13"/>
              </w:rPr>
              <w:t>10.8</w:t>
            </w:r>
          </w:p>
        </w:tc>
        <w:tc>
          <w:tcPr>
            <w:tcW w:type="dxa" w:w="864"/>
          </w:tcPr>
          <w:p>
            <w:r>
              <w:rPr>
                <w:sz w:val="13"/>
              </w:rPr>
              <w:t>10.628</w:t>
            </w:r>
          </w:p>
        </w:tc>
        <w:tc>
          <w:tcPr>
            <w:tcW w:type="dxa" w:w="864"/>
          </w:tcPr>
          <w:p>
            <w:r>
              <w:rPr>
                <w:sz w:val="13"/>
              </w:rPr>
              <w:t>Non justifié</w:t>
            </w:r>
          </w:p>
        </w:tc>
      </w:tr>
      <w:tr>
        <w:tc>
          <w:tcPr>
            <w:tcW w:type="dxa" w:w="864"/>
          </w:tcPr>
          <w:p>
            <w:r>
              <w:rPr>
                <w:sz w:val="13"/>
              </w:rPr>
              <w:t>HC</w:t>
            </w:r>
          </w:p>
        </w:tc>
        <w:tc>
          <w:tcPr>
            <w:tcW w:type="dxa" w:w="864"/>
          </w:tcPr>
          <w:p>
            <w:r>
              <w:rPr>
                <w:sz w:val="13"/>
              </w:rPr>
              <w:t>120</w:t>
            </w:r>
          </w:p>
        </w:tc>
        <w:tc>
          <w:tcPr>
            <w:tcW w:type="dxa" w:w="864"/>
          </w:tcPr>
          <w:p>
            <w:r>
              <w:rPr>
                <w:sz w:val="13"/>
              </w:rPr>
              <w:t>Suspente secondaire</w:t>
            </w:r>
          </w:p>
        </w:tc>
        <w:tc>
          <w:tcPr>
            <w:tcW w:type="dxa" w:w="864"/>
          </w:tcPr>
          <w:p>
            <w:r>
              <w:rPr>
                <w:sz w:val="13"/>
              </w:rPr>
              <w:t>20.0</w:t>
            </w:r>
          </w:p>
        </w:tc>
        <w:tc>
          <w:tcPr>
            <w:tcW w:type="dxa" w:w="864"/>
          </w:tcPr>
          <w:p>
            <w:r>
              <w:rPr>
                <w:sz w:val="13"/>
              </w:rPr>
              <w:t>1100.0</w:t>
            </w:r>
          </w:p>
        </w:tc>
        <w:tc>
          <w:tcPr>
            <w:tcW w:type="dxa" w:w="864"/>
          </w:tcPr>
          <w:p>
            <w:r>
              <w:rPr>
                <w:sz w:val="13"/>
              </w:rPr>
              <w:t>0.02</w:t>
            </w:r>
          </w:p>
        </w:tc>
        <w:tc>
          <w:tcPr>
            <w:tcW w:type="dxa" w:w="864"/>
          </w:tcPr>
          <w:p>
            <w:r>
              <w:rPr>
                <w:sz w:val="13"/>
              </w:rPr>
              <w:t>4.6</w:t>
            </w:r>
          </w:p>
        </w:tc>
        <w:tc>
          <w:tcPr>
            <w:tcW w:type="dxa" w:w="864"/>
          </w:tcPr>
          <w:p>
            <w:r>
              <w:rPr>
                <w:sz w:val="13"/>
              </w:rPr>
              <w:t>10.8</w:t>
            </w:r>
          </w:p>
        </w:tc>
        <w:tc>
          <w:tcPr>
            <w:tcW w:type="dxa" w:w="864"/>
          </w:tcPr>
          <w:p>
            <w:r>
              <w:rPr>
                <w:sz w:val="13"/>
              </w:rPr>
              <w:t>10.628</w:t>
            </w:r>
          </w:p>
        </w:tc>
        <w:tc>
          <w:tcPr>
            <w:tcW w:type="dxa" w:w="864"/>
          </w:tcPr>
          <w:p>
            <w:r>
              <w:rPr>
                <w:sz w:val="13"/>
              </w:rPr>
              <w:t>Non justifié</w:t>
            </w:r>
          </w:p>
        </w:tc>
      </w:tr>
      <w:tr>
        <w:tc>
          <w:tcPr>
            <w:tcW w:type="dxa" w:w="864"/>
          </w:tcPr>
          <w:p>
            <w:r>
              <w:rPr>
                <w:sz w:val="13"/>
              </w:rPr>
              <w:t>HC</w:t>
            </w:r>
          </w:p>
        </w:tc>
        <w:tc>
          <w:tcPr>
            <w:tcW w:type="dxa" w:w="864"/>
          </w:tcPr>
          <w:p>
            <w:r>
              <w:rPr>
                <w:sz w:val="13"/>
              </w:rPr>
              <w:t>15</w:t>
            </w:r>
          </w:p>
        </w:tc>
        <w:tc>
          <w:tcPr>
            <w:tcW w:type="dxa" w:w="864"/>
          </w:tcPr>
          <w:p>
            <w:r>
              <w:rPr>
                <w:sz w:val="13"/>
              </w:rPr>
              <w:t>Câble principal clos</w:t>
            </w:r>
          </w:p>
        </w:tc>
        <w:tc>
          <w:tcPr>
            <w:tcW w:type="dxa" w:w="864"/>
          </w:tcPr>
          <w:p>
            <w:r>
              <w:rPr>
                <w:sz w:val="13"/>
              </w:rPr>
              <w:t>20.0</w:t>
            </w:r>
          </w:p>
        </w:tc>
        <w:tc>
          <w:tcPr>
            <w:tcW w:type="dxa" w:w="864"/>
          </w:tcPr>
          <w:p>
            <w:r>
              <w:rPr>
                <w:sz w:val="13"/>
              </w:rPr>
              <w:t>544.1</w:t>
            </w:r>
          </w:p>
        </w:tc>
        <w:tc>
          <w:tcPr>
            <w:tcW w:type="dxa" w:w="864"/>
          </w:tcPr>
          <w:p>
            <w:r>
              <w:rPr>
                <w:sz w:val="13"/>
              </w:rPr>
              <w:t>0.643</w:t>
            </w:r>
          </w:p>
        </w:tc>
        <w:tc>
          <w:tcPr>
            <w:tcW w:type="dxa" w:w="864"/>
          </w:tcPr>
          <w:p>
            <w:r>
              <w:rPr>
                <w:sz w:val="13"/>
              </w:rPr>
              <w:t>75.5</w:t>
            </w:r>
          </w:p>
        </w:tc>
        <w:tc>
          <w:tcPr>
            <w:tcW w:type="dxa" w:w="864"/>
          </w:tcPr>
          <w:p>
            <w:r>
              <w:rPr>
                <w:sz w:val="13"/>
              </w:rPr>
              <w:t>7652.6</w:t>
            </w:r>
          </w:p>
        </w:tc>
        <w:tc>
          <w:tcPr>
            <w:tcW w:type="dxa" w:w="864"/>
          </w:tcPr>
          <w:p>
            <w:r>
              <w:rPr>
                <w:sz w:val="13"/>
              </w:rPr>
              <w:t>0.431</w:t>
            </w:r>
          </w:p>
        </w:tc>
        <w:tc>
          <w:tcPr>
            <w:tcW w:type="dxa" w:w="864"/>
          </w:tcPr>
          <w:p>
            <w:r>
              <w:rPr>
                <w:sz w:val="13"/>
              </w:rPr>
              <w:t>Justifié</w:t>
            </w:r>
          </w:p>
        </w:tc>
      </w:tr>
      <w:tr>
        <w:tc>
          <w:tcPr>
            <w:tcW w:type="dxa" w:w="864"/>
          </w:tcPr>
          <w:p>
            <w:r>
              <w:rPr>
                <w:sz w:val="13"/>
              </w:rPr>
              <w:t>HC</w:t>
            </w:r>
          </w:p>
        </w:tc>
        <w:tc>
          <w:tcPr>
            <w:tcW w:type="dxa" w:w="864"/>
          </w:tcPr>
          <w:p>
            <w:r>
              <w:rPr>
                <w:sz w:val="13"/>
              </w:rPr>
              <w:t>30</w:t>
            </w:r>
          </w:p>
        </w:tc>
        <w:tc>
          <w:tcPr>
            <w:tcW w:type="dxa" w:w="864"/>
          </w:tcPr>
          <w:p>
            <w:r>
              <w:rPr>
                <w:sz w:val="13"/>
              </w:rPr>
              <w:t>Câble principal clos</w:t>
            </w:r>
          </w:p>
        </w:tc>
        <w:tc>
          <w:tcPr>
            <w:tcW w:type="dxa" w:w="864"/>
          </w:tcPr>
          <w:p>
            <w:r>
              <w:rPr>
                <w:sz w:val="13"/>
              </w:rPr>
              <w:t>20.0</w:t>
            </w:r>
          </w:p>
        </w:tc>
        <w:tc>
          <w:tcPr>
            <w:tcW w:type="dxa" w:w="864"/>
          </w:tcPr>
          <w:p>
            <w:r>
              <w:rPr>
                <w:sz w:val="13"/>
              </w:rPr>
              <w:t>833.3</w:t>
            </w:r>
          </w:p>
        </w:tc>
        <w:tc>
          <w:tcPr>
            <w:tcW w:type="dxa" w:w="864"/>
          </w:tcPr>
          <w:p>
            <w:r>
              <w:rPr>
                <w:sz w:val="13"/>
              </w:rPr>
              <w:t>0.093</w:t>
            </w:r>
          </w:p>
        </w:tc>
        <w:tc>
          <w:tcPr>
            <w:tcW w:type="dxa" w:w="864"/>
          </w:tcPr>
          <w:p>
            <w:r>
              <w:rPr>
                <w:sz w:val="13"/>
              </w:rPr>
              <w:t>13.2</w:t>
            </w:r>
          </w:p>
        </w:tc>
        <w:tc>
          <w:tcPr>
            <w:tcW w:type="dxa" w:w="864"/>
          </w:tcPr>
          <w:p>
            <w:r>
              <w:rPr>
                <w:sz w:val="13"/>
              </w:rPr>
              <w:t>1110.4</w:t>
            </w:r>
          </w:p>
        </w:tc>
        <w:tc>
          <w:tcPr>
            <w:tcW w:type="dxa" w:w="864"/>
          </w:tcPr>
          <w:p>
            <w:r>
              <w:rPr>
                <w:sz w:val="13"/>
              </w:rPr>
              <w:t>2.972</w:t>
            </w:r>
          </w:p>
        </w:tc>
        <w:tc>
          <w:tcPr>
            <w:tcW w:type="dxa" w:w="864"/>
          </w:tcPr>
          <w:p>
            <w:r>
              <w:rPr>
                <w:sz w:val="13"/>
              </w:rPr>
              <w:t>Non justifié</w:t>
            </w:r>
          </w:p>
        </w:tc>
      </w:tr>
      <w:tr>
        <w:tc>
          <w:tcPr>
            <w:tcW w:type="dxa" w:w="864"/>
          </w:tcPr>
          <w:p>
            <w:r>
              <w:rPr>
                <w:sz w:val="13"/>
              </w:rPr>
              <w:t>HC</w:t>
            </w:r>
          </w:p>
        </w:tc>
        <w:tc>
          <w:tcPr>
            <w:tcW w:type="dxa" w:w="864"/>
          </w:tcPr>
          <w:p>
            <w:r>
              <w:rPr>
                <w:sz w:val="13"/>
              </w:rPr>
              <w:t>60</w:t>
            </w:r>
          </w:p>
        </w:tc>
        <w:tc>
          <w:tcPr>
            <w:tcW w:type="dxa" w:w="864"/>
          </w:tcPr>
          <w:p>
            <w:r>
              <w:rPr>
                <w:sz w:val="13"/>
              </w:rPr>
              <w:t>Câble principal clos</w:t>
            </w:r>
          </w:p>
        </w:tc>
        <w:tc>
          <w:tcPr>
            <w:tcW w:type="dxa" w:w="864"/>
          </w:tcPr>
          <w:p>
            <w:r>
              <w:rPr>
                <w:sz w:val="13"/>
              </w:rPr>
              <w:t>20.0</w:t>
            </w:r>
          </w:p>
        </w:tc>
        <w:tc>
          <w:tcPr>
            <w:tcW w:type="dxa" w:w="864"/>
          </w:tcPr>
          <w:p>
            <w:r>
              <w:rPr>
                <w:sz w:val="13"/>
              </w:rPr>
              <w:t>1089.9</w:t>
            </w:r>
          </w:p>
        </w:tc>
        <w:tc>
          <w:tcPr>
            <w:tcW w:type="dxa" w:w="864"/>
          </w:tcPr>
          <w:p>
            <w:r>
              <w:rPr>
                <w:sz w:val="13"/>
              </w:rPr>
              <w:t>0.022</w:t>
            </w:r>
          </w:p>
        </w:tc>
        <w:tc>
          <w:tcPr>
            <w:tcW w:type="dxa" w:w="864"/>
          </w:tcPr>
          <w:p>
            <w:r>
              <w:rPr>
                <w:sz w:val="13"/>
              </w:rPr>
              <w:t>4.0</w:t>
            </w:r>
          </w:p>
        </w:tc>
        <w:tc>
          <w:tcPr>
            <w:tcW w:type="dxa" w:w="864"/>
          </w:tcPr>
          <w:p>
            <w:r>
              <w:rPr>
                <w:sz w:val="13"/>
              </w:rPr>
              <w:t>262.0</w:t>
            </w:r>
          </w:p>
        </w:tc>
        <w:tc>
          <w:tcPr>
            <w:tcW w:type="dxa" w:w="864"/>
          </w:tcPr>
          <w:p>
            <w:r>
              <w:rPr>
                <w:sz w:val="13"/>
              </w:rPr>
              <w:t>12.596</w:t>
            </w:r>
          </w:p>
        </w:tc>
        <w:tc>
          <w:tcPr>
            <w:tcW w:type="dxa" w:w="864"/>
          </w:tcPr>
          <w:p>
            <w:r>
              <w:rPr>
                <w:sz w:val="13"/>
              </w:rPr>
              <w:t>Non justifié</w:t>
            </w:r>
          </w:p>
        </w:tc>
      </w:tr>
      <w:tr>
        <w:tc>
          <w:tcPr>
            <w:tcW w:type="dxa" w:w="864"/>
          </w:tcPr>
          <w:p>
            <w:r>
              <w:rPr>
                <w:sz w:val="13"/>
              </w:rPr>
              <w:t>HC</w:t>
            </w:r>
          </w:p>
        </w:tc>
        <w:tc>
          <w:tcPr>
            <w:tcW w:type="dxa" w:w="864"/>
          </w:tcPr>
          <w:p>
            <w:r>
              <w:rPr>
                <w:sz w:val="13"/>
              </w:rPr>
              <w:t>90</w:t>
            </w:r>
          </w:p>
        </w:tc>
        <w:tc>
          <w:tcPr>
            <w:tcW w:type="dxa" w:w="864"/>
          </w:tcPr>
          <w:p>
            <w:r>
              <w:rPr>
                <w:sz w:val="13"/>
              </w:rPr>
              <w:t>Câble principal clos</w:t>
            </w:r>
          </w:p>
        </w:tc>
        <w:tc>
          <w:tcPr>
            <w:tcW w:type="dxa" w:w="864"/>
          </w:tcPr>
          <w:p>
            <w:r>
              <w:rPr>
                <w:sz w:val="13"/>
              </w:rPr>
              <w:t>20.0</w:t>
            </w:r>
          </w:p>
        </w:tc>
        <w:tc>
          <w:tcPr>
            <w:tcW w:type="dxa" w:w="864"/>
          </w:tcPr>
          <w:p>
            <w:r>
              <w:rPr>
                <w:sz w:val="13"/>
              </w:rPr>
              <w:t>1099.7</w:t>
            </w:r>
          </w:p>
        </w:tc>
        <w:tc>
          <w:tcPr>
            <w:tcW w:type="dxa" w:w="864"/>
          </w:tcPr>
          <w:p>
            <w:r>
              <w:rPr>
                <w:sz w:val="13"/>
              </w:rPr>
              <w:t>0.02</w:t>
            </w:r>
          </w:p>
        </w:tc>
        <w:tc>
          <w:tcPr>
            <w:tcW w:type="dxa" w:w="864"/>
          </w:tcPr>
          <w:p>
            <w:r>
              <w:rPr>
                <w:sz w:val="13"/>
              </w:rPr>
              <w:t>3.6</w:t>
            </w:r>
          </w:p>
        </w:tc>
        <w:tc>
          <w:tcPr>
            <w:tcW w:type="dxa" w:w="864"/>
          </w:tcPr>
          <w:p>
            <w:r>
              <w:rPr>
                <w:sz w:val="13"/>
              </w:rPr>
              <w:t>238.6</w:t>
            </w:r>
          </w:p>
        </w:tc>
        <w:tc>
          <w:tcPr>
            <w:tcW w:type="dxa" w:w="864"/>
          </w:tcPr>
          <w:p>
            <w:r>
              <w:rPr>
                <w:sz w:val="13"/>
              </w:rPr>
              <w:t>13.83</w:t>
            </w:r>
          </w:p>
        </w:tc>
        <w:tc>
          <w:tcPr>
            <w:tcW w:type="dxa" w:w="864"/>
          </w:tcPr>
          <w:p>
            <w:r>
              <w:rPr>
                <w:sz w:val="13"/>
              </w:rPr>
              <w:t>Non justifié</w:t>
            </w:r>
          </w:p>
        </w:tc>
      </w:tr>
      <w:tr>
        <w:tc>
          <w:tcPr>
            <w:tcW w:type="dxa" w:w="864"/>
          </w:tcPr>
          <w:p>
            <w:r>
              <w:rPr>
                <w:sz w:val="13"/>
              </w:rPr>
              <w:t>HC</w:t>
            </w:r>
          </w:p>
        </w:tc>
        <w:tc>
          <w:tcPr>
            <w:tcW w:type="dxa" w:w="864"/>
          </w:tcPr>
          <w:p>
            <w:r>
              <w:rPr>
                <w:sz w:val="13"/>
              </w:rPr>
              <w:t>120</w:t>
            </w:r>
          </w:p>
        </w:tc>
        <w:tc>
          <w:tcPr>
            <w:tcW w:type="dxa" w:w="864"/>
          </w:tcPr>
          <w:p>
            <w:r>
              <w:rPr>
                <w:sz w:val="13"/>
              </w:rPr>
              <w:t>Câble principal clos</w:t>
            </w:r>
          </w:p>
        </w:tc>
        <w:tc>
          <w:tcPr>
            <w:tcW w:type="dxa" w:w="864"/>
          </w:tcPr>
          <w:p>
            <w:r>
              <w:rPr>
                <w:sz w:val="13"/>
              </w:rPr>
              <w:t>20.0</w:t>
            </w:r>
          </w:p>
        </w:tc>
        <w:tc>
          <w:tcPr>
            <w:tcW w:type="dxa" w:w="864"/>
          </w:tcPr>
          <w:p>
            <w:r>
              <w:rPr>
                <w:sz w:val="13"/>
              </w:rPr>
              <w:t>1100.0</w:t>
            </w:r>
          </w:p>
        </w:tc>
        <w:tc>
          <w:tcPr>
            <w:tcW w:type="dxa" w:w="864"/>
          </w:tcPr>
          <w:p>
            <w:r>
              <w:rPr>
                <w:sz w:val="13"/>
              </w:rPr>
              <w:t>0.02</w:t>
            </w:r>
          </w:p>
        </w:tc>
        <w:tc>
          <w:tcPr>
            <w:tcW w:type="dxa" w:w="864"/>
          </w:tcPr>
          <w:p>
            <w:r>
              <w:rPr>
                <w:sz w:val="13"/>
              </w:rPr>
              <w:t>3.6</w:t>
            </w:r>
          </w:p>
        </w:tc>
        <w:tc>
          <w:tcPr>
            <w:tcW w:type="dxa" w:w="864"/>
          </w:tcPr>
          <w:p>
            <w:r>
              <w:rPr>
                <w:sz w:val="13"/>
              </w:rPr>
              <w:t>238.0</w:t>
            </w:r>
          </w:p>
        </w:tc>
        <w:tc>
          <w:tcPr>
            <w:tcW w:type="dxa" w:w="864"/>
          </w:tcPr>
          <w:p>
            <w:r>
              <w:rPr>
                <w:sz w:val="13"/>
              </w:rPr>
              <w:t>13.868</w:t>
            </w:r>
          </w:p>
        </w:tc>
        <w:tc>
          <w:tcPr>
            <w:tcW w:type="dxa" w:w="864"/>
          </w:tcPr>
          <w:p>
            <w:r>
              <w:rPr>
                <w:sz w:val="13"/>
              </w:rPr>
              <w:t>Non justifié</w:t>
            </w:r>
          </w:p>
        </w:tc>
      </w:tr>
    </w:tbl>
    <w:p>
      <w:r>
        <w:t>Temps maximal justifié, au pas de 5 s : Suspente secondaire - ISO 834 : 25.0 min ; Câble principal clos - ISO 834 : 44.6 min ; Suspente secondaire - Feu extérieur : 120.0 min ; Câble principal clos - Feu extérieur : 120.0 min ; Suspente secondaire - HC : 8.9 min ; Câble principal clos - HC : 19.8 min.</w:t>
      </w:r>
    </w:p>
    <w:p>
      <w:pPr>
        <w:jc w:val="center"/>
      </w:pPr>
      <w:r>
        <w:drawing>
          <wp:inline xmlns:a="http://schemas.openxmlformats.org/drawingml/2006/main" xmlns:pic="http://schemas.openxmlformats.org/drawingml/2006/picture">
            <wp:extent cx="5580000" cy="3044817"/>
            <wp:docPr id="11" name="Picture 11"/>
            <wp:cNvGraphicFramePr>
              <a:graphicFrameLocks noChangeAspect="1"/>
            </wp:cNvGraphicFramePr>
            <a:graphic>
              <a:graphicData uri="http://schemas.openxmlformats.org/drawingml/2006/picture">
                <pic:pic>
                  <pic:nvPicPr>
                    <pic:cNvPr id="0" name="fig14.png"/>
                    <pic:cNvPicPr/>
                  </pic:nvPicPr>
                  <pic:blipFill>
                    <a:blip r:embed="rId19"/>
                    <a:stretch>
                      <a:fillRect/>
                    </a:stretch>
                  </pic:blipFill>
                  <pic:spPr>
                    <a:xfrm>
                      <a:off x="0" y="0"/>
                      <a:ext cx="5580000" cy="3044817"/>
                    </a:xfrm>
                    <a:prstGeom prst="rect"/>
                  </pic:spPr>
                </pic:pic>
              </a:graphicData>
            </a:graphic>
          </wp:inline>
        </w:drawing>
      </w:r>
    </w:p>
    <w:p>
      <w:pPr>
        <w:pStyle w:val="Caption"/>
        <w:jc w:val="center"/>
      </w:pPr>
      <w:r>
        <w:t>Figure 14 - Ratio de vérification de la suspente secondaire.</w:t>
      </w:r>
    </w:p>
    <w:p>
      <w:pPr>
        <w:jc w:val="center"/>
      </w:pPr>
      <w:r>
        <w:drawing>
          <wp:inline xmlns:a="http://schemas.openxmlformats.org/drawingml/2006/main" xmlns:pic="http://schemas.openxmlformats.org/drawingml/2006/picture">
            <wp:extent cx="5580000" cy="3041571"/>
            <wp:docPr id="12" name="Picture 12"/>
            <wp:cNvGraphicFramePr>
              <a:graphicFrameLocks noChangeAspect="1"/>
            </wp:cNvGraphicFramePr>
            <a:graphic>
              <a:graphicData uri="http://schemas.openxmlformats.org/drawingml/2006/picture">
                <pic:pic>
                  <pic:nvPicPr>
                    <pic:cNvPr id="0" name="fig15.png"/>
                    <pic:cNvPicPr/>
                  </pic:nvPicPr>
                  <pic:blipFill>
                    <a:blip r:embed="rId20"/>
                    <a:stretch>
                      <a:fillRect/>
                    </a:stretch>
                  </pic:blipFill>
                  <pic:spPr>
                    <a:xfrm>
                      <a:off x="0" y="0"/>
                      <a:ext cx="5580000" cy="3041571"/>
                    </a:xfrm>
                    <a:prstGeom prst="rect"/>
                  </pic:spPr>
                </pic:pic>
              </a:graphicData>
            </a:graphic>
          </wp:inline>
        </w:drawing>
      </w:r>
    </w:p>
    <w:p>
      <w:pPr>
        <w:pStyle w:val="Caption"/>
        <w:jc w:val="center"/>
      </w:pPr>
      <w:r>
        <w:t>Figure 15 - Ratio de vérification du câble principal clos.</w:t>
      </w:r>
    </w:p>
    <w:p>
      <w:pPr>
        <w:pStyle w:val="Heading1"/>
      </w:pPr>
      <w:r>
        <w:t>9. Conclusion et poursuite</w:t>
      </w:r>
    </w:p>
    <w:p>
      <w:r>
        <w:t>Sans surprise, la courbe HC est la plus pénalisante. Son maintien dans le scénario de calcul reste à confirmer par la MOA et son AMO. Le temps d’intervention sur ouvrage indiqué par le SDMIS lors de la réunion du 20/04/2026 est de 15 min ; cette donnée est reprise comme hypothèse projet, la réunion n’ayant pas été retrouvée dans les résultats de recherche disponibles. Si le scénario HC est retenu, les résultats conduisent à prévoir des protections pour la suspension principale et les suspentes secondaires ; leur typologie et leur justification seront détaillées ultérieurement. Si seules les courbes ISO 834 et feu extérieur sont retenues et qu’une durée de 30 min est jugée suffisante, un développement complémentaire pourra examiner la possibilité de s’affranchir de protections, notamment par une analyse des reports de réaction lors de la rupture d’une suspente secondaire. La durée maximale calculée de la suspension principale hors HC vaut 44.6 min dans le cas le plus pénalisant des deux courbes non HC (ISO 834 : 44.6 min ; feu extérieur : 120.0 min).</w:t>
      </w:r>
    </w:p>
    <w:p>
      <w:r>
        <w:br w:type="page"/>
      </w:r>
    </w:p>
    <w:p>
      <w:pPr>
        <w:pStyle w:val="Heading1"/>
      </w:pPr>
      <w:r>
        <w:t>Annexe A - Détail du processus de calcul</w:t>
      </w:r>
    </w:p>
    <w:p>
      <w:r>
        <w:t>L’annexe illustre le calcul du cas critique à 30 min. La température à chaque pas résulte de la mise à jour de c_a(θa), des flux convectif et radiatif et de l’intégration sur Δt = 5 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4"/>
              </w:rPr>
              <w:t>Étape</w:t>
            </w:r>
          </w:p>
        </w:tc>
        <w:tc>
          <w:tcPr>
            <w:tcW w:type="dxa" w:w="2880"/>
          </w:tcPr>
          <w:p>
            <w:r>
              <w:rPr>
                <w:sz w:val="14"/>
              </w:rPr>
              <w:t>Opération</w:t>
            </w:r>
          </w:p>
        </w:tc>
        <w:tc>
          <w:tcPr>
            <w:tcW w:type="dxa" w:w="2880"/>
          </w:tcPr>
          <w:p>
            <w:r>
              <w:rPr>
                <w:sz w:val="14"/>
              </w:rPr>
              <w:t>Résultat</w:t>
            </w:r>
          </w:p>
        </w:tc>
      </w:tr>
      <w:tr>
        <w:tc>
          <w:tcPr>
            <w:tcW w:type="dxa" w:w="2880"/>
          </w:tcPr>
          <w:p>
            <w:r>
              <w:rPr>
                <w:sz w:val="14"/>
              </w:rPr>
              <w:t>1</w:t>
            </w:r>
          </w:p>
        </w:tc>
        <w:tc>
          <w:tcPr>
            <w:tcW w:type="dxa" w:w="2880"/>
          </w:tcPr>
          <w:p>
            <w:r>
              <w:rPr>
                <w:sz w:val="14"/>
              </w:rPr>
              <w:t>Lecture de θa,i</w:t>
            </w:r>
          </w:p>
        </w:tc>
        <w:tc>
          <w:tcPr>
            <w:tcW w:type="dxa" w:w="2880"/>
          </w:tcPr>
          <w:p>
            <w:r>
              <w:rPr>
                <w:sz w:val="14"/>
              </w:rPr>
              <w:t>Température au début du pas</w:t>
            </w:r>
          </w:p>
        </w:tc>
      </w:tr>
      <w:tr>
        <w:tc>
          <w:tcPr>
            <w:tcW w:type="dxa" w:w="2880"/>
          </w:tcPr>
          <w:p>
            <w:r>
              <w:rPr>
                <w:sz w:val="14"/>
              </w:rPr>
              <w:t>2</w:t>
            </w:r>
          </w:p>
        </w:tc>
        <w:tc>
          <w:tcPr>
            <w:tcW w:type="dxa" w:w="2880"/>
          </w:tcPr>
          <w:p>
            <w:r>
              <w:rPr>
                <w:sz w:val="14"/>
              </w:rPr>
              <w:t>Calcul de ca(θa,i)</w:t>
            </w:r>
          </w:p>
        </w:tc>
        <w:tc>
          <w:tcPr>
            <w:tcW w:type="dxa" w:w="2880"/>
          </w:tcPr>
          <w:p>
            <w:r>
              <w:rPr>
                <w:sz w:val="14"/>
              </w:rPr>
              <w:t>Loi acier dépendante de la température</w:t>
            </w:r>
          </w:p>
        </w:tc>
      </w:tr>
      <w:tr>
        <w:tc>
          <w:tcPr>
            <w:tcW w:type="dxa" w:w="2880"/>
          </w:tcPr>
          <w:p>
            <w:r>
              <w:rPr>
                <w:sz w:val="14"/>
              </w:rPr>
              <w:t>3</w:t>
            </w:r>
          </w:p>
        </w:tc>
        <w:tc>
          <w:tcPr>
            <w:tcW w:type="dxa" w:w="2880"/>
          </w:tcPr>
          <w:p>
            <w:r>
              <w:rPr>
                <w:sz w:val="14"/>
              </w:rPr>
              <w:t>Calcul de qconv et qrad</w:t>
            </w:r>
          </w:p>
        </w:tc>
        <w:tc>
          <w:tcPr>
            <w:tcW w:type="dxa" w:w="2880"/>
          </w:tcPr>
          <w:p>
            <w:r>
              <w:rPr>
                <w:sz w:val="14"/>
              </w:rPr>
              <w:t>Flux thermique net</w:t>
            </w:r>
          </w:p>
        </w:tc>
      </w:tr>
      <w:tr>
        <w:tc>
          <w:tcPr>
            <w:tcW w:type="dxa" w:w="2880"/>
          </w:tcPr>
          <w:p>
            <w:r>
              <w:rPr>
                <w:sz w:val="14"/>
              </w:rPr>
              <w:t>4</w:t>
            </w:r>
          </w:p>
        </w:tc>
        <w:tc>
          <w:tcPr>
            <w:tcW w:type="dxa" w:w="2880"/>
          </w:tcPr>
          <w:p>
            <w:r>
              <w:rPr>
                <w:sz w:val="14"/>
              </w:rPr>
              <w:t>Calcul de Δθa,i</w:t>
            </w:r>
          </w:p>
        </w:tc>
        <w:tc>
          <w:tcPr>
            <w:tcW w:type="dxa" w:w="2880"/>
          </w:tcPr>
          <w:p>
            <w:r>
              <w:rPr>
                <w:sz w:val="14"/>
              </w:rPr>
              <w:t>Bilan sur Δt = 5 s</w:t>
            </w:r>
          </w:p>
        </w:tc>
      </w:tr>
      <w:tr>
        <w:tc>
          <w:tcPr>
            <w:tcW w:type="dxa" w:w="2880"/>
          </w:tcPr>
          <w:p>
            <w:r>
              <w:rPr>
                <w:sz w:val="14"/>
              </w:rPr>
              <w:t>5</w:t>
            </w:r>
          </w:p>
        </w:tc>
        <w:tc>
          <w:tcPr>
            <w:tcW w:type="dxa" w:w="2880"/>
          </w:tcPr>
          <w:p>
            <w:r>
              <w:rPr>
                <w:sz w:val="14"/>
              </w:rPr>
              <w:t>Mise à jour θa,i+1</w:t>
            </w:r>
          </w:p>
        </w:tc>
        <w:tc>
          <w:tcPr>
            <w:tcW w:type="dxa" w:w="2880"/>
          </w:tcPr>
          <w:p>
            <w:r>
              <w:rPr>
                <w:sz w:val="14"/>
              </w:rPr>
              <w:t>Nouvelle température</w:t>
            </w:r>
          </w:p>
        </w:tc>
      </w:tr>
      <w:tr>
        <w:tc>
          <w:tcPr>
            <w:tcW w:type="dxa" w:w="2880"/>
          </w:tcPr>
          <w:p>
            <w:r>
              <w:rPr>
                <w:sz w:val="14"/>
              </w:rPr>
              <w:t>6</w:t>
            </w:r>
          </w:p>
        </w:tc>
        <w:tc>
          <w:tcPr>
            <w:tcW w:type="dxa" w:w="2880"/>
          </w:tcPr>
          <w:p>
            <w:r>
              <w:rPr>
                <w:sz w:val="14"/>
              </w:rPr>
              <w:t>Répétition</w:t>
            </w:r>
          </w:p>
        </w:tc>
        <w:tc>
          <w:tcPr>
            <w:tcW w:type="dxa" w:w="2880"/>
          </w:tcPr>
          <w:p>
            <w:r>
              <w:rPr>
                <w:sz w:val="14"/>
              </w:rPr>
              <w:t>Jusqu’à 120 min</w:t>
            </w:r>
          </w:p>
        </w:tc>
      </w:tr>
    </w:tbl>
    <w:p>
      <w:pPr>
        <w:jc w:val="center"/>
      </w:pPr>
      <w:r>
        <w:drawing>
          <wp:inline xmlns:a="http://schemas.openxmlformats.org/drawingml/2006/main" xmlns:pic="http://schemas.openxmlformats.org/drawingml/2006/picture">
            <wp:extent cx="5580000" cy="2912893"/>
            <wp:docPr id="13" name="Picture 13"/>
            <wp:cNvGraphicFramePr>
              <a:graphicFrameLocks noChangeAspect="1"/>
            </wp:cNvGraphicFramePr>
            <a:graphic>
              <a:graphicData uri="http://schemas.openxmlformats.org/drawingml/2006/picture">
                <pic:pic>
                  <pic:nvPicPr>
                    <pic:cNvPr id="0" name="integration.png"/>
                    <pic:cNvPicPr/>
                  </pic:nvPicPr>
                  <pic:blipFill>
                    <a:blip r:embed="rId21"/>
                    <a:stretch>
                      <a:fillRect/>
                    </a:stretch>
                  </pic:blipFill>
                  <pic:spPr>
                    <a:xfrm>
                      <a:off x="0" y="0"/>
                      <a:ext cx="5580000" cy="2912893"/>
                    </a:xfrm>
                    <a:prstGeom prst="rect"/>
                  </pic:spPr>
                </pic:pic>
              </a:graphicData>
            </a:graphic>
          </wp:inline>
        </w:drawing>
      </w:r>
    </w:p>
    <w:p>
      <w:pPr>
        <w:pStyle w:val="Caption"/>
        <w:jc w:val="center"/>
      </w:pPr>
      <w:r>
        <w:t>Figure A.1 - Intégration temporelle du cas critique.</w:t>
      </w:r>
    </w:p>
    <w:tbl>
      <w:tblPr>
        <w:tblStyle w:val="TableGrid"/>
        <w:tblW w:type="auto" w:w="0"/>
        <w:tblLook w:firstColumn="1" w:firstRow="1" w:lastColumn="0" w:lastRow="0" w:noHBand="0" w:noVBand="1" w:val="04A0"/>
      </w:tblPr>
      <w:tblGrid>
        <w:gridCol w:w="4320"/>
        <w:gridCol w:w="4320"/>
      </w:tblGrid>
      <w:tr>
        <w:tc>
          <w:tcPr>
            <w:tcW w:type="dxa" w:w="4320"/>
          </w:tcPr>
          <w:p>
            <w:r>
              <w:rPr>
                <w:sz w:val="14"/>
              </w:rPr>
              <w:t>Grandeur</w:t>
            </w:r>
          </w:p>
        </w:tc>
        <w:tc>
          <w:tcPr>
            <w:tcW w:type="dxa" w:w="4320"/>
          </w:tcPr>
          <w:p>
            <w:r>
              <w:rPr>
                <w:sz w:val="14"/>
              </w:rPr>
              <w:t>Valeur</w:t>
            </w:r>
          </w:p>
        </w:tc>
      </w:tr>
      <w:tr>
        <w:tc>
          <w:tcPr>
            <w:tcW w:type="dxa" w:w="4320"/>
          </w:tcPr>
          <w:p>
            <w:r>
              <w:rPr>
                <w:sz w:val="14"/>
              </w:rPr>
              <w:t>Courbe</w:t>
            </w:r>
          </w:p>
        </w:tc>
        <w:tc>
          <w:tcPr>
            <w:tcW w:type="dxa" w:w="4320"/>
          </w:tcPr>
          <w:p>
            <w:r>
              <w:rPr>
                <w:sz w:val="14"/>
              </w:rPr>
              <w:t>HC</w:t>
            </w:r>
          </w:p>
        </w:tc>
      </w:tr>
      <w:tr>
        <w:tc>
          <w:tcPr>
            <w:tcW w:type="dxa" w:w="4320"/>
          </w:tcPr>
          <w:p>
            <w:r>
              <w:rPr>
                <w:sz w:val="14"/>
              </w:rPr>
              <w:t>Position</w:t>
            </w:r>
          </w:p>
        </w:tc>
        <w:tc>
          <w:tcPr>
            <w:tcW w:type="dxa" w:w="4320"/>
          </w:tcPr>
          <w:p>
            <w:r>
              <w:rPr>
                <w:sz w:val="14"/>
              </w:rPr>
              <w:t>OUEST</w:t>
            </w:r>
          </w:p>
        </w:tc>
      </w:tr>
      <w:tr>
        <w:tc>
          <w:tcPr>
            <w:tcW w:type="dxa" w:w="4320"/>
          </w:tcPr>
          <w:p>
            <w:r>
              <w:rPr>
                <w:sz w:val="14"/>
              </w:rPr>
              <w:t>Hauteur de foyer</w:t>
            </w:r>
          </w:p>
        </w:tc>
        <w:tc>
          <w:tcPr>
            <w:tcW w:type="dxa" w:w="4320"/>
          </w:tcPr>
          <w:p>
            <w:r>
              <w:rPr>
                <w:sz w:val="14"/>
              </w:rPr>
              <w:t>20 m</w:t>
            </w:r>
          </w:p>
        </w:tc>
      </w:tr>
      <w:tr>
        <w:tc>
          <w:tcPr>
            <w:tcW w:type="dxa" w:w="4320"/>
          </w:tcPr>
          <w:p>
            <w:r>
              <w:rPr>
                <w:sz w:val="14"/>
              </w:rPr>
              <w:t>Suspente à 30 min</w:t>
            </w:r>
          </w:p>
        </w:tc>
        <w:tc>
          <w:tcPr>
            <w:tcW w:type="dxa" w:w="4320"/>
          </w:tcPr>
          <w:p>
            <w:r>
              <w:rPr>
                <w:sz w:val="14"/>
              </w:rPr>
              <w:t>1095.8 °C</w:t>
            </w:r>
          </w:p>
        </w:tc>
      </w:tr>
      <w:tr>
        <w:tc>
          <w:tcPr>
            <w:tcW w:type="dxa" w:w="4320"/>
          </w:tcPr>
          <w:p>
            <w:r>
              <w:rPr>
                <w:sz w:val="14"/>
              </w:rPr>
              <w:t>Câble à 30 min</w:t>
            </w:r>
          </w:p>
        </w:tc>
        <w:tc>
          <w:tcPr>
            <w:tcW w:type="dxa" w:w="4320"/>
          </w:tcPr>
          <w:p>
            <w:r>
              <w:rPr>
                <w:sz w:val="14"/>
              </w:rPr>
              <w:t>833.3 °C</w:t>
            </w:r>
          </w:p>
        </w:tc>
      </w:tr>
    </w:tbl>
    <w:p>
      <w:r>
        <w:br w:type="page"/>
      </w:r>
    </w:p>
    <w:p>
      <w:pPr>
        <w:pStyle w:val="Heading1"/>
      </w:pPr>
      <w:r>
        <w:t>Annexe B - Courbes de tous les cas étudiés</w:t>
      </w:r>
    </w:p>
    <w:p>
      <w:pPr>
        <w:jc w:val="center"/>
      </w:pPr>
      <w:r>
        <w:drawing>
          <wp:inline xmlns:a="http://schemas.openxmlformats.org/drawingml/2006/main" xmlns:pic="http://schemas.openxmlformats.org/drawingml/2006/picture">
            <wp:extent cx="5400000" cy="2979529"/>
            <wp:docPr id="14" name="Picture 14"/>
            <wp:cNvGraphicFramePr>
              <a:graphicFrameLocks noChangeAspect="1"/>
            </wp:cNvGraphicFramePr>
            <a:graphic>
              <a:graphicData uri="http://schemas.openxmlformats.org/drawingml/2006/picture">
                <pic:pic>
                  <pic:nvPicPr>
                    <pic:cNvPr id="0" name="B_ISO 834_hanger.png"/>
                    <pic:cNvPicPr/>
                  </pic:nvPicPr>
                  <pic:blipFill>
                    <a:blip r:embed="rId22"/>
                    <a:stretch>
                      <a:fillRect/>
                    </a:stretch>
                  </pic:blipFill>
                  <pic:spPr>
                    <a:xfrm>
                      <a:off x="0" y="0"/>
                      <a:ext cx="5400000" cy="2979529"/>
                    </a:xfrm>
                    <a:prstGeom prst="rect"/>
                  </pic:spPr>
                </pic:pic>
              </a:graphicData>
            </a:graphic>
          </wp:inline>
        </w:drawing>
      </w:r>
    </w:p>
    <w:p>
      <w:pPr>
        <w:pStyle w:val="Caption"/>
        <w:jc w:val="center"/>
      </w:pPr>
      <w:r>
        <w:t>ISO 834 - Suspente secondaire : OUEST / AXE M7 / EST, H=10/15/20 m et enveloppe.</w:t>
      </w:r>
    </w:p>
    <w:p>
      <w:pPr>
        <w:jc w:val="center"/>
      </w:pPr>
      <w:r>
        <w:drawing>
          <wp:inline xmlns:a="http://schemas.openxmlformats.org/drawingml/2006/main" xmlns:pic="http://schemas.openxmlformats.org/drawingml/2006/picture">
            <wp:extent cx="5400000" cy="2976353"/>
            <wp:docPr id="15" name="Picture 15"/>
            <wp:cNvGraphicFramePr>
              <a:graphicFrameLocks noChangeAspect="1"/>
            </wp:cNvGraphicFramePr>
            <a:graphic>
              <a:graphicData uri="http://schemas.openxmlformats.org/drawingml/2006/picture">
                <pic:pic>
                  <pic:nvPicPr>
                    <pic:cNvPr id="0" name="B_ISO 834_cable.png"/>
                    <pic:cNvPicPr/>
                  </pic:nvPicPr>
                  <pic:blipFill>
                    <a:blip r:embed="rId23"/>
                    <a:stretch>
                      <a:fillRect/>
                    </a:stretch>
                  </pic:blipFill>
                  <pic:spPr>
                    <a:xfrm>
                      <a:off x="0" y="0"/>
                      <a:ext cx="5400000" cy="2976353"/>
                    </a:xfrm>
                    <a:prstGeom prst="rect"/>
                  </pic:spPr>
                </pic:pic>
              </a:graphicData>
            </a:graphic>
          </wp:inline>
        </w:drawing>
      </w:r>
    </w:p>
    <w:p>
      <w:pPr>
        <w:pStyle w:val="Caption"/>
        <w:jc w:val="center"/>
      </w:pPr>
      <w:r>
        <w:t>ISO 834 - Câble principal clos : OUEST / AXE M7 / EST, H=10/15/20 m et enveloppe.</w:t>
      </w:r>
    </w:p>
    <w:p>
      <w:pPr>
        <w:jc w:val="center"/>
      </w:pPr>
      <w:r>
        <w:drawing>
          <wp:inline xmlns:a="http://schemas.openxmlformats.org/drawingml/2006/main" xmlns:pic="http://schemas.openxmlformats.org/drawingml/2006/picture">
            <wp:extent cx="5400000" cy="2976353"/>
            <wp:docPr id="16" name="Picture 16"/>
            <wp:cNvGraphicFramePr>
              <a:graphicFrameLocks noChangeAspect="1"/>
            </wp:cNvGraphicFramePr>
            <a:graphic>
              <a:graphicData uri="http://schemas.openxmlformats.org/drawingml/2006/picture">
                <pic:pic>
                  <pic:nvPicPr>
                    <pic:cNvPr id="0" name="B_Feu extérieur_hanger.png"/>
                    <pic:cNvPicPr/>
                  </pic:nvPicPr>
                  <pic:blipFill>
                    <a:blip r:embed="rId24"/>
                    <a:stretch>
                      <a:fillRect/>
                    </a:stretch>
                  </pic:blipFill>
                  <pic:spPr>
                    <a:xfrm>
                      <a:off x="0" y="0"/>
                      <a:ext cx="5400000" cy="2976353"/>
                    </a:xfrm>
                    <a:prstGeom prst="rect"/>
                  </pic:spPr>
                </pic:pic>
              </a:graphicData>
            </a:graphic>
          </wp:inline>
        </w:drawing>
      </w:r>
    </w:p>
    <w:p>
      <w:pPr>
        <w:pStyle w:val="Caption"/>
        <w:jc w:val="center"/>
      </w:pPr>
      <w:r>
        <w:t>Feu extérieur - Suspente secondaire : OUEST / AXE M7 / EST, H=10/15/20 m et enveloppe.</w:t>
      </w:r>
    </w:p>
    <w:p>
      <w:pPr>
        <w:jc w:val="center"/>
      </w:pPr>
      <w:r>
        <w:drawing>
          <wp:inline xmlns:a="http://schemas.openxmlformats.org/drawingml/2006/main" xmlns:pic="http://schemas.openxmlformats.org/drawingml/2006/picture">
            <wp:extent cx="5400000" cy="2976353"/>
            <wp:docPr id="17" name="Picture 17"/>
            <wp:cNvGraphicFramePr>
              <a:graphicFrameLocks noChangeAspect="1"/>
            </wp:cNvGraphicFramePr>
            <a:graphic>
              <a:graphicData uri="http://schemas.openxmlformats.org/drawingml/2006/picture">
                <pic:pic>
                  <pic:nvPicPr>
                    <pic:cNvPr id="0" name="B_Feu extérieur_cable.png"/>
                    <pic:cNvPicPr/>
                  </pic:nvPicPr>
                  <pic:blipFill>
                    <a:blip r:embed="rId25"/>
                    <a:stretch>
                      <a:fillRect/>
                    </a:stretch>
                  </pic:blipFill>
                  <pic:spPr>
                    <a:xfrm>
                      <a:off x="0" y="0"/>
                      <a:ext cx="5400000" cy="2976353"/>
                    </a:xfrm>
                    <a:prstGeom prst="rect"/>
                  </pic:spPr>
                </pic:pic>
              </a:graphicData>
            </a:graphic>
          </wp:inline>
        </w:drawing>
      </w:r>
    </w:p>
    <w:p>
      <w:pPr>
        <w:pStyle w:val="Caption"/>
        <w:jc w:val="center"/>
      </w:pPr>
      <w:r>
        <w:t>Feu extérieur - Câble principal clos : OUEST / AXE M7 / EST, H=10/15/20 m et enveloppe.</w:t>
      </w:r>
    </w:p>
    <w:p>
      <w:pPr>
        <w:jc w:val="center"/>
      </w:pPr>
      <w:r>
        <w:drawing>
          <wp:inline xmlns:a="http://schemas.openxmlformats.org/drawingml/2006/main" xmlns:pic="http://schemas.openxmlformats.org/drawingml/2006/picture">
            <wp:extent cx="5400000" cy="2979529"/>
            <wp:docPr id="18" name="Picture 18"/>
            <wp:cNvGraphicFramePr>
              <a:graphicFrameLocks noChangeAspect="1"/>
            </wp:cNvGraphicFramePr>
            <a:graphic>
              <a:graphicData uri="http://schemas.openxmlformats.org/drawingml/2006/picture">
                <pic:pic>
                  <pic:nvPicPr>
                    <pic:cNvPr id="0" name="B_HC_hanger.png"/>
                    <pic:cNvPicPr/>
                  </pic:nvPicPr>
                  <pic:blipFill>
                    <a:blip r:embed="rId26"/>
                    <a:stretch>
                      <a:fillRect/>
                    </a:stretch>
                  </pic:blipFill>
                  <pic:spPr>
                    <a:xfrm>
                      <a:off x="0" y="0"/>
                      <a:ext cx="5400000" cy="2979529"/>
                    </a:xfrm>
                    <a:prstGeom prst="rect"/>
                  </pic:spPr>
                </pic:pic>
              </a:graphicData>
            </a:graphic>
          </wp:inline>
        </w:drawing>
      </w:r>
    </w:p>
    <w:p>
      <w:pPr>
        <w:pStyle w:val="Caption"/>
        <w:jc w:val="center"/>
      </w:pPr>
      <w:r>
        <w:t>HC - Suspente secondaire : OUEST / AXE M7 / EST, H=10/15/20 m et enveloppe.</w:t>
      </w:r>
    </w:p>
    <w:p>
      <w:pPr>
        <w:jc w:val="center"/>
      </w:pPr>
      <w:r>
        <w:drawing>
          <wp:inline xmlns:a="http://schemas.openxmlformats.org/drawingml/2006/main" xmlns:pic="http://schemas.openxmlformats.org/drawingml/2006/picture">
            <wp:extent cx="5400000" cy="2976353"/>
            <wp:docPr id="19" name="Picture 19"/>
            <wp:cNvGraphicFramePr>
              <a:graphicFrameLocks noChangeAspect="1"/>
            </wp:cNvGraphicFramePr>
            <a:graphic>
              <a:graphicData uri="http://schemas.openxmlformats.org/drawingml/2006/picture">
                <pic:pic>
                  <pic:nvPicPr>
                    <pic:cNvPr id="0" name="B_HC_cable.png"/>
                    <pic:cNvPicPr/>
                  </pic:nvPicPr>
                  <pic:blipFill>
                    <a:blip r:embed="rId27"/>
                    <a:stretch>
                      <a:fillRect/>
                    </a:stretch>
                  </pic:blipFill>
                  <pic:spPr>
                    <a:xfrm>
                      <a:off x="0" y="0"/>
                      <a:ext cx="5400000" cy="2976353"/>
                    </a:xfrm>
                    <a:prstGeom prst="rect"/>
                  </pic:spPr>
                </pic:pic>
              </a:graphicData>
            </a:graphic>
          </wp:inline>
        </w:drawing>
      </w:r>
    </w:p>
    <w:p>
      <w:pPr>
        <w:pStyle w:val="Caption"/>
        <w:jc w:val="center"/>
      </w:pPr>
      <w:r>
        <w:t>HC - Câble principal clos : OUEST / AXE M7 / EST, H=10/15/20 m et enveloppe.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AIA Ingénierie</cp:lastModifiedBy>
  <cp:revision>1</cp:revision>
  <dcterms:created xsi:type="dcterms:W3CDTF">2026-09-02T14:21:27Z</dcterms:created>
  <dcterms:modified xsi:type="dcterms:W3CDTF">2026-09-02T14:21:27Z</dcterms:modified>
  <cp:category/>
</cp:coreProperties>
</file>