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le sommaire : Ctrl+A, F9.</w:t>
        <w:fldChar w:fldCharType="end"/>
      </w:r>
    </w:p>
    <w:p>
      <w:r>
        <w:br w:type="page"/>
      </w:r>
    </w:p>
    <w:p>
      <w:pPr>
        <w:pStyle w:val="Heading1"/>
      </w:pPr>
      <w:r>
        <w:t>1. Objet et présentation du projet</w:t>
      </w:r>
    </w:p>
    <w:p>
      <w:r>
        <w:t>L’étude évalue sous Python l’évolution temporelle des températures des suspentes secondaires et du câble principal lors d’un incendie sur la M7.</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w:t>
      </w:r>
    </w:p>
    <w:p>
      <w:pPr>
        <w:pStyle w:val="Heading1"/>
      </w:pPr>
      <w:r>
        <w:t>2. Références</w:t>
      </w:r>
    </w:p>
    <w:p>
      <w:r>
        <w:t>NF EN 1991-1-2 ; NF EN 1993-1-2 ; guide Cerema Résistance à l’incendie des ponts routiers ; note SAU_AVP_NTE_069_A_FeuM7.</w:t>
      </w:r>
    </w:p>
    <w:p>
      <w:pPr>
        <w:pStyle w:val="Heading1"/>
      </w:pPr>
      <w:r>
        <w:t>3. Choix des courbes de feu</w:t>
      </w:r>
    </w:p>
    <w:p>
      <w:r>
        <w:t>Les courbes ISO 834, feu extérieur et HC sont étudiées séparément puis comparées. La courbe HC est ajoutée du fait de la proximité signalée d’une station Esso, située à environ 2 km de l’ouvrage. Ce choix prudent pourra être rediscuté avec la MOA et son AMO. Le guide Cerema rappelle que le maître d’ouvrage doit définir le scénario de feu contre lequel il souhaite protéger l’ouvrage.</w:t>
      </w:r>
    </w:p>
    <w:p>
      <w:pPr>
        <w:jc w:val="center"/>
      </w:pPr>
      <w:r>
        <w:drawing>
          <wp:inline xmlns:a="http://schemas.openxmlformats.org/drawingml/2006/main" xmlns:pic="http://schemas.openxmlformats.org/drawingml/2006/picture">
            <wp:extent cx="5400000" cy="1057056"/>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400000" cy="1057056"/>
                    </a:xfrm>
                    <a:prstGeom prst="rect"/>
                  </pic:spPr>
                </pic:pic>
              </a:graphicData>
            </a:graphic>
          </wp:inline>
        </w:drawing>
      </w:r>
    </w:p>
    <w:p>
      <w:pPr>
        <w:pStyle w:val="Caption"/>
        <w:jc w:val="center"/>
      </w:pPr>
      <w:r>
        <w:t>Figure 5 - Extrait du guide Cerema : choix des courbes.</w:t>
      </w:r>
    </w:p>
    <w:p>
      <w:pPr>
        <w:jc w:val="center"/>
      </w:pPr>
      <w:r>
        <w:drawing>
          <wp:inline xmlns:a="http://schemas.openxmlformats.org/drawingml/2006/main" xmlns:pic="http://schemas.openxmlformats.org/drawingml/2006/picture">
            <wp:extent cx="5400000" cy="2947500"/>
            <wp:docPr id="6" name="Picture 6"/>
            <wp:cNvGraphicFramePr>
              <a:graphicFrameLocks noChangeAspect="1"/>
            </wp:cNvGraphicFramePr>
            <a:graphic>
              <a:graphicData uri="http://schemas.openxmlformats.org/drawingml/2006/picture">
                <pic:pic>
                  <pic:nvPicPr>
                    <pic:cNvPr id="0" name="feux.png"/>
                    <pic:cNvPicPr/>
                  </pic:nvPicPr>
                  <pic:blipFill>
                    <a:blip r:embed="rId14"/>
                    <a:stretch>
                      <a:fillRect/>
                    </a:stretch>
                  </pic:blipFill>
                  <pic:spPr>
                    <a:xfrm>
                      <a:off x="0" y="0"/>
                      <a:ext cx="5400000" cy="2947500"/>
                    </a:xfrm>
                    <a:prstGeom prst="rect"/>
                  </pic:spPr>
                </pic:pic>
              </a:graphicData>
            </a:graphic>
          </wp:inline>
        </w:drawing>
      </w:r>
    </w:p>
    <w:p>
      <w:pPr>
        <w:pStyle w:val="Caption"/>
        <w:jc w:val="center"/>
      </w:pPr>
      <w:r>
        <w:t>Figure 6 -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5"/>
              </w:rPr>
              <w:t>Coupe</w:t>
            </w:r>
          </w:p>
        </w:tc>
        <w:tc>
          <w:tcPr>
            <w:tcW w:type="dxa" w:w="2160"/>
          </w:tcPr>
          <w:p>
            <w:r>
              <w:rPr>
                <w:sz w:val="15"/>
              </w:rPr>
              <w:t>Intrados</w:t>
            </w:r>
          </w:p>
        </w:tc>
        <w:tc>
          <w:tcPr>
            <w:tcW w:type="dxa" w:w="2160"/>
          </w:tcPr>
          <w:p>
            <w:r>
              <w:rPr>
                <w:sz w:val="15"/>
              </w:rPr>
              <w:t>Suspente</w:t>
            </w:r>
          </w:p>
        </w:tc>
        <w:tc>
          <w:tcPr>
            <w:tcW w:type="dxa" w:w="2160"/>
          </w:tcPr>
          <w:p>
            <w:r>
              <w:rPr>
                <w:sz w:val="15"/>
              </w:rPr>
              <w:t>Câble</w:t>
            </w:r>
          </w:p>
        </w:tc>
      </w:tr>
      <w:tr>
        <w:tc>
          <w:tcPr>
            <w:tcW w:type="dxa" w:w="2160"/>
          </w:tcPr>
          <w:p>
            <w:r>
              <w:rPr>
                <w:sz w:val="15"/>
              </w:rPr>
              <w:t>F1</w:t>
            </w:r>
          </w:p>
        </w:tc>
        <w:tc>
          <w:tcPr>
            <w:tcW w:type="dxa" w:w="2160"/>
          </w:tcPr>
          <w:p>
            <w:r>
              <w:rPr>
                <w:sz w:val="15"/>
              </w:rPr>
              <w:t>6.125</w:t>
            </w:r>
          </w:p>
        </w:tc>
        <w:tc>
          <w:tcPr>
            <w:tcW w:type="dxa" w:w="2160"/>
          </w:tcPr>
          <w:p>
            <w:r>
              <w:rPr>
                <w:sz w:val="15"/>
              </w:rPr>
              <w:t>6.945</w:t>
            </w:r>
          </w:p>
        </w:tc>
        <w:tc>
          <w:tcPr>
            <w:tcW w:type="dxa" w:w="2160"/>
          </w:tcPr>
          <w:p>
            <w:r>
              <w:rPr>
                <w:sz w:val="15"/>
              </w:rPr>
              <w:t>8.12</w:t>
            </w:r>
          </w:p>
        </w:tc>
      </w:tr>
      <w:tr>
        <w:tc>
          <w:tcPr>
            <w:tcW w:type="dxa" w:w="2160"/>
          </w:tcPr>
          <w:p>
            <w:r>
              <w:rPr>
                <w:sz w:val="15"/>
              </w:rPr>
              <w:t>F2</w:t>
            </w:r>
          </w:p>
        </w:tc>
        <w:tc>
          <w:tcPr>
            <w:tcW w:type="dxa" w:w="2160"/>
          </w:tcPr>
          <w:p>
            <w:r>
              <w:rPr>
                <w:sz w:val="15"/>
              </w:rPr>
              <w:t>6.9</w:t>
            </w:r>
          </w:p>
        </w:tc>
        <w:tc>
          <w:tcPr>
            <w:tcW w:type="dxa" w:w="2160"/>
          </w:tcPr>
          <w:p>
            <w:r>
              <w:rPr>
                <w:sz w:val="15"/>
              </w:rPr>
              <w:t>7.72</w:t>
            </w:r>
          </w:p>
        </w:tc>
        <w:tc>
          <w:tcPr>
            <w:tcW w:type="dxa" w:w="2160"/>
          </w:tcPr>
          <w:p>
            <w:r>
              <w:rPr>
                <w:sz w:val="15"/>
              </w:rPr>
              <w:t>9.4</w:t>
            </w:r>
          </w:p>
        </w:tc>
      </w:tr>
      <w:tr>
        <w:tc>
          <w:tcPr>
            <w:tcW w:type="dxa" w:w="2160"/>
          </w:tcPr>
          <w:p>
            <w:r>
              <w:rPr>
                <w:sz w:val="15"/>
              </w:rPr>
              <w:t>F3</w:t>
            </w:r>
          </w:p>
        </w:tc>
        <w:tc>
          <w:tcPr>
            <w:tcW w:type="dxa" w:w="2160"/>
          </w:tcPr>
          <w:p>
            <w:r>
              <w:rPr>
                <w:sz w:val="15"/>
              </w:rPr>
              <w:t>7.25</w:t>
            </w:r>
          </w:p>
        </w:tc>
        <w:tc>
          <w:tcPr>
            <w:tcW w:type="dxa" w:w="2160"/>
          </w:tcPr>
          <w:p>
            <w:r>
              <w:rPr>
                <w:sz w:val="15"/>
              </w:rPr>
              <w:t>8.07</w:t>
            </w:r>
          </w:p>
        </w:tc>
        <w:tc>
          <w:tcPr>
            <w:tcW w:type="dxa" w:w="2160"/>
          </w:tcPr>
          <w:p>
            <w:r>
              <w:rPr>
                <w:sz w:val="15"/>
              </w:rPr>
              <w:t>11.07</w:t>
            </w:r>
          </w:p>
        </w:tc>
      </w:tr>
    </w:tbl>
    <w:p>
      <w:pPr>
        <w:jc w:val="center"/>
      </w:pPr>
      <w:r>
        <w:drawing>
          <wp:inline xmlns:a="http://schemas.openxmlformats.org/drawingml/2006/main" xmlns:pic="http://schemas.openxmlformats.org/drawingml/2006/picture">
            <wp:extent cx="5400000" cy="2823823"/>
            <wp:docPr id="7" name="Picture 7"/>
            <wp:cNvGraphicFramePr>
              <a:graphicFrameLocks noChangeAspect="1"/>
            </wp:cNvGraphicFramePr>
            <a:graphic>
              <a:graphicData uri="http://schemas.openxmlformats.org/drawingml/2006/picture">
                <pic:pic>
                  <pic:nvPicPr>
                    <pic:cNvPr id="0" name="geometrie.png"/>
                    <pic:cNvPicPr/>
                  </pic:nvPicPr>
                  <pic:blipFill>
                    <a:blip r:embed="rId15"/>
                    <a:stretch>
                      <a:fillRect/>
                    </a:stretch>
                  </pic:blipFill>
                  <pic:spPr>
                    <a:xfrm>
                      <a:off x="0" y="0"/>
                      <a:ext cx="5400000" cy="2823823"/>
                    </a:xfrm>
                    <a:prstGeom prst="rect"/>
                  </pic:spPr>
                </pic:pic>
              </a:graphicData>
            </a:graphic>
          </wp:inline>
        </w:drawing>
      </w:r>
    </w:p>
    <w:p>
      <w:pPr>
        <w:pStyle w:val="Caption"/>
        <w:jc w:val="center"/>
      </w:pPr>
      <w:r>
        <w:t>Figure 7 - Trois coupes géométriques de référence et positions F1, F2 et F3.</w:t>
      </w:r>
    </w:p>
    <w:p>
      <w:pPr>
        <w:jc w:val="center"/>
      </w:pPr>
      <w:r>
        <w:drawing>
          <wp:inline xmlns:a="http://schemas.openxmlformats.org/drawingml/2006/main" xmlns:pic="http://schemas.openxmlformats.org/drawingml/2006/picture">
            <wp:extent cx="5040000" cy="2189556"/>
            <wp:docPr id="8" name="Picture 8"/>
            <wp:cNvGraphicFramePr>
              <a:graphicFrameLocks noChangeAspect="1"/>
            </wp:cNvGraphicFramePr>
            <a:graphic>
              <a:graphicData uri="http://schemas.openxmlformats.org/drawingml/2006/picture">
                <pic:pic>
                  <pic:nvPicPr>
                    <pic:cNvPr id="0" name="ZZ_approxim intrados demi-coupe.png"/>
                    <pic:cNvPicPr/>
                  </pic:nvPicPr>
                  <pic:blipFill>
                    <a:blip r:embed="rId16"/>
                    <a:stretch>
                      <a:fillRect/>
                    </a:stretch>
                  </pic:blipFill>
                  <pic:spPr>
                    <a:xfrm>
                      <a:off x="0" y="0"/>
                      <a:ext cx="5040000" cy="2189556"/>
                    </a:xfrm>
                    <a:prstGeom prst="rect"/>
                  </pic:spPr>
                </pic:pic>
              </a:graphicData>
            </a:graphic>
          </wp:inline>
        </w:drawing>
      </w:r>
    </w:p>
    <w:p>
      <w:pPr>
        <w:pStyle w:val="Caption"/>
        <w:jc w:val="center"/>
      </w:pPr>
      <w:r>
        <w:t>Figure 8 - Approximation de l’intrados par deux segments de droite.</w:t>
      </w:r>
    </w:p>
    <w:p>
      <w:pPr>
        <w:pStyle w:val="Heading1"/>
      </w:pPr>
      <w:r>
        <w:t>5. Choix des paramètres et hypothèses</w:t>
      </w:r>
    </w:p>
    <w:tbl>
      <w:tblPr>
        <w:tblStyle w:val="TableGrid"/>
        <w:tblW w:type="auto" w:w="0"/>
        <w:tblLook w:firstColumn="1" w:firstRow="1" w:lastColumn="0" w:lastRow="0" w:noHBand="0" w:noVBand="1" w:val="04A0"/>
      </w:tblPr>
      <w:tblGrid>
        <w:gridCol w:w="4320"/>
        <w:gridCol w:w="4320"/>
      </w:tblGrid>
      <w:tr>
        <w:tc>
          <w:tcPr>
            <w:tcW w:type="dxa" w:w="4320"/>
          </w:tcPr>
          <w:p>
            <w:r>
              <w:rPr>
                <w:sz w:val="15"/>
              </w:rPr>
              <w:t>Paramètre</w:t>
            </w:r>
          </w:p>
        </w:tc>
        <w:tc>
          <w:tcPr>
            <w:tcW w:type="dxa" w:w="4320"/>
          </w:tcPr>
          <w:p>
            <w:r>
              <w:rPr>
                <w:sz w:val="15"/>
              </w:rPr>
              <w:t>Valeur</w:t>
            </w:r>
          </w:p>
        </w:tc>
      </w:tr>
      <w:tr>
        <w:tc>
          <w:tcPr>
            <w:tcW w:type="dxa" w:w="4320"/>
          </w:tcPr>
          <w:p>
            <w:r>
              <w:rPr>
                <w:sz w:val="15"/>
              </w:rPr>
              <w:t>Ft,Rd câble principal (cf. SAU_AVP_NDC_062_A_JustifOADéfi)</w:t>
            </w:r>
          </w:p>
        </w:tc>
        <w:tc>
          <w:tcPr>
            <w:tcW w:type="dxa" w:w="4320"/>
          </w:tcPr>
          <w:p>
            <w:r>
              <w:rPr>
                <w:sz w:val="15"/>
              </w:rPr>
              <w:t>11 897 kN</w:t>
            </w:r>
          </w:p>
        </w:tc>
      </w:tr>
      <w:tr>
        <w:tc>
          <w:tcPr>
            <w:tcW w:type="dxa" w:w="4320"/>
          </w:tcPr>
          <w:p>
            <w:r>
              <w:rPr>
                <w:sz w:val="15"/>
              </w:rPr>
              <w:t>NQP câble principal</w:t>
            </w:r>
          </w:p>
        </w:tc>
        <w:tc>
          <w:tcPr>
            <w:tcW w:type="dxa" w:w="4320"/>
          </w:tcPr>
          <w:p>
            <w:r>
              <w:rPr>
                <w:sz w:val="15"/>
              </w:rPr>
              <w:t>3 300 kN</w:t>
            </w:r>
          </w:p>
        </w:tc>
      </w:tr>
      <w:tr>
        <w:tc>
          <w:tcPr>
            <w:tcW w:type="dxa" w:w="4320"/>
          </w:tcPr>
          <w:p>
            <w:r>
              <w:rPr>
                <w:sz w:val="15"/>
              </w:rPr>
              <w:t>E câble principal</w:t>
            </w:r>
          </w:p>
        </w:tc>
        <w:tc>
          <w:tcPr>
            <w:tcW w:type="dxa" w:w="4320"/>
          </w:tcPr>
          <w:p>
            <w:r>
              <w:rPr>
                <w:sz w:val="15"/>
              </w:rPr>
              <w:t>160 GPa</w:t>
            </w:r>
          </w:p>
        </w:tc>
      </w:tr>
      <w:tr>
        <w:tc>
          <w:tcPr>
            <w:tcW w:type="dxa" w:w="4320"/>
          </w:tcPr>
          <w:p>
            <w:r>
              <w:rPr>
                <w:sz w:val="15"/>
              </w:rPr>
              <w:t>Ft,Rd suspente secondaire (cf. SAU_AVP_NDC_062_A_JustifOADéfi)</w:t>
            </w:r>
          </w:p>
        </w:tc>
        <w:tc>
          <w:tcPr>
            <w:tcW w:type="dxa" w:w="4320"/>
          </w:tcPr>
          <w:p>
            <w:r>
              <w:rPr>
                <w:sz w:val="15"/>
              </w:rPr>
              <w:t>541 kN</w:t>
            </w:r>
          </w:p>
        </w:tc>
      </w:tr>
      <w:tr>
        <w:tc>
          <w:tcPr>
            <w:tcW w:type="dxa" w:w="4320"/>
          </w:tcPr>
          <w:p>
            <w:r>
              <w:rPr>
                <w:sz w:val="15"/>
              </w:rPr>
              <w:t>NQP suspente secondaire</w:t>
            </w:r>
          </w:p>
        </w:tc>
        <w:tc>
          <w:tcPr>
            <w:tcW w:type="dxa" w:w="4320"/>
          </w:tcPr>
          <w:p>
            <w:r>
              <w:rPr>
                <w:sz w:val="15"/>
              </w:rPr>
              <w:t>115 kN</w:t>
            </w:r>
          </w:p>
        </w:tc>
      </w:tr>
      <w:tr>
        <w:tc>
          <w:tcPr>
            <w:tcW w:type="dxa" w:w="4320"/>
          </w:tcPr>
          <w:p>
            <w:r>
              <w:rPr>
                <w:sz w:val="15"/>
              </w:rPr>
              <w:t>E suspente secondaire</w:t>
            </w:r>
          </w:p>
        </w:tc>
        <w:tc>
          <w:tcPr>
            <w:tcW w:type="dxa" w:w="4320"/>
          </w:tcPr>
          <w:p>
            <w:r>
              <w:rPr>
                <w:sz w:val="15"/>
              </w:rPr>
              <w:t>205 GPa</w:t>
            </w:r>
          </w:p>
        </w:tc>
      </w:tr>
    </w:tbl>
    <w:p>
      <w:pPr>
        <w:pStyle w:val="Heading1"/>
      </w:pPr>
      <w:r>
        <w:t>6. Méthode de calcul</w:t>
      </w:r>
    </w:p>
    <w:p>
      <w:r>
        <w:t>Pour chaque courbe, position et longueur de foyer, Python calcule la température des gaz, le facteur de forme, la chaleur spécifique, les flux et l’incrément de température par pas de 5 s.</w:t>
      </w:r>
    </w:p>
    <w:p>
      <w:pPr>
        <w:pStyle w:val="Heading1"/>
      </w:pPr>
      <w:r>
        <w:t>7. Résultats thermiques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5"/>
              </w:rPr>
              <w:t>Temps (min)</w:t>
            </w:r>
          </w:p>
        </w:tc>
        <w:tc>
          <w:tcPr>
            <w:tcW w:type="dxa" w:w="2880"/>
          </w:tcPr>
          <w:p>
            <w:r>
              <w:rPr>
                <w:sz w:val="15"/>
              </w:rPr>
              <w:t>Suspente (°C)</w:t>
            </w:r>
          </w:p>
        </w:tc>
        <w:tc>
          <w:tcPr>
            <w:tcW w:type="dxa" w:w="2880"/>
          </w:tcPr>
          <w:p>
            <w:r>
              <w:rPr>
                <w:sz w:val="15"/>
              </w:rPr>
              <w:t>Câble principal (°C)</w:t>
            </w:r>
          </w:p>
        </w:tc>
      </w:tr>
      <w:tr>
        <w:tc>
          <w:tcPr>
            <w:tcW w:type="dxa" w:w="2880"/>
          </w:tcPr>
          <w:p>
            <w:r>
              <w:rPr>
                <w:sz w:val="15"/>
              </w:rPr>
              <w:t>15.0</w:t>
            </w:r>
          </w:p>
        </w:tc>
        <w:tc>
          <w:tcPr>
            <w:tcW w:type="dxa" w:w="2880"/>
          </w:tcPr>
          <w:p>
            <w:r>
              <w:rPr>
                <w:sz w:val="15"/>
              </w:rPr>
              <w:t>971.9</w:t>
            </w:r>
          </w:p>
        </w:tc>
        <w:tc>
          <w:tcPr>
            <w:tcW w:type="dxa" w:w="2880"/>
          </w:tcPr>
          <w:p>
            <w:r>
              <w:rPr>
                <w:sz w:val="15"/>
              </w:rPr>
              <w:t>544.1</w:t>
            </w:r>
          </w:p>
        </w:tc>
      </w:tr>
      <w:tr>
        <w:tc>
          <w:tcPr>
            <w:tcW w:type="dxa" w:w="2880"/>
          </w:tcPr>
          <w:p>
            <w:r>
              <w:rPr>
                <w:sz w:val="15"/>
              </w:rPr>
              <w:t>30.0</w:t>
            </w:r>
          </w:p>
        </w:tc>
        <w:tc>
          <w:tcPr>
            <w:tcW w:type="dxa" w:w="2880"/>
          </w:tcPr>
          <w:p>
            <w:r>
              <w:rPr>
                <w:sz w:val="15"/>
              </w:rPr>
              <w:t>1095.8</w:t>
            </w:r>
          </w:p>
        </w:tc>
        <w:tc>
          <w:tcPr>
            <w:tcW w:type="dxa" w:w="2880"/>
          </w:tcPr>
          <w:p>
            <w:r>
              <w:rPr>
                <w:sz w:val="15"/>
              </w:rPr>
              <w:t>833.3</w:t>
            </w:r>
          </w:p>
        </w:tc>
      </w:tr>
      <w:tr>
        <w:tc>
          <w:tcPr>
            <w:tcW w:type="dxa" w:w="2880"/>
          </w:tcPr>
          <w:p>
            <w:r>
              <w:rPr>
                <w:sz w:val="15"/>
              </w:rPr>
              <w:t>60.0</w:t>
            </w:r>
          </w:p>
        </w:tc>
        <w:tc>
          <w:tcPr>
            <w:tcW w:type="dxa" w:w="2880"/>
          </w:tcPr>
          <w:p>
            <w:r>
              <w:rPr>
                <w:sz w:val="15"/>
              </w:rPr>
              <w:t>1100.0</w:t>
            </w:r>
          </w:p>
        </w:tc>
        <w:tc>
          <w:tcPr>
            <w:tcW w:type="dxa" w:w="2880"/>
          </w:tcPr>
          <w:p>
            <w:r>
              <w:rPr>
                <w:sz w:val="15"/>
              </w:rPr>
              <w:t>1089.9</w:t>
            </w:r>
          </w:p>
        </w:tc>
      </w:tr>
      <w:tr>
        <w:tc>
          <w:tcPr>
            <w:tcW w:type="dxa" w:w="2880"/>
          </w:tcPr>
          <w:p>
            <w:r>
              <w:rPr>
                <w:sz w:val="15"/>
              </w:rPr>
              <w:t>90.0</w:t>
            </w:r>
          </w:p>
        </w:tc>
        <w:tc>
          <w:tcPr>
            <w:tcW w:type="dxa" w:w="2880"/>
          </w:tcPr>
          <w:p>
            <w:r>
              <w:rPr>
                <w:sz w:val="15"/>
              </w:rPr>
              <w:t>1100.0</w:t>
            </w:r>
          </w:p>
        </w:tc>
        <w:tc>
          <w:tcPr>
            <w:tcW w:type="dxa" w:w="2880"/>
          </w:tcPr>
          <w:p>
            <w:r>
              <w:rPr>
                <w:sz w:val="15"/>
              </w:rPr>
              <w:t>1099.7</w:t>
            </w:r>
          </w:p>
        </w:tc>
      </w:tr>
      <w:tr>
        <w:tc>
          <w:tcPr>
            <w:tcW w:type="dxa" w:w="2880"/>
          </w:tcPr>
          <w:p>
            <w:r>
              <w:rPr>
                <w:sz w:val="15"/>
              </w:rPr>
              <w:t>120.0</w:t>
            </w:r>
          </w:p>
        </w:tc>
        <w:tc>
          <w:tcPr>
            <w:tcW w:type="dxa" w:w="2880"/>
          </w:tcPr>
          <w:p>
            <w:r>
              <w:rPr>
                <w:sz w:val="15"/>
              </w:rPr>
              <w:t>1100.0</w:t>
            </w:r>
          </w:p>
        </w:tc>
        <w:tc>
          <w:tcPr>
            <w:tcW w:type="dxa" w:w="2880"/>
          </w:tcPr>
          <w:p>
            <w:r>
              <w:rPr>
                <w:sz w:val="15"/>
              </w:rPr>
              <w:t>1100.0</w:t>
            </w:r>
          </w:p>
        </w:tc>
      </w:tr>
    </w:tbl>
    <w:p>
      <w:pPr>
        <w:jc w:val="center"/>
      </w:pPr>
      <w:r>
        <w:drawing>
          <wp:inline xmlns:a="http://schemas.openxmlformats.org/drawingml/2006/main" xmlns:pic="http://schemas.openxmlformats.org/drawingml/2006/picture">
            <wp:extent cx="5580000" cy="3043047"/>
            <wp:docPr id="9" name="Picture 9"/>
            <wp:cNvGraphicFramePr>
              <a:graphicFrameLocks noChangeAspect="1"/>
            </wp:cNvGraphicFramePr>
            <a:graphic>
              <a:graphicData uri="http://schemas.openxmlformats.org/drawingml/2006/picture">
                <pic:pic>
                  <pic:nvPicPr>
                    <pic:cNvPr id="0" name="fig12.png"/>
                    <pic:cNvPicPr/>
                  </pic:nvPicPr>
                  <pic:blipFill>
                    <a:blip r:embed="rId17"/>
                    <a:stretch>
                      <a:fillRect/>
                    </a:stretch>
                  </pic:blipFill>
                  <pic:spPr>
                    <a:xfrm>
                      <a:off x="0" y="0"/>
                      <a:ext cx="5580000" cy="3043047"/>
                    </a:xfrm>
                    <a:prstGeom prst="rect"/>
                  </pic:spPr>
                </pic:pic>
              </a:graphicData>
            </a:graphic>
          </wp:inline>
        </w:drawing>
      </w:r>
    </w:p>
    <w:p>
      <w:pPr>
        <w:pStyle w:val="Caption"/>
        <w:jc w:val="center"/>
      </w:pPr>
      <w:r>
        <w:t>Figure 12 - Température de la suspente secondaire - foyer 20 m.</w:t>
      </w:r>
    </w:p>
    <w:p>
      <w:pPr>
        <w:jc w:val="center"/>
      </w:pPr>
      <w:r>
        <w:drawing>
          <wp:inline xmlns:a="http://schemas.openxmlformats.org/drawingml/2006/main" xmlns:pic="http://schemas.openxmlformats.org/drawingml/2006/picture">
            <wp:extent cx="5580000" cy="3039802"/>
            <wp:docPr id="10" name="Picture 10"/>
            <wp:cNvGraphicFramePr>
              <a:graphicFrameLocks noChangeAspect="1"/>
            </wp:cNvGraphicFramePr>
            <a:graphic>
              <a:graphicData uri="http://schemas.openxmlformats.org/drawingml/2006/picture">
                <pic:pic>
                  <pic:nvPicPr>
                    <pic:cNvPr id="0" name="fig13.png"/>
                    <pic:cNvPicPr/>
                  </pic:nvPicPr>
                  <pic:blipFill>
                    <a:blip r:embed="rId18"/>
                    <a:stretch>
                      <a:fillRect/>
                    </a:stretch>
                  </pic:blipFill>
                  <pic:spPr>
                    <a:xfrm>
                      <a:off x="0" y="0"/>
                      <a:ext cx="5580000" cy="3039802"/>
                    </a:xfrm>
                    <a:prstGeom prst="rect"/>
                  </pic:spPr>
                </pic:pic>
              </a:graphicData>
            </a:graphic>
          </wp:inline>
        </w:drawing>
      </w:r>
    </w:p>
    <w:p>
      <w:pPr>
        <w:pStyle w:val="Caption"/>
        <w:jc w:val="center"/>
      </w:pPr>
      <w:r>
        <w:t>Figure 13 - Température du câble principal clos - foyer 20 m.</w:t>
      </w:r>
    </w:p>
    <w:p>
      <w:pPr>
        <w:pStyle w:val="Heading1"/>
      </w:pPr>
      <w:r>
        <w:t>8. Impact structurel</w:t>
      </w:r>
    </w:p>
    <w:p>
      <w:r>
        <w:t>Les résistances à chaud sont estimées par Ft,Rd,θ = ky,θ × Ft,Rd et les ratios par ηfi = NQP / Ft,Rd,θ. Les valeurs de Ft,Rd proviennent de la note SAU_AVP_NDC_062_A_JustifOADéfi.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3"/>
              </w:rPr>
              <w:t>Feu</w:t>
            </w:r>
          </w:p>
        </w:tc>
        <w:tc>
          <w:tcPr>
            <w:tcW w:type="dxa" w:w="960"/>
          </w:tcPr>
          <w:p>
            <w:r>
              <w:rPr>
                <w:sz w:val="13"/>
              </w:rPr>
              <w:t>t (min)</w:t>
            </w:r>
          </w:p>
        </w:tc>
        <w:tc>
          <w:tcPr>
            <w:tcW w:type="dxa" w:w="960"/>
          </w:tcPr>
          <w:p>
            <w:r>
              <w:rPr>
                <w:sz w:val="13"/>
              </w:rPr>
              <w:t>Organe</w:t>
            </w:r>
          </w:p>
        </w:tc>
        <w:tc>
          <w:tcPr>
            <w:tcW w:type="dxa" w:w="960"/>
          </w:tcPr>
          <w:p>
            <w:r>
              <w:rPr>
                <w:sz w:val="13"/>
              </w:rPr>
              <w:t>θ (°C)</w:t>
            </w:r>
          </w:p>
        </w:tc>
        <w:tc>
          <w:tcPr>
            <w:tcW w:type="dxa" w:w="960"/>
          </w:tcPr>
          <w:p>
            <w:r>
              <w:rPr>
                <w:sz w:val="13"/>
              </w:rPr>
              <w:t>ky,θ</w:t>
            </w:r>
          </w:p>
        </w:tc>
        <w:tc>
          <w:tcPr>
            <w:tcW w:type="dxa" w:w="960"/>
          </w:tcPr>
          <w:p>
            <w:r>
              <w:rPr>
                <w:sz w:val="13"/>
              </w:rPr>
              <w:t>Eθ (GPa)</w:t>
            </w:r>
          </w:p>
        </w:tc>
        <w:tc>
          <w:tcPr>
            <w:tcW w:type="dxa" w:w="960"/>
          </w:tcPr>
          <w:p>
            <w:r>
              <w:rPr>
                <w:sz w:val="13"/>
              </w:rPr>
              <w:t>Ft,Rd,θ (kN)</w:t>
            </w:r>
          </w:p>
        </w:tc>
        <w:tc>
          <w:tcPr>
            <w:tcW w:type="dxa" w:w="960"/>
          </w:tcPr>
          <w:p>
            <w:r>
              <w:rPr>
                <w:sz w:val="13"/>
              </w:rPr>
              <w:t>ηfi</w:t>
            </w:r>
          </w:p>
        </w:tc>
        <w:tc>
          <w:tcPr>
            <w:tcW w:type="dxa" w:w="960"/>
          </w:tcPr>
          <w:p>
            <w:r>
              <w:rPr>
                <w:sz w:val="13"/>
              </w:rPr>
              <w:t>Statut</w:t>
            </w:r>
          </w:p>
        </w:tc>
      </w:tr>
      <w:tr>
        <w:tc>
          <w:tcPr>
            <w:tcW w:type="dxa" w:w="960"/>
          </w:tcPr>
          <w:p>
            <w:r>
              <w:rPr>
                <w:sz w:val="13"/>
              </w:rPr>
              <w:t>ISO 834</w:t>
            </w:r>
          </w:p>
        </w:tc>
        <w:tc>
          <w:tcPr>
            <w:tcW w:type="dxa" w:w="960"/>
          </w:tcPr>
          <w:p>
            <w:r>
              <w:rPr>
                <w:sz w:val="13"/>
              </w:rPr>
              <w:t>15</w:t>
            </w:r>
          </w:p>
        </w:tc>
        <w:tc>
          <w:tcPr>
            <w:tcW w:type="dxa" w:w="960"/>
          </w:tcPr>
          <w:p>
            <w:r>
              <w:rPr>
                <w:sz w:val="13"/>
              </w:rPr>
              <w:t>Suspente secondaire</w:t>
            </w:r>
          </w:p>
        </w:tc>
        <w:tc>
          <w:tcPr>
            <w:tcW w:type="dxa" w:w="960"/>
          </w:tcPr>
          <w:p>
            <w:r>
              <w:rPr>
                <w:sz w:val="13"/>
              </w:rPr>
              <w:t>516.8</w:t>
            </w:r>
          </w:p>
        </w:tc>
        <w:tc>
          <w:tcPr>
            <w:tcW w:type="dxa" w:w="960"/>
          </w:tcPr>
          <w:p>
            <w:r>
              <w:rPr>
                <w:sz w:val="13"/>
              </w:rPr>
              <w:t>0.728</w:t>
            </w:r>
          </w:p>
        </w:tc>
        <w:tc>
          <w:tcPr>
            <w:tcW w:type="dxa" w:w="960"/>
          </w:tcPr>
          <w:p>
            <w:r>
              <w:rPr>
                <w:sz w:val="13"/>
              </w:rPr>
              <w:t>113.0</w:t>
            </w:r>
          </w:p>
        </w:tc>
        <w:tc>
          <w:tcPr>
            <w:tcW w:type="dxa" w:w="960"/>
          </w:tcPr>
          <w:p>
            <w:r>
              <w:rPr>
                <w:sz w:val="13"/>
              </w:rPr>
              <w:t>393.7</w:t>
            </w:r>
          </w:p>
        </w:tc>
        <w:tc>
          <w:tcPr>
            <w:tcW w:type="dxa" w:w="960"/>
          </w:tcPr>
          <w:p>
            <w:r>
              <w:rPr>
                <w:sz w:val="13"/>
              </w:rPr>
              <w:t>0.292</w:t>
            </w:r>
          </w:p>
        </w:tc>
        <w:tc>
          <w:tcPr>
            <w:tcW w:type="dxa" w:w="960"/>
          </w:tcPr>
          <w:p>
            <w:r>
              <w:rPr>
                <w:sz w:val="13"/>
              </w:rPr>
              <w:t>Justifié</w:t>
            </w:r>
          </w:p>
        </w:tc>
      </w:tr>
      <w:tr>
        <w:tc>
          <w:tcPr>
            <w:tcW w:type="dxa" w:w="960"/>
          </w:tcPr>
          <w:p>
            <w:r>
              <w:rPr>
                <w:sz w:val="13"/>
              </w:rPr>
              <w:t>ISO 834</w:t>
            </w:r>
          </w:p>
        </w:tc>
        <w:tc>
          <w:tcPr>
            <w:tcW w:type="dxa" w:w="960"/>
          </w:tcPr>
          <w:p>
            <w:r>
              <w:rPr>
                <w:sz w:val="13"/>
              </w:rPr>
              <w:t>30</w:t>
            </w:r>
          </w:p>
        </w:tc>
        <w:tc>
          <w:tcPr>
            <w:tcW w:type="dxa" w:w="960"/>
          </w:tcPr>
          <w:p>
            <w:r>
              <w:rPr>
                <w:sz w:val="13"/>
              </w:rPr>
              <w:t>Suspente secondaire</w:t>
            </w:r>
          </w:p>
        </w:tc>
        <w:tc>
          <w:tcPr>
            <w:tcW w:type="dxa" w:w="960"/>
          </w:tcPr>
          <w:p>
            <w:r>
              <w:rPr>
                <w:sz w:val="13"/>
              </w:rPr>
              <w:t>742.1</w:t>
            </w:r>
          </w:p>
        </w:tc>
        <w:tc>
          <w:tcPr>
            <w:tcW w:type="dxa" w:w="960"/>
          </w:tcPr>
          <w:p>
            <w:r>
              <w:rPr>
                <w:sz w:val="13"/>
              </w:rPr>
              <w:t>0.179</w:t>
            </w:r>
          </w:p>
        </w:tc>
        <w:tc>
          <w:tcPr>
            <w:tcW w:type="dxa" w:w="960"/>
          </w:tcPr>
          <w:p>
            <w:r>
              <w:rPr>
                <w:sz w:val="13"/>
              </w:rPr>
              <w:t>23.2</w:t>
            </w:r>
          </w:p>
        </w:tc>
        <w:tc>
          <w:tcPr>
            <w:tcW w:type="dxa" w:w="960"/>
          </w:tcPr>
          <w:p>
            <w:r>
              <w:rPr>
                <w:sz w:val="13"/>
              </w:rPr>
              <w:t>97.1</w:t>
            </w:r>
          </w:p>
        </w:tc>
        <w:tc>
          <w:tcPr>
            <w:tcW w:type="dxa" w:w="960"/>
          </w:tcPr>
          <w:p>
            <w:r>
              <w:rPr>
                <w:sz w:val="13"/>
              </w:rPr>
              <w:t>1.184</w:t>
            </w:r>
          </w:p>
        </w:tc>
        <w:tc>
          <w:tcPr>
            <w:tcW w:type="dxa" w:w="960"/>
          </w:tcPr>
          <w:p>
            <w:r>
              <w:rPr>
                <w:sz w:val="13"/>
              </w:rPr>
              <w:t>Non justifié</w:t>
            </w:r>
          </w:p>
        </w:tc>
      </w:tr>
      <w:tr>
        <w:tc>
          <w:tcPr>
            <w:tcW w:type="dxa" w:w="960"/>
          </w:tcPr>
          <w:p>
            <w:r>
              <w:rPr>
                <w:sz w:val="13"/>
              </w:rPr>
              <w:t>ISO 834</w:t>
            </w:r>
          </w:p>
        </w:tc>
        <w:tc>
          <w:tcPr>
            <w:tcW w:type="dxa" w:w="960"/>
          </w:tcPr>
          <w:p>
            <w:r>
              <w:rPr>
                <w:sz w:val="13"/>
              </w:rPr>
              <w:t>60</w:t>
            </w:r>
          </w:p>
        </w:tc>
        <w:tc>
          <w:tcPr>
            <w:tcW w:type="dxa" w:w="960"/>
          </w:tcPr>
          <w:p>
            <w:r>
              <w:rPr>
                <w:sz w:val="13"/>
              </w:rPr>
              <w:t>Suspente secondaire</w:t>
            </w:r>
          </w:p>
        </w:tc>
        <w:tc>
          <w:tcPr>
            <w:tcW w:type="dxa" w:w="960"/>
          </w:tcPr>
          <w:p>
            <w:r>
              <w:rPr>
                <w:sz w:val="13"/>
              </w:rPr>
              <w:t>935.8</w:t>
            </w:r>
          </w:p>
        </w:tc>
        <w:tc>
          <w:tcPr>
            <w:tcW w:type="dxa" w:w="960"/>
          </w:tcPr>
          <w:p>
            <w:r>
              <w:rPr>
                <w:sz w:val="13"/>
              </w:rPr>
              <w:t>0.053</w:t>
            </w:r>
          </w:p>
        </w:tc>
        <w:tc>
          <w:tcPr>
            <w:tcW w:type="dxa" w:w="960"/>
          </w:tcPr>
          <w:p>
            <w:r>
              <w:rPr>
                <w:sz w:val="13"/>
              </w:rPr>
              <w:t>12.2</w:t>
            </w:r>
          </w:p>
        </w:tc>
        <w:tc>
          <w:tcPr>
            <w:tcW w:type="dxa" w:w="960"/>
          </w:tcPr>
          <w:p>
            <w:r>
              <w:rPr>
                <w:sz w:val="13"/>
              </w:rPr>
              <w:t>28.6</w:t>
            </w:r>
          </w:p>
        </w:tc>
        <w:tc>
          <w:tcPr>
            <w:tcW w:type="dxa" w:w="960"/>
          </w:tcPr>
          <w:p>
            <w:r>
              <w:rPr>
                <w:sz w:val="13"/>
              </w:rPr>
              <w:t>4.022</w:t>
            </w:r>
          </w:p>
        </w:tc>
        <w:tc>
          <w:tcPr>
            <w:tcW w:type="dxa" w:w="960"/>
          </w:tcPr>
          <w:p>
            <w:r>
              <w:rPr>
                <w:sz w:val="13"/>
              </w:rPr>
              <w:t>Non justifié</w:t>
            </w:r>
          </w:p>
        </w:tc>
      </w:tr>
      <w:tr>
        <w:tc>
          <w:tcPr>
            <w:tcW w:type="dxa" w:w="960"/>
          </w:tcPr>
          <w:p>
            <w:r>
              <w:rPr>
                <w:sz w:val="13"/>
              </w:rPr>
              <w:t>ISO 834</w:t>
            </w:r>
          </w:p>
        </w:tc>
        <w:tc>
          <w:tcPr>
            <w:tcW w:type="dxa" w:w="960"/>
          </w:tcPr>
          <w:p>
            <w:r>
              <w:rPr>
                <w:sz w:val="13"/>
              </w:rPr>
              <w:t>90</w:t>
            </w:r>
          </w:p>
        </w:tc>
        <w:tc>
          <w:tcPr>
            <w:tcW w:type="dxa" w:w="960"/>
          </w:tcPr>
          <w:p>
            <w:r>
              <w:rPr>
                <w:sz w:val="13"/>
              </w:rPr>
              <w:t>Suspente secondaire</w:t>
            </w:r>
          </w:p>
        </w:tc>
        <w:tc>
          <w:tcPr>
            <w:tcW w:type="dxa" w:w="960"/>
          </w:tcPr>
          <w:p>
            <w:r>
              <w:rPr>
                <w:sz w:val="13"/>
              </w:rPr>
              <w:t>1000.7</w:t>
            </w:r>
          </w:p>
        </w:tc>
        <w:tc>
          <w:tcPr>
            <w:tcW w:type="dxa" w:w="960"/>
          </w:tcPr>
          <w:p>
            <w:r>
              <w:rPr>
                <w:sz w:val="13"/>
              </w:rPr>
              <w:t>0.04</w:t>
            </w:r>
          </w:p>
        </w:tc>
        <w:tc>
          <w:tcPr>
            <w:tcW w:type="dxa" w:w="960"/>
          </w:tcPr>
          <w:p>
            <w:r>
              <w:rPr>
                <w:sz w:val="13"/>
              </w:rPr>
              <w:t>9.2</w:t>
            </w:r>
          </w:p>
        </w:tc>
        <w:tc>
          <w:tcPr>
            <w:tcW w:type="dxa" w:w="960"/>
          </w:tcPr>
          <w:p>
            <w:r>
              <w:rPr>
                <w:sz w:val="13"/>
              </w:rPr>
              <w:t>21.6</w:t>
            </w:r>
          </w:p>
        </w:tc>
        <w:tc>
          <w:tcPr>
            <w:tcW w:type="dxa" w:w="960"/>
          </w:tcPr>
          <w:p>
            <w:r>
              <w:rPr>
                <w:sz w:val="13"/>
              </w:rPr>
              <w:t>5.333</w:t>
            </w:r>
          </w:p>
        </w:tc>
        <w:tc>
          <w:tcPr>
            <w:tcW w:type="dxa" w:w="960"/>
          </w:tcPr>
          <w:p>
            <w:r>
              <w:rPr>
                <w:sz w:val="13"/>
              </w:rPr>
              <w:t>Non justifié</w:t>
            </w:r>
          </w:p>
        </w:tc>
      </w:tr>
      <w:tr>
        <w:tc>
          <w:tcPr>
            <w:tcW w:type="dxa" w:w="960"/>
          </w:tcPr>
          <w:p>
            <w:r>
              <w:rPr>
                <w:sz w:val="13"/>
              </w:rPr>
              <w:t>ISO 834</w:t>
            </w:r>
          </w:p>
        </w:tc>
        <w:tc>
          <w:tcPr>
            <w:tcW w:type="dxa" w:w="960"/>
          </w:tcPr>
          <w:p>
            <w:r>
              <w:rPr>
                <w:sz w:val="13"/>
              </w:rPr>
              <w:t>120</w:t>
            </w:r>
          </w:p>
        </w:tc>
        <w:tc>
          <w:tcPr>
            <w:tcW w:type="dxa" w:w="960"/>
          </w:tcPr>
          <w:p>
            <w:r>
              <w:rPr>
                <w:sz w:val="13"/>
              </w:rPr>
              <w:t>Suspente secondaire</w:t>
            </w:r>
          </w:p>
        </w:tc>
        <w:tc>
          <w:tcPr>
            <w:tcW w:type="dxa" w:w="960"/>
          </w:tcPr>
          <w:p>
            <w:r>
              <w:rPr>
                <w:sz w:val="13"/>
              </w:rPr>
              <w:t>1045.5</w:t>
            </w:r>
          </w:p>
        </w:tc>
        <w:tc>
          <w:tcPr>
            <w:tcW w:type="dxa" w:w="960"/>
          </w:tcPr>
          <w:p>
            <w:r>
              <w:rPr>
                <w:sz w:val="13"/>
              </w:rPr>
              <w:t>0.031</w:t>
            </w:r>
          </w:p>
        </w:tc>
        <w:tc>
          <w:tcPr>
            <w:tcW w:type="dxa" w:w="960"/>
          </w:tcPr>
          <w:p>
            <w:r>
              <w:rPr>
                <w:sz w:val="13"/>
              </w:rPr>
              <w:t>7.1</w:t>
            </w:r>
          </w:p>
        </w:tc>
        <w:tc>
          <w:tcPr>
            <w:tcW w:type="dxa" w:w="960"/>
          </w:tcPr>
          <w:p>
            <w:r>
              <w:rPr>
                <w:sz w:val="13"/>
              </w:rPr>
              <w:t>16.7</w:t>
            </w:r>
          </w:p>
        </w:tc>
        <w:tc>
          <w:tcPr>
            <w:tcW w:type="dxa" w:w="960"/>
          </w:tcPr>
          <w:p>
            <w:r>
              <w:rPr>
                <w:sz w:val="13"/>
              </w:rPr>
              <w:t>6.879</w:t>
            </w:r>
          </w:p>
        </w:tc>
        <w:tc>
          <w:tcPr>
            <w:tcW w:type="dxa" w:w="960"/>
          </w:tcPr>
          <w:p>
            <w:r>
              <w:rPr>
                <w:sz w:val="13"/>
              </w:rPr>
              <w:t>Non justifié</w:t>
            </w:r>
          </w:p>
        </w:tc>
      </w:tr>
      <w:tr>
        <w:tc>
          <w:tcPr>
            <w:tcW w:type="dxa" w:w="960"/>
          </w:tcPr>
          <w:p>
            <w:r>
              <w:rPr>
                <w:sz w:val="13"/>
              </w:rPr>
              <w:t>ISO 834</w:t>
            </w:r>
          </w:p>
        </w:tc>
        <w:tc>
          <w:tcPr>
            <w:tcW w:type="dxa" w:w="960"/>
          </w:tcPr>
          <w:p>
            <w:r>
              <w:rPr>
                <w:sz w:val="13"/>
              </w:rPr>
              <w:t>15</w:t>
            </w:r>
          </w:p>
        </w:tc>
        <w:tc>
          <w:tcPr>
            <w:tcW w:type="dxa" w:w="960"/>
          </w:tcPr>
          <w:p>
            <w:r>
              <w:rPr>
                <w:sz w:val="13"/>
              </w:rPr>
              <w:t>Câble principal clos</w:t>
            </w:r>
          </w:p>
        </w:tc>
        <w:tc>
          <w:tcPr>
            <w:tcW w:type="dxa" w:w="960"/>
          </w:tcPr>
          <w:p>
            <w:r>
              <w:rPr>
                <w:sz w:val="13"/>
              </w:rPr>
              <w:t>231.8</w:t>
            </w:r>
          </w:p>
        </w:tc>
        <w:tc>
          <w:tcPr>
            <w:tcW w:type="dxa" w:w="960"/>
          </w:tcPr>
          <w:p>
            <w:r>
              <w:rPr>
                <w:sz w:val="13"/>
              </w:rPr>
              <w:t>1.0</w:t>
            </w:r>
          </w:p>
        </w:tc>
        <w:tc>
          <w:tcPr>
            <w:tcW w:type="dxa" w:w="960"/>
          </w:tcPr>
          <w:p>
            <w:r>
              <w:rPr>
                <w:sz w:val="13"/>
              </w:rPr>
              <w:t>138.9</w:t>
            </w:r>
          </w:p>
        </w:tc>
        <w:tc>
          <w:tcPr>
            <w:tcW w:type="dxa" w:w="960"/>
          </w:tcPr>
          <w:p>
            <w:r>
              <w:rPr>
                <w:sz w:val="13"/>
              </w:rPr>
              <w:t>11897.0</w:t>
            </w:r>
          </w:p>
        </w:tc>
        <w:tc>
          <w:tcPr>
            <w:tcW w:type="dxa" w:w="960"/>
          </w:tcPr>
          <w:p>
            <w:r>
              <w:rPr>
                <w:sz w:val="13"/>
              </w:rPr>
              <w:t>0.277</w:t>
            </w:r>
          </w:p>
        </w:tc>
        <w:tc>
          <w:tcPr>
            <w:tcW w:type="dxa" w:w="960"/>
          </w:tcPr>
          <w:p>
            <w:r>
              <w:rPr>
                <w:sz w:val="13"/>
              </w:rPr>
              <w:t>Justifié</w:t>
            </w:r>
          </w:p>
        </w:tc>
      </w:tr>
      <w:tr>
        <w:tc>
          <w:tcPr>
            <w:tcW w:type="dxa" w:w="960"/>
          </w:tcPr>
          <w:p>
            <w:r>
              <w:rPr>
                <w:sz w:val="13"/>
              </w:rPr>
              <w:t>ISO 834</w:t>
            </w:r>
          </w:p>
        </w:tc>
        <w:tc>
          <w:tcPr>
            <w:tcW w:type="dxa" w:w="960"/>
          </w:tcPr>
          <w:p>
            <w:r>
              <w:rPr>
                <w:sz w:val="13"/>
              </w:rPr>
              <w:t>30</w:t>
            </w:r>
          </w:p>
        </w:tc>
        <w:tc>
          <w:tcPr>
            <w:tcW w:type="dxa" w:w="960"/>
          </w:tcPr>
          <w:p>
            <w:r>
              <w:rPr>
                <w:sz w:val="13"/>
              </w:rPr>
              <w:t>Câble principal clos</w:t>
            </w:r>
          </w:p>
        </w:tc>
        <w:tc>
          <w:tcPr>
            <w:tcW w:type="dxa" w:w="960"/>
          </w:tcPr>
          <w:p>
            <w:r>
              <w:rPr>
                <w:sz w:val="13"/>
              </w:rPr>
              <w:t>492.9</w:t>
            </w:r>
          </w:p>
        </w:tc>
        <w:tc>
          <w:tcPr>
            <w:tcW w:type="dxa" w:w="960"/>
          </w:tcPr>
          <w:p>
            <w:r>
              <w:rPr>
                <w:sz w:val="13"/>
              </w:rPr>
              <w:t>0.796</w:t>
            </w:r>
          </w:p>
        </w:tc>
        <w:tc>
          <w:tcPr>
            <w:tcW w:type="dxa" w:w="960"/>
          </w:tcPr>
          <w:p>
            <w:r>
              <w:rPr>
                <w:sz w:val="13"/>
              </w:rPr>
              <w:t>97.1</w:t>
            </w:r>
          </w:p>
        </w:tc>
        <w:tc>
          <w:tcPr>
            <w:tcW w:type="dxa" w:w="960"/>
          </w:tcPr>
          <w:p>
            <w:r>
              <w:rPr>
                <w:sz w:val="13"/>
              </w:rPr>
              <w:t>9466.3</w:t>
            </w:r>
          </w:p>
        </w:tc>
        <w:tc>
          <w:tcPr>
            <w:tcW w:type="dxa" w:w="960"/>
          </w:tcPr>
          <w:p>
            <w:r>
              <w:rPr>
                <w:sz w:val="13"/>
              </w:rPr>
              <w:t>0.349</w:t>
            </w:r>
          </w:p>
        </w:tc>
        <w:tc>
          <w:tcPr>
            <w:tcW w:type="dxa" w:w="960"/>
          </w:tcPr>
          <w:p>
            <w:r>
              <w:rPr>
                <w:sz w:val="13"/>
              </w:rPr>
              <w:t>Justifié</w:t>
            </w:r>
          </w:p>
        </w:tc>
      </w:tr>
      <w:tr>
        <w:tc>
          <w:tcPr>
            <w:tcW w:type="dxa" w:w="960"/>
          </w:tcPr>
          <w:p>
            <w:r>
              <w:rPr>
                <w:sz w:val="13"/>
              </w:rPr>
              <w:t>ISO 834</w:t>
            </w:r>
          </w:p>
        </w:tc>
        <w:tc>
          <w:tcPr>
            <w:tcW w:type="dxa" w:w="960"/>
          </w:tcPr>
          <w:p>
            <w:r>
              <w:rPr>
                <w:sz w:val="13"/>
              </w:rPr>
              <w:t>60</w:t>
            </w:r>
          </w:p>
        </w:tc>
        <w:tc>
          <w:tcPr>
            <w:tcW w:type="dxa" w:w="960"/>
          </w:tcPr>
          <w:p>
            <w:r>
              <w:rPr>
                <w:sz w:val="13"/>
              </w:rPr>
              <w:t>Câble principal clos</w:t>
            </w:r>
          </w:p>
        </w:tc>
        <w:tc>
          <w:tcPr>
            <w:tcW w:type="dxa" w:w="960"/>
          </w:tcPr>
          <w:p>
            <w:r>
              <w:rPr>
                <w:sz w:val="13"/>
              </w:rPr>
              <w:t>764.8</w:t>
            </w:r>
          </w:p>
        </w:tc>
        <w:tc>
          <w:tcPr>
            <w:tcW w:type="dxa" w:w="960"/>
          </w:tcPr>
          <w:p>
            <w:r>
              <w:rPr>
                <w:sz w:val="13"/>
              </w:rPr>
              <w:t>0.152</w:t>
            </w:r>
          </w:p>
        </w:tc>
        <w:tc>
          <w:tcPr>
            <w:tcW w:type="dxa" w:w="960"/>
          </w:tcPr>
          <w:p>
            <w:r>
              <w:rPr>
                <w:sz w:val="13"/>
              </w:rPr>
              <w:t>16.7</w:t>
            </w:r>
          </w:p>
        </w:tc>
        <w:tc>
          <w:tcPr>
            <w:tcW w:type="dxa" w:w="960"/>
          </w:tcPr>
          <w:p>
            <w:r>
              <w:rPr>
                <w:sz w:val="13"/>
              </w:rPr>
              <w:t>1811.5</w:t>
            </w:r>
          </w:p>
        </w:tc>
        <w:tc>
          <w:tcPr>
            <w:tcW w:type="dxa" w:w="960"/>
          </w:tcPr>
          <w:p>
            <w:r>
              <w:rPr>
                <w:sz w:val="13"/>
              </w:rPr>
              <w:t>1.822</w:t>
            </w:r>
          </w:p>
        </w:tc>
        <w:tc>
          <w:tcPr>
            <w:tcW w:type="dxa" w:w="960"/>
          </w:tcPr>
          <w:p>
            <w:r>
              <w:rPr>
                <w:sz w:val="13"/>
              </w:rPr>
              <w:t>Non justifié</w:t>
            </w:r>
          </w:p>
        </w:tc>
      </w:tr>
      <w:tr>
        <w:tc>
          <w:tcPr>
            <w:tcW w:type="dxa" w:w="960"/>
          </w:tcPr>
          <w:p>
            <w:r>
              <w:rPr>
                <w:sz w:val="13"/>
              </w:rPr>
              <w:t>ISO 834</w:t>
            </w:r>
          </w:p>
        </w:tc>
        <w:tc>
          <w:tcPr>
            <w:tcW w:type="dxa" w:w="960"/>
          </w:tcPr>
          <w:p>
            <w:r>
              <w:rPr>
                <w:sz w:val="13"/>
              </w:rPr>
              <w:t>90</w:t>
            </w:r>
          </w:p>
        </w:tc>
        <w:tc>
          <w:tcPr>
            <w:tcW w:type="dxa" w:w="960"/>
          </w:tcPr>
          <w:p>
            <w:r>
              <w:rPr>
                <w:sz w:val="13"/>
              </w:rPr>
              <w:t>Câble principal clos</w:t>
            </w:r>
          </w:p>
        </w:tc>
        <w:tc>
          <w:tcPr>
            <w:tcW w:type="dxa" w:w="960"/>
          </w:tcPr>
          <w:p>
            <w:r>
              <w:rPr>
                <w:sz w:val="13"/>
              </w:rPr>
              <w:t>969.3</w:t>
            </w:r>
          </w:p>
        </w:tc>
        <w:tc>
          <w:tcPr>
            <w:tcW w:type="dxa" w:w="960"/>
          </w:tcPr>
          <w:p>
            <w:r>
              <w:rPr>
                <w:sz w:val="13"/>
              </w:rPr>
              <w:t>0.046</w:t>
            </w:r>
          </w:p>
        </w:tc>
        <w:tc>
          <w:tcPr>
            <w:tcW w:type="dxa" w:w="960"/>
          </w:tcPr>
          <w:p>
            <w:r>
              <w:rPr>
                <w:sz w:val="13"/>
              </w:rPr>
              <w:t>8.3</w:t>
            </w:r>
          </w:p>
        </w:tc>
        <w:tc>
          <w:tcPr>
            <w:tcW w:type="dxa" w:w="960"/>
          </w:tcPr>
          <w:p>
            <w:r>
              <w:rPr>
                <w:sz w:val="13"/>
              </w:rPr>
              <w:t>549.0</w:t>
            </w:r>
          </w:p>
        </w:tc>
        <w:tc>
          <w:tcPr>
            <w:tcW w:type="dxa" w:w="960"/>
          </w:tcPr>
          <w:p>
            <w:r>
              <w:rPr>
                <w:sz w:val="13"/>
              </w:rPr>
              <w:t>6.011</w:t>
            </w:r>
          </w:p>
        </w:tc>
        <w:tc>
          <w:tcPr>
            <w:tcW w:type="dxa" w:w="960"/>
          </w:tcPr>
          <w:p>
            <w:r>
              <w:rPr>
                <w:sz w:val="13"/>
              </w:rPr>
              <w:t>Non justifié</w:t>
            </w:r>
          </w:p>
        </w:tc>
      </w:tr>
      <w:tr>
        <w:tc>
          <w:tcPr>
            <w:tcW w:type="dxa" w:w="960"/>
          </w:tcPr>
          <w:p>
            <w:r>
              <w:rPr>
                <w:sz w:val="13"/>
              </w:rPr>
              <w:t>ISO 834</w:t>
            </w:r>
          </w:p>
        </w:tc>
        <w:tc>
          <w:tcPr>
            <w:tcW w:type="dxa" w:w="960"/>
          </w:tcPr>
          <w:p>
            <w:r>
              <w:rPr>
                <w:sz w:val="13"/>
              </w:rPr>
              <w:t>120</w:t>
            </w:r>
          </w:p>
        </w:tc>
        <w:tc>
          <w:tcPr>
            <w:tcW w:type="dxa" w:w="960"/>
          </w:tcPr>
          <w:p>
            <w:r>
              <w:rPr>
                <w:sz w:val="13"/>
              </w:rPr>
              <w:t>Câble principal clos</w:t>
            </w:r>
          </w:p>
        </w:tc>
        <w:tc>
          <w:tcPr>
            <w:tcW w:type="dxa" w:w="960"/>
          </w:tcPr>
          <w:p>
            <w:r>
              <w:rPr>
                <w:sz w:val="13"/>
              </w:rPr>
              <w:t>1034.8</w:t>
            </w:r>
          </w:p>
        </w:tc>
        <w:tc>
          <w:tcPr>
            <w:tcW w:type="dxa" w:w="960"/>
          </w:tcPr>
          <w:p>
            <w:r>
              <w:rPr>
                <w:sz w:val="13"/>
              </w:rPr>
              <w:t>0.033</w:t>
            </w:r>
          </w:p>
        </w:tc>
        <w:tc>
          <w:tcPr>
            <w:tcW w:type="dxa" w:w="960"/>
          </w:tcPr>
          <w:p>
            <w:r>
              <w:rPr>
                <w:sz w:val="13"/>
              </w:rPr>
              <w:t>5.9</w:t>
            </w:r>
          </w:p>
        </w:tc>
        <w:tc>
          <w:tcPr>
            <w:tcW w:type="dxa" w:w="960"/>
          </w:tcPr>
          <w:p>
            <w:r>
              <w:rPr>
                <w:sz w:val="13"/>
              </w:rPr>
              <w:t>393.1</w:t>
            </w:r>
          </w:p>
        </w:tc>
        <w:tc>
          <w:tcPr>
            <w:tcW w:type="dxa" w:w="960"/>
          </w:tcPr>
          <w:p>
            <w:r>
              <w:rPr>
                <w:sz w:val="13"/>
              </w:rPr>
              <w:t>8.395</w:t>
            </w:r>
          </w:p>
        </w:tc>
        <w:tc>
          <w:tcPr>
            <w:tcW w:type="dxa" w:w="960"/>
          </w:tcPr>
          <w:p>
            <w:r>
              <w:rPr>
                <w:sz w:val="13"/>
              </w:rPr>
              <w:t>Non justifié</w:t>
            </w:r>
          </w:p>
        </w:tc>
      </w:tr>
      <w:tr>
        <w:tc>
          <w:tcPr>
            <w:tcW w:type="dxa" w:w="960"/>
          </w:tcPr>
          <w:p>
            <w:r>
              <w:rPr>
                <w:sz w:val="13"/>
              </w:rPr>
              <w:t>Feu extérieur</w:t>
            </w:r>
          </w:p>
        </w:tc>
        <w:tc>
          <w:tcPr>
            <w:tcW w:type="dxa" w:w="960"/>
          </w:tcPr>
          <w:p>
            <w:r>
              <w:rPr>
                <w:sz w:val="13"/>
              </w:rPr>
              <w:t>15</w:t>
            </w:r>
          </w:p>
        </w:tc>
        <w:tc>
          <w:tcPr>
            <w:tcW w:type="dxa" w:w="960"/>
          </w:tcPr>
          <w:p>
            <w:r>
              <w:rPr>
                <w:sz w:val="13"/>
              </w:rPr>
              <w:t>Suspente secondaire</w:t>
            </w:r>
          </w:p>
        </w:tc>
        <w:tc>
          <w:tcPr>
            <w:tcW w:type="dxa" w:w="960"/>
          </w:tcPr>
          <w:p>
            <w:r>
              <w:rPr>
                <w:sz w:val="13"/>
              </w:rPr>
              <w:t>491.7</w:t>
            </w:r>
          </w:p>
        </w:tc>
        <w:tc>
          <w:tcPr>
            <w:tcW w:type="dxa" w:w="960"/>
          </w:tcPr>
          <w:p>
            <w:r>
              <w:rPr>
                <w:sz w:val="13"/>
              </w:rPr>
              <w:t>0.798</w:t>
            </w:r>
          </w:p>
        </w:tc>
        <w:tc>
          <w:tcPr>
            <w:tcW w:type="dxa" w:w="960"/>
          </w:tcPr>
          <w:p>
            <w:r>
              <w:rPr>
                <w:sz w:val="13"/>
              </w:rPr>
              <w:t>124.7</w:t>
            </w:r>
          </w:p>
        </w:tc>
        <w:tc>
          <w:tcPr>
            <w:tcW w:type="dxa" w:w="960"/>
          </w:tcPr>
          <w:p>
            <w:r>
              <w:rPr>
                <w:sz w:val="13"/>
              </w:rPr>
              <w:t>431.8</w:t>
            </w:r>
          </w:p>
        </w:tc>
        <w:tc>
          <w:tcPr>
            <w:tcW w:type="dxa" w:w="960"/>
          </w:tcPr>
          <w:p>
            <w:r>
              <w:rPr>
                <w:sz w:val="13"/>
              </w:rPr>
              <w:t>0.266</w:t>
            </w:r>
          </w:p>
        </w:tc>
        <w:tc>
          <w:tcPr>
            <w:tcW w:type="dxa" w:w="960"/>
          </w:tcPr>
          <w:p>
            <w:r>
              <w:rPr>
                <w:sz w:val="13"/>
              </w:rPr>
              <w:t>Justifié</w:t>
            </w:r>
          </w:p>
        </w:tc>
      </w:tr>
      <w:tr>
        <w:tc>
          <w:tcPr>
            <w:tcW w:type="dxa" w:w="960"/>
          </w:tcPr>
          <w:p>
            <w:r>
              <w:rPr>
                <w:sz w:val="13"/>
              </w:rPr>
              <w:t>Feu extérieur</w:t>
            </w:r>
          </w:p>
        </w:tc>
        <w:tc>
          <w:tcPr>
            <w:tcW w:type="dxa" w:w="960"/>
          </w:tcPr>
          <w:p>
            <w:r>
              <w:rPr>
                <w:sz w:val="13"/>
              </w:rPr>
              <w:t>30</w:t>
            </w:r>
          </w:p>
        </w:tc>
        <w:tc>
          <w:tcPr>
            <w:tcW w:type="dxa" w:w="960"/>
          </w:tcPr>
          <w:p>
            <w:r>
              <w:rPr>
                <w:sz w:val="13"/>
              </w:rPr>
              <w:t>Suspente secondaire</w:t>
            </w:r>
          </w:p>
        </w:tc>
        <w:tc>
          <w:tcPr>
            <w:tcW w:type="dxa" w:w="960"/>
          </w:tcPr>
          <w:p>
            <w:r>
              <w:rPr>
                <w:sz w:val="13"/>
              </w:rPr>
              <w:t>648.4</w:t>
            </w:r>
          </w:p>
        </w:tc>
        <w:tc>
          <w:tcPr>
            <w:tcW w:type="dxa" w:w="960"/>
          </w:tcPr>
          <w:p>
            <w:r>
              <w:rPr>
                <w:sz w:val="13"/>
              </w:rPr>
              <w:t>0.354</w:t>
            </w:r>
          </w:p>
        </w:tc>
        <w:tc>
          <w:tcPr>
            <w:tcW w:type="dxa" w:w="960"/>
          </w:tcPr>
          <w:p>
            <w:r>
              <w:rPr>
                <w:sz w:val="13"/>
              </w:rPr>
              <w:t>45.7</w:t>
            </w:r>
          </w:p>
        </w:tc>
        <w:tc>
          <w:tcPr>
            <w:tcW w:type="dxa" w:w="960"/>
          </w:tcPr>
          <w:p>
            <w:r>
              <w:rPr>
                <w:sz w:val="13"/>
              </w:rPr>
              <w:t>191.4</w:t>
            </w:r>
          </w:p>
        </w:tc>
        <w:tc>
          <w:tcPr>
            <w:tcW w:type="dxa" w:w="960"/>
          </w:tcPr>
          <w:p>
            <w:r>
              <w:rPr>
                <w:sz w:val="13"/>
              </w:rPr>
              <w:t>0.601</w:t>
            </w:r>
          </w:p>
        </w:tc>
        <w:tc>
          <w:tcPr>
            <w:tcW w:type="dxa" w:w="960"/>
          </w:tcPr>
          <w:p>
            <w:r>
              <w:rPr>
                <w:sz w:val="13"/>
              </w:rPr>
              <w:t>Justifié</w:t>
            </w:r>
          </w:p>
        </w:tc>
      </w:tr>
      <w:tr>
        <w:tc>
          <w:tcPr>
            <w:tcW w:type="dxa" w:w="960"/>
          </w:tcPr>
          <w:p>
            <w:r>
              <w:rPr>
                <w:sz w:val="13"/>
              </w:rPr>
              <w:t>Feu extérieur</w:t>
            </w:r>
          </w:p>
        </w:tc>
        <w:tc>
          <w:tcPr>
            <w:tcW w:type="dxa" w:w="960"/>
          </w:tcPr>
          <w:p>
            <w:r>
              <w:rPr>
                <w:sz w:val="13"/>
              </w:rPr>
              <w:t>60</w:t>
            </w:r>
          </w:p>
        </w:tc>
        <w:tc>
          <w:tcPr>
            <w:tcW w:type="dxa" w:w="960"/>
          </w:tcPr>
          <w:p>
            <w:r>
              <w:rPr>
                <w:sz w:val="13"/>
              </w:rPr>
              <w:t>Suspente secondaire</w:t>
            </w:r>
          </w:p>
        </w:tc>
        <w:tc>
          <w:tcPr>
            <w:tcW w:type="dxa" w:w="960"/>
          </w:tcPr>
          <w:p>
            <w:r>
              <w:rPr>
                <w:sz w:val="13"/>
              </w:rPr>
              <w:t>679.0</w:t>
            </w:r>
          </w:p>
        </w:tc>
        <w:tc>
          <w:tcPr>
            <w:tcW w:type="dxa" w:w="960"/>
          </w:tcPr>
          <w:p>
            <w:r>
              <w:rPr>
                <w:sz w:val="13"/>
              </w:rPr>
              <w:t>0.28</w:t>
            </w:r>
          </w:p>
        </w:tc>
        <w:tc>
          <w:tcPr>
            <w:tcW w:type="dxa" w:w="960"/>
          </w:tcPr>
          <w:p>
            <w:r>
              <w:rPr>
                <w:sz w:val="13"/>
              </w:rPr>
              <w:t>34.4</w:t>
            </w:r>
          </w:p>
        </w:tc>
        <w:tc>
          <w:tcPr>
            <w:tcW w:type="dxa" w:w="960"/>
          </w:tcPr>
          <w:p>
            <w:r>
              <w:rPr>
                <w:sz w:val="13"/>
              </w:rPr>
              <w:t>151.7</w:t>
            </w:r>
          </w:p>
        </w:tc>
        <w:tc>
          <w:tcPr>
            <w:tcW w:type="dxa" w:w="960"/>
          </w:tcPr>
          <w:p>
            <w:r>
              <w:rPr>
                <w:sz w:val="13"/>
              </w:rPr>
              <w:t>0.758</w:t>
            </w:r>
          </w:p>
        </w:tc>
        <w:tc>
          <w:tcPr>
            <w:tcW w:type="dxa" w:w="960"/>
          </w:tcPr>
          <w:p>
            <w:r>
              <w:rPr>
                <w:sz w:val="13"/>
              </w:rPr>
              <w:t>Justifié</w:t>
            </w:r>
          </w:p>
        </w:tc>
      </w:tr>
      <w:tr>
        <w:tc>
          <w:tcPr>
            <w:tcW w:type="dxa" w:w="960"/>
          </w:tcPr>
          <w:p>
            <w:r>
              <w:rPr>
                <w:sz w:val="13"/>
              </w:rPr>
              <w:t>Feu extérieur</w:t>
            </w:r>
          </w:p>
        </w:tc>
        <w:tc>
          <w:tcPr>
            <w:tcW w:type="dxa" w:w="960"/>
          </w:tcPr>
          <w:p>
            <w:r>
              <w:rPr>
                <w:sz w:val="13"/>
              </w:rPr>
              <w:t>90</w:t>
            </w:r>
          </w:p>
        </w:tc>
        <w:tc>
          <w:tcPr>
            <w:tcW w:type="dxa" w:w="960"/>
          </w:tcPr>
          <w:p>
            <w:r>
              <w:rPr>
                <w:sz w:val="13"/>
              </w:rPr>
              <w:t>Suspente secondaire</w:t>
            </w:r>
          </w:p>
        </w:tc>
        <w:tc>
          <w:tcPr>
            <w:tcW w:type="dxa" w:w="960"/>
          </w:tcPr>
          <w:p>
            <w:r>
              <w:rPr>
                <w:sz w:val="13"/>
              </w:rPr>
              <w:t>680.0</w:t>
            </w:r>
          </w:p>
        </w:tc>
        <w:tc>
          <w:tcPr>
            <w:tcW w:type="dxa" w:w="960"/>
          </w:tcPr>
          <w:p>
            <w:r>
              <w:rPr>
                <w:sz w:val="13"/>
              </w:rPr>
              <w:t>0.278</w:t>
            </w:r>
          </w:p>
        </w:tc>
        <w:tc>
          <w:tcPr>
            <w:tcW w:type="dxa" w:w="960"/>
          </w:tcPr>
          <w:p>
            <w:r>
              <w:rPr>
                <w:sz w:val="13"/>
              </w:rPr>
              <w:t>34.0</w:t>
            </w:r>
          </w:p>
        </w:tc>
        <w:tc>
          <w:tcPr>
            <w:tcW w:type="dxa" w:w="960"/>
          </w:tcPr>
          <w:p>
            <w:r>
              <w:rPr>
                <w:sz w:val="13"/>
              </w:rPr>
              <w:t>150.4</w:t>
            </w:r>
          </w:p>
        </w:tc>
        <w:tc>
          <w:tcPr>
            <w:tcW w:type="dxa" w:w="960"/>
          </w:tcPr>
          <w:p>
            <w:r>
              <w:rPr>
                <w:sz w:val="13"/>
              </w:rPr>
              <w:t>0.764</w:t>
            </w:r>
          </w:p>
        </w:tc>
        <w:tc>
          <w:tcPr>
            <w:tcW w:type="dxa" w:w="960"/>
          </w:tcPr>
          <w:p>
            <w:r>
              <w:rPr>
                <w:sz w:val="13"/>
              </w:rPr>
              <w:t>Justifié</w:t>
            </w:r>
          </w:p>
        </w:tc>
      </w:tr>
      <w:tr>
        <w:tc>
          <w:tcPr>
            <w:tcW w:type="dxa" w:w="960"/>
          </w:tcPr>
          <w:p>
            <w:r>
              <w:rPr>
                <w:sz w:val="13"/>
              </w:rPr>
              <w:t>Feu extérieur</w:t>
            </w:r>
          </w:p>
        </w:tc>
        <w:tc>
          <w:tcPr>
            <w:tcW w:type="dxa" w:w="960"/>
          </w:tcPr>
          <w:p>
            <w:r>
              <w:rPr>
                <w:sz w:val="13"/>
              </w:rPr>
              <w:t>120</w:t>
            </w:r>
          </w:p>
        </w:tc>
        <w:tc>
          <w:tcPr>
            <w:tcW w:type="dxa" w:w="960"/>
          </w:tcPr>
          <w:p>
            <w:r>
              <w:rPr>
                <w:sz w:val="13"/>
              </w:rPr>
              <w:t>Suspente secondaire</w:t>
            </w:r>
          </w:p>
        </w:tc>
        <w:tc>
          <w:tcPr>
            <w:tcW w:type="dxa" w:w="960"/>
          </w:tcPr>
          <w:p>
            <w:r>
              <w:rPr>
                <w:sz w:val="13"/>
              </w:rPr>
              <w:t>680.0</w:t>
            </w:r>
          </w:p>
        </w:tc>
        <w:tc>
          <w:tcPr>
            <w:tcW w:type="dxa" w:w="960"/>
          </w:tcPr>
          <w:p>
            <w:r>
              <w:rPr>
                <w:sz w:val="13"/>
              </w:rPr>
              <w:t>0.278</w:t>
            </w:r>
          </w:p>
        </w:tc>
        <w:tc>
          <w:tcPr>
            <w:tcW w:type="dxa" w:w="960"/>
          </w:tcPr>
          <w:p>
            <w:r>
              <w:rPr>
                <w:sz w:val="13"/>
              </w:rPr>
              <w:t>34.0</w:t>
            </w:r>
          </w:p>
        </w:tc>
        <w:tc>
          <w:tcPr>
            <w:tcW w:type="dxa" w:w="960"/>
          </w:tcPr>
          <w:p>
            <w:r>
              <w:rPr>
                <w:sz w:val="13"/>
              </w:rPr>
              <w:t>150.4</w:t>
            </w:r>
          </w:p>
        </w:tc>
        <w:tc>
          <w:tcPr>
            <w:tcW w:type="dxa" w:w="960"/>
          </w:tcPr>
          <w:p>
            <w:r>
              <w:rPr>
                <w:sz w:val="13"/>
              </w:rPr>
              <w:t>0.765</w:t>
            </w:r>
          </w:p>
        </w:tc>
        <w:tc>
          <w:tcPr>
            <w:tcW w:type="dxa" w:w="960"/>
          </w:tcPr>
          <w:p>
            <w:r>
              <w:rPr>
                <w:sz w:val="13"/>
              </w:rPr>
              <w:t>Justifié</w:t>
            </w:r>
          </w:p>
        </w:tc>
      </w:tr>
      <w:tr>
        <w:tc>
          <w:tcPr>
            <w:tcW w:type="dxa" w:w="960"/>
          </w:tcPr>
          <w:p>
            <w:r>
              <w:rPr>
                <w:sz w:val="13"/>
              </w:rPr>
              <w:t>Feu extérieur</w:t>
            </w:r>
          </w:p>
        </w:tc>
        <w:tc>
          <w:tcPr>
            <w:tcW w:type="dxa" w:w="960"/>
          </w:tcPr>
          <w:p>
            <w:r>
              <w:rPr>
                <w:sz w:val="13"/>
              </w:rPr>
              <w:t>15</w:t>
            </w:r>
          </w:p>
        </w:tc>
        <w:tc>
          <w:tcPr>
            <w:tcW w:type="dxa" w:w="960"/>
          </w:tcPr>
          <w:p>
            <w:r>
              <w:rPr>
                <w:sz w:val="13"/>
              </w:rPr>
              <w:t>Câble principal clos</w:t>
            </w:r>
          </w:p>
        </w:tc>
        <w:tc>
          <w:tcPr>
            <w:tcW w:type="dxa" w:w="960"/>
          </w:tcPr>
          <w:p>
            <w:r>
              <w:rPr>
                <w:sz w:val="13"/>
              </w:rPr>
              <w:t>221.6</w:t>
            </w:r>
          </w:p>
        </w:tc>
        <w:tc>
          <w:tcPr>
            <w:tcW w:type="dxa" w:w="960"/>
          </w:tcPr>
          <w:p>
            <w:r>
              <w:rPr>
                <w:sz w:val="13"/>
              </w:rPr>
              <w:t>1.0</w:t>
            </w:r>
          </w:p>
        </w:tc>
        <w:tc>
          <w:tcPr>
            <w:tcW w:type="dxa" w:w="960"/>
          </w:tcPr>
          <w:p>
            <w:r>
              <w:rPr>
                <w:sz w:val="13"/>
              </w:rPr>
              <w:t>140.5</w:t>
            </w:r>
          </w:p>
        </w:tc>
        <w:tc>
          <w:tcPr>
            <w:tcW w:type="dxa" w:w="960"/>
          </w:tcPr>
          <w:p>
            <w:r>
              <w:rPr>
                <w:sz w:val="13"/>
              </w:rPr>
              <w:t>11897.0</w:t>
            </w:r>
          </w:p>
        </w:tc>
        <w:tc>
          <w:tcPr>
            <w:tcW w:type="dxa" w:w="960"/>
          </w:tcPr>
          <w:p>
            <w:r>
              <w:rPr>
                <w:sz w:val="13"/>
              </w:rPr>
              <w:t>0.277</w:t>
            </w:r>
          </w:p>
        </w:tc>
        <w:tc>
          <w:tcPr>
            <w:tcW w:type="dxa" w:w="960"/>
          </w:tcPr>
          <w:p>
            <w:r>
              <w:rPr>
                <w:sz w:val="13"/>
              </w:rPr>
              <w:t>Justifié</w:t>
            </w:r>
          </w:p>
        </w:tc>
      </w:tr>
      <w:tr>
        <w:tc>
          <w:tcPr>
            <w:tcW w:type="dxa" w:w="960"/>
          </w:tcPr>
          <w:p>
            <w:r>
              <w:rPr>
                <w:sz w:val="13"/>
              </w:rPr>
              <w:t>Feu extérieur</w:t>
            </w:r>
          </w:p>
        </w:tc>
        <w:tc>
          <w:tcPr>
            <w:tcW w:type="dxa" w:w="960"/>
          </w:tcPr>
          <w:p>
            <w:r>
              <w:rPr>
                <w:sz w:val="13"/>
              </w:rPr>
              <w:t>30</w:t>
            </w:r>
          </w:p>
        </w:tc>
        <w:tc>
          <w:tcPr>
            <w:tcW w:type="dxa" w:w="960"/>
          </w:tcPr>
          <w:p>
            <w:r>
              <w:rPr>
                <w:sz w:val="13"/>
              </w:rPr>
              <w:t>Câble principal clos</w:t>
            </w:r>
          </w:p>
        </w:tc>
        <w:tc>
          <w:tcPr>
            <w:tcW w:type="dxa" w:w="960"/>
          </w:tcPr>
          <w:p>
            <w:r>
              <w:rPr>
                <w:sz w:val="13"/>
              </w:rPr>
              <w:t>402.9</w:t>
            </w:r>
          </w:p>
        </w:tc>
        <w:tc>
          <w:tcPr>
            <w:tcW w:type="dxa" w:w="960"/>
          </w:tcPr>
          <w:p>
            <w:r>
              <w:rPr>
                <w:sz w:val="13"/>
              </w:rPr>
              <w:t>0.994</w:t>
            </w:r>
          </w:p>
        </w:tc>
        <w:tc>
          <w:tcPr>
            <w:tcW w:type="dxa" w:w="960"/>
          </w:tcPr>
          <w:p>
            <w:r>
              <w:rPr>
                <w:sz w:val="13"/>
              </w:rPr>
              <w:t>111.5</w:t>
            </w:r>
          </w:p>
        </w:tc>
        <w:tc>
          <w:tcPr>
            <w:tcW w:type="dxa" w:w="960"/>
          </w:tcPr>
          <w:p>
            <w:r>
              <w:rPr>
                <w:sz w:val="13"/>
              </w:rPr>
              <w:t>11821.1</w:t>
            </w:r>
          </w:p>
        </w:tc>
        <w:tc>
          <w:tcPr>
            <w:tcW w:type="dxa" w:w="960"/>
          </w:tcPr>
          <w:p>
            <w:r>
              <w:rPr>
                <w:sz w:val="13"/>
              </w:rPr>
              <w:t>0.279</w:t>
            </w:r>
          </w:p>
        </w:tc>
        <w:tc>
          <w:tcPr>
            <w:tcW w:type="dxa" w:w="960"/>
          </w:tcPr>
          <w:p>
            <w:r>
              <w:rPr>
                <w:sz w:val="13"/>
              </w:rPr>
              <w:t>Justifié</w:t>
            </w:r>
          </w:p>
        </w:tc>
      </w:tr>
      <w:tr>
        <w:tc>
          <w:tcPr>
            <w:tcW w:type="dxa" w:w="960"/>
          </w:tcPr>
          <w:p>
            <w:r>
              <w:rPr>
                <w:sz w:val="13"/>
              </w:rPr>
              <w:t>Feu extérieur</w:t>
            </w:r>
          </w:p>
        </w:tc>
        <w:tc>
          <w:tcPr>
            <w:tcW w:type="dxa" w:w="960"/>
          </w:tcPr>
          <w:p>
            <w:r>
              <w:rPr>
                <w:sz w:val="13"/>
              </w:rPr>
              <w:t>60</w:t>
            </w:r>
          </w:p>
        </w:tc>
        <w:tc>
          <w:tcPr>
            <w:tcW w:type="dxa" w:w="960"/>
          </w:tcPr>
          <w:p>
            <w:r>
              <w:rPr>
                <w:sz w:val="13"/>
              </w:rPr>
              <w:t>Câble principal clos</w:t>
            </w:r>
          </w:p>
        </w:tc>
        <w:tc>
          <w:tcPr>
            <w:tcW w:type="dxa" w:w="960"/>
          </w:tcPr>
          <w:p>
            <w:r>
              <w:rPr>
                <w:sz w:val="13"/>
              </w:rPr>
              <w:t>584.6</w:t>
            </w:r>
          </w:p>
        </w:tc>
        <w:tc>
          <w:tcPr>
            <w:tcW w:type="dxa" w:w="960"/>
          </w:tcPr>
          <w:p>
            <w:r>
              <w:rPr>
                <w:sz w:val="13"/>
              </w:rPr>
              <w:t>0.518</w:t>
            </w:r>
          </w:p>
        </w:tc>
        <w:tc>
          <w:tcPr>
            <w:tcW w:type="dxa" w:w="960"/>
          </w:tcPr>
          <w:p>
            <w:r>
              <w:rPr>
                <w:sz w:val="13"/>
              </w:rPr>
              <w:t>56.7</w:t>
            </w:r>
          </w:p>
        </w:tc>
        <w:tc>
          <w:tcPr>
            <w:tcW w:type="dxa" w:w="960"/>
          </w:tcPr>
          <w:p>
            <w:r>
              <w:rPr>
                <w:sz w:val="13"/>
              </w:rPr>
              <w:t>6158.7</w:t>
            </w:r>
          </w:p>
        </w:tc>
        <w:tc>
          <w:tcPr>
            <w:tcW w:type="dxa" w:w="960"/>
          </w:tcPr>
          <w:p>
            <w:r>
              <w:rPr>
                <w:sz w:val="13"/>
              </w:rPr>
              <w:t>0.536</w:t>
            </w:r>
          </w:p>
        </w:tc>
        <w:tc>
          <w:tcPr>
            <w:tcW w:type="dxa" w:w="960"/>
          </w:tcPr>
          <w:p>
            <w:r>
              <w:rPr>
                <w:sz w:val="13"/>
              </w:rPr>
              <w:t>Justifié</w:t>
            </w:r>
          </w:p>
        </w:tc>
      </w:tr>
      <w:tr>
        <w:tc>
          <w:tcPr>
            <w:tcW w:type="dxa" w:w="960"/>
          </w:tcPr>
          <w:p>
            <w:r>
              <w:rPr>
                <w:sz w:val="13"/>
              </w:rPr>
              <w:t>Feu extérieur</w:t>
            </w:r>
          </w:p>
        </w:tc>
        <w:tc>
          <w:tcPr>
            <w:tcW w:type="dxa" w:w="960"/>
          </w:tcPr>
          <w:p>
            <w:r>
              <w:rPr>
                <w:sz w:val="13"/>
              </w:rPr>
              <w:t>90</w:t>
            </w:r>
          </w:p>
        </w:tc>
        <w:tc>
          <w:tcPr>
            <w:tcW w:type="dxa" w:w="960"/>
          </w:tcPr>
          <w:p>
            <w:r>
              <w:rPr>
                <w:sz w:val="13"/>
              </w:rPr>
              <w:t>Câble principal clos</w:t>
            </w:r>
          </w:p>
        </w:tc>
        <w:tc>
          <w:tcPr>
            <w:tcW w:type="dxa" w:w="960"/>
          </w:tcPr>
          <w:p>
            <w:r>
              <w:rPr>
                <w:sz w:val="13"/>
              </w:rPr>
              <w:t>647.1</w:t>
            </w:r>
          </w:p>
        </w:tc>
        <w:tc>
          <w:tcPr>
            <w:tcW w:type="dxa" w:w="960"/>
          </w:tcPr>
          <w:p>
            <w:r>
              <w:rPr>
                <w:sz w:val="13"/>
              </w:rPr>
              <w:t>0.357</w:t>
            </w:r>
          </w:p>
        </w:tc>
        <w:tc>
          <w:tcPr>
            <w:tcW w:type="dxa" w:w="960"/>
          </w:tcPr>
          <w:p>
            <w:r>
              <w:rPr>
                <w:sz w:val="13"/>
              </w:rPr>
              <w:t>36.0</w:t>
            </w:r>
          </w:p>
        </w:tc>
        <w:tc>
          <w:tcPr>
            <w:tcW w:type="dxa" w:w="960"/>
          </w:tcPr>
          <w:p>
            <w:r>
              <w:rPr>
                <w:sz w:val="13"/>
              </w:rPr>
              <w:t>4247.2</w:t>
            </w:r>
          </w:p>
        </w:tc>
        <w:tc>
          <w:tcPr>
            <w:tcW w:type="dxa" w:w="960"/>
          </w:tcPr>
          <w:p>
            <w:r>
              <w:rPr>
                <w:sz w:val="13"/>
              </w:rPr>
              <w:t>0.777</w:t>
            </w:r>
          </w:p>
        </w:tc>
        <w:tc>
          <w:tcPr>
            <w:tcW w:type="dxa" w:w="960"/>
          </w:tcPr>
          <w:p>
            <w:r>
              <w:rPr>
                <w:sz w:val="13"/>
              </w:rPr>
              <w:t>Justifié</w:t>
            </w:r>
          </w:p>
        </w:tc>
      </w:tr>
      <w:tr>
        <w:tc>
          <w:tcPr>
            <w:tcW w:type="dxa" w:w="960"/>
          </w:tcPr>
          <w:p>
            <w:r>
              <w:rPr>
                <w:sz w:val="13"/>
              </w:rPr>
              <w:t>Feu extérieur</w:t>
            </w:r>
          </w:p>
        </w:tc>
        <w:tc>
          <w:tcPr>
            <w:tcW w:type="dxa" w:w="960"/>
          </w:tcPr>
          <w:p>
            <w:r>
              <w:rPr>
                <w:sz w:val="13"/>
              </w:rPr>
              <w:t>120</w:t>
            </w:r>
          </w:p>
        </w:tc>
        <w:tc>
          <w:tcPr>
            <w:tcW w:type="dxa" w:w="960"/>
          </w:tcPr>
          <w:p>
            <w:r>
              <w:rPr>
                <w:sz w:val="13"/>
              </w:rPr>
              <w:t>Câble principal clos</w:t>
            </w:r>
          </w:p>
        </w:tc>
        <w:tc>
          <w:tcPr>
            <w:tcW w:type="dxa" w:w="960"/>
          </w:tcPr>
          <w:p>
            <w:r>
              <w:rPr>
                <w:sz w:val="13"/>
              </w:rPr>
              <w:t>668.4</w:t>
            </w:r>
          </w:p>
        </w:tc>
        <w:tc>
          <w:tcPr>
            <w:tcW w:type="dxa" w:w="960"/>
          </w:tcPr>
          <w:p>
            <w:r>
              <w:rPr>
                <w:sz w:val="13"/>
              </w:rPr>
              <w:t>0.306</w:t>
            </w:r>
          </w:p>
        </w:tc>
        <w:tc>
          <w:tcPr>
            <w:tcW w:type="dxa" w:w="960"/>
          </w:tcPr>
          <w:p>
            <w:r>
              <w:rPr>
                <w:sz w:val="13"/>
              </w:rPr>
              <w:t>29.9</w:t>
            </w:r>
          </w:p>
        </w:tc>
        <w:tc>
          <w:tcPr>
            <w:tcW w:type="dxa" w:w="960"/>
          </w:tcPr>
          <w:p>
            <w:r>
              <w:rPr>
                <w:sz w:val="13"/>
              </w:rPr>
              <w:t>3638.0</w:t>
            </w:r>
          </w:p>
        </w:tc>
        <w:tc>
          <w:tcPr>
            <w:tcW w:type="dxa" w:w="960"/>
          </w:tcPr>
          <w:p>
            <w:r>
              <w:rPr>
                <w:sz w:val="13"/>
              </w:rPr>
              <w:t>0.907</w:t>
            </w:r>
          </w:p>
        </w:tc>
        <w:tc>
          <w:tcPr>
            <w:tcW w:type="dxa" w:w="960"/>
          </w:tcPr>
          <w:p>
            <w:r>
              <w:rPr>
                <w:sz w:val="13"/>
              </w:rPr>
              <w:t>Justifié</w:t>
            </w:r>
          </w:p>
        </w:tc>
      </w:tr>
      <w:tr>
        <w:tc>
          <w:tcPr>
            <w:tcW w:type="dxa" w:w="960"/>
          </w:tcPr>
          <w:p>
            <w:r>
              <w:rPr>
                <w:sz w:val="13"/>
              </w:rPr>
              <w:t>HC</w:t>
            </w:r>
          </w:p>
        </w:tc>
        <w:tc>
          <w:tcPr>
            <w:tcW w:type="dxa" w:w="960"/>
          </w:tcPr>
          <w:p>
            <w:r>
              <w:rPr>
                <w:sz w:val="13"/>
              </w:rPr>
              <w:t>15</w:t>
            </w:r>
          </w:p>
        </w:tc>
        <w:tc>
          <w:tcPr>
            <w:tcW w:type="dxa" w:w="960"/>
          </w:tcPr>
          <w:p>
            <w:r>
              <w:rPr>
                <w:sz w:val="13"/>
              </w:rPr>
              <w:t>Suspente secondaire</w:t>
            </w:r>
          </w:p>
        </w:tc>
        <w:tc>
          <w:tcPr>
            <w:tcW w:type="dxa" w:w="960"/>
          </w:tcPr>
          <w:p>
            <w:r>
              <w:rPr>
                <w:sz w:val="13"/>
              </w:rPr>
              <w:t>971.9</w:t>
            </w:r>
          </w:p>
        </w:tc>
        <w:tc>
          <w:tcPr>
            <w:tcW w:type="dxa" w:w="960"/>
          </w:tcPr>
          <w:p>
            <w:r>
              <w:rPr>
                <w:sz w:val="13"/>
              </w:rPr>
              <w:t>0.046</w:t>
            </w:r>
          </w:p>
        </w:tc>
        <w:tc>
          <w:tcPr>
            <w:tcW w:type="dxa" w:w="960"/>
          </w:tcPr>
          <w:p>
            <w:r>
              <w:rPr>
                <w:sz w:val="13"/>
              </w:rPr>
              <w:t>10.5</w:t>
            </w:r>
          </w:p>
        </w:tc>
        <w:tc>
          <w:tcPr>
            <w:tcW w:type="dxa" w:w="960"/>
          </w:tcPr>
          <w:p>
            <w:r>
              <w:rPr>
                <w:sz w:val="13"/>
              </w:rPr>
              <w:t>24.7</w:t>
            </w:r>
          </w:p>
        </w:tc>
        <w:tc>
          <w:tcPr>
            <w:tcW w:type="dxa" w:w="960"/>
          </w:tcPr>
          <w:p>
            <w:r>
              <w:rPr>
                <w:sz w:val="13"/>
              </w:rPr>
              <w:t>4.66</w:t>
            </w:r>
          </w:p>
        </w:tc>
        <w:tc>
          <w:tcPr>
            <w:tcW w:type="dxa" w:w="960"/>
          </w:tcPr>
          <w:p>
            <w:r>
              <w:rPr>
                <w:sz w:val="13"/>
              </w:rPr>
              <w:t>Non justifié</w:t>
            </w:r>
          </w:p>
        </w:tc>
      </w:tr>
      <w:tr>
        <w:tc>
          <w:tcPr>
            <w:tcW w:type="dxa" w:w="960"/>
          </w:tcPr>
          <w:p>
            <w:r>
              <w:rPr>
                <w:sz w:val="13"/>
              </w:rPr>
              <w:t>HC</w:t>
            </w:r>
          </w:p>
        </w:tc>
        <w:tc>
          <w:tcPr>
            <w:tcW w:type="dxa" w:w="960"/>
          </w:tcPr>
          <w:p>
            <w:r>
              <w:rPr>
                <w:sz w:val="13"/>
              </w:rPr>
              <w:t>30</w:t>
            </w:r>
          </w:p>
        </w:tc>
        <w:tc>
          <w:tcPr>
            <w:tcW w:type="dxa" w:w="960"/>
          </w:tcPr>
          <w:p>
            <w:r>
              <w:rPr>
                <w:sz w:val="13"/>
              </w:rPr>
              <w:t>Suspente secondaire</w:t>
            </w:r>
          </w:p>
        </w:tc>
        <w:tc>
          <w:tcPr>
            <w:tcW w:type="dxa" w:w="960"/>
          </w:tcPr>
          <w:p>
            <w:r>
              <w:rPr>
                <w:sz w:val="13"/>
              </w:rPr>
              <w:t>1095.8</w:t>
            </w:r>
          </w:p>
        </w:tc>
        <w:tc>
          <w:tcPr>
            <w:tcW w:type="dxa" w:w="960"/>
          </w:tcPr>
          <w:p>
            <w:r>
              <w:rPr>
                <w:sz w:val="13"/>
              </w:rPr>
              <w:t>0.021</w:t>
            </w:r>
          </w:p>
        </w:tc>
        <w:tc>
          <w:tcPr>
            <w:tcW w:type="dxa" w:w="960"/>
          </w:tcPr>
          <w:p>
            <w:r>
              <w:rPr>
                <w:sz w:val="13"/>
              </w:rPr>
              <w:t>4.8</w:t>
            </w:r>
          </w:p>
        </w:tc>
        <w:tc>
          <w:tcPr>
            <w:tcW w:type="dxa" w:w="960"/>
          </w:tcPr>
          <w:p>
            <w:r>
              <w:rPr>
                <w:sz w:val="13"/>
              </w:rPr>
              <w:t>11.3</w:t>
            </w:r>
          </w:p>
        </w:tc>
        <w:tc>
          <w:tcPr>
            <w:tcW w:type="dxa" w:w="960"/>
          </w:tcPr>
          <w:p>
            <w:r>
              <w:rPr>
                <w:sz w:val="13"/>
              </w:rPr>
              <w:t>10.196</w:t>
            </w:r>
          </w:p>
        </w:tc>
        <w:tc>
          <w:tcPr>
            <w:tcW w:type="dxa" w:w="960"/>
          </w:tcPr>
          <w:p>
            <w:r>
              <w:rPr>
                <w:sz w:val="13"/>
              </w:rPr>
              <w:t>Non justifié</w:t>
            </w:r>
          </w:p>
        </w:tc>
      </w:tr>
      <w:tr>
        <w:tc>
          <w:tcPr>
            <w:tcW w:type="dxa" w:w="960"/>
          </w:tcPr>
          <w:p>
            <w:r>
              <w:rPr>
                <w:sz w:val="13"/>
              </w:rPr>
              <w:t>HC</w:t>
            </w:r>
          </w:p>
        </w:tc>
        <w:tc>
          <w:tcPr>
            <w:tcW w:type="dxa" w:w="960"/>
          </w:tcPr>
          <w:p>
            <w:r>
              <w:rPr>
                <w:sz w:val="13"/>
              </w:rPr>
              <w:t>60</w:t>
            </w:r>
          </w:p>
        </w:tc>
        <w:tc>
          <w:tcPr>
            <w:tcW w:type="dxa" w:w="960"/>
          </w:tcPr>
          <w:p>
            <w:r>
              <w:rPr>
                <w:sz w:val="13"/>
              </w:rPr>
              <w:t>Suspente secondaire</w:t>
            </w:r>
          </w:p>
        </w:tc>
        <w:tc>
          <w:tcPr>
            <w:tcW w:type="dxa" w:w="960"/>
          </w:tcPr>
          <w:p>
            <w:r>
              <w:rPr>
                <w:sz w:val="13"/>
              </w:rPr>
              <w:t>1100.0</w:t>
            </w:r>
          </w:p>
        </w:tc>
        <w:tc>
          <w:tcPr>
            <w:tcW w:type="dxa" w:w="960"/>
          </w:tcPr>
          <w:p>
            <w:r>
              <w:rPr>
                <w:sz w:val="13"/>
              </w:rPr>
              <w:t>0.02</w:t>
            </w:r>
          </w:p>
        </w:tc>
        <w:tc>
          <w:tcPr>
            <w:tcW w:type="dxa" w:w="960"/>
          </w:tcPr>
          <w:p>
            <w:r>
              <w:rPr>
                <w:sz w:val="13"/>
              </w:rPr>
              <w:t>4.6</w:t>
            </w:r>
          </w:p>
        </w:tc>
        <w:tc>
          <w:tcPr>
            <w:tcW w:type="dxa" w:w="960"/>
          </w:tcPr>
          <w:p>
            <w:r>
              <w:rPr>
                <w:sz w:val="13"/>
              </w:rPr>
              <w:t>10.8</w:t>
            </w:r>
          </w:p>
        </w:tc>
        <w:tc>
          <w:tcPr>
            <w:tcW w:type="dxa" w:w="960"/>
          </w:tcPr>
          <w:p>
            <w:r>
              <w:rPr>
                <w:sz w:val="13"/>
              </w:rPr>
              <w:t>10.626</w:t>
            </w:r>
          </w:p>
        </w:tc>
        <w:tc>
          <w:tcPr>
            <w:tcW w:type="dxa" w:w="960"/>
          </w:tcPr>
          <w:p>
            <w:r>
              <w:rPr>
                <w:sz w:val="13"/>
              </w:rPr>
              <w:t>Non justifié</w:t>
            </w:r>
          </w:p>
        </w:tc>
      </w:tr>
      <w:tr>
        <w:tc>
          <w:tcPr>
            <w:tcW w:type="dxa" w:w="960"/>
          </w:tcPr>
          <w:p>
            <w:r>
              <w:rPr>
                <w:sz w:val="13"/>
              </w:rPr>
              <w:t>HC</w:t>
            </w:r>
          </w:p>
        </w:tc>
        <w:tc>
          <w:tcPr>
            <w:tcW w:type="dxa" w:w="960"/>
          </w:tcPr>
          <w:p>
            <w:r>
              <w:rPr>
                <w:sz w:val="13"/>
              </w:rPr>
              <w:t>90</w:t>
            </w:r>
          </w:p>
        </w:tc>
        <w:tc>
          <w:tcPr>
            <w:tcW w:type="dxa" w:w="960"/>
          </w:tcPr>
          <w:p>
            <w:r>
              <w:rPr>
                <w:sz w:val="13"/>
              </w:rPr>
              <w:t>Suspente secondaire</w:t>
            </w:r>
          </w:p>
        </w:tc>
        <w:tc>
          <w:tcPr>
            <w:tcW w:type="dxa" w:w="960"/>
          </w:tcPr>
          <w:p>
            <w:r>
              <w:rPr>
                <w:sz w:val="13"/>
              </w:rPr>
              <w:t>1100.0</w:t>
            </w:r>
          </w:p>
        </w:tc>
        <w:tc>
          <w:tcPr>
            <w:tcW w:type="dxa" w:w="960"/>
          </w:tcPr>
          <w:p>
            <w:r>
              <w:rPr>
                <w:sz w:val="13"/>
              </w:rPr>
              <w:t>0.02</w:t>
            </w:r>
          </w:p>
        </w:tc>
        <w:tc>
          <w:tcPr>
            <w:tcW w:type="dxa" w:w="960"/>
          </w:tcPr>
          <w:p>
            <w:r>
              <w:rPr>
                <w:sz w:val="13"/>
              </w:rPr>
              <w:t>4.6</w:t>
            </w:r>
          </w:p>
        </w:tc>
        <w:tc>
          <w:tcPr>
            <w:tcW w:type="dxa" w:w="960"/>
          </w:tcPr>
          <w:p>
            <w:r>
              <w:rPr>
                <w:sz w:val="13"/>
              </w:rPr>
              <w:t>10.8</w:t>
            </w:r>
          </w:p>
        </w:tc>
        <w:tc>
          <w:tcPr>
            <w:tcW w:type="dxa" w:w="960"/>
          </w:tcPr>
          <w:p>
            <w:r>
              <w:rPr>
                <w:sz w:val="13"/>
              </w:rPr>
              <w:t>10.628</w:t>
            </w:r>
          </w:p>
        </w:tc>
        <w:tc>
          <w:tcPr>
            <w:tcW w:type="dxa" w:w="960"/>
          </w:tcPr>
          <w:p>
            <w:r>
              <w:rPr>
                <w:sz w:val="13"/>
              </w:rPr>
              <w:t>Non justifié</w:t>
            </w:r>
          </w:p>
        </w:tc>
      </w:tr>
      <w:tr>
        <w:tc>
          <w:tcPr>
            <w:tcW w:type="dxa" w:w="960"/>
          </w:tcPr>
          <w:p>
            <w:r>
              <w:rPr>
                <w:sz w:val="13"/>
              </w:rPr>
              <w:t>HC</w:t>
            </w:r>
          </w:p>
        </w:tc>
        <w:tc>
          <w:tcPr>
            <w:tcW w:type="dxa" w:w="960"/>
          </w:tcPr>
          <w:p>
            <w:r>
              <w:rPr>
                <w:sz w:val="13"/>
              </w:rPr>
              <w:t>120</w:t>
            </w:r>
          </w:p>
        </w:tc>
        <w:tc>
          <w:tcPr>
            <w:tcW w:type="dxa" w:w="960"/>
          </w:tcPr>
          <w:p>
            <w:r>
              <w:rPr>
                <w:sz w:val="13"/>
              </w:rPr>
              <w:t>Suspente secondaire</w:t>
            </w:r>
          </w:p>
        </w:tc>
        <w:tc>
          <w:tcPr>
            <w:tcW w:type="dxa" w:w="960"/>
          </w:tcPr>
          <w:p>
            <w:r>
              <w:rPr>
                <w:sz w:val="13"/>
              </w:rPr>
              <w:t>1100.0</w:t>
            </w:r>
          </w:p>
        </w:tc>
        <w:tc>
          <w:tcPr>
            <w:tcW w:type="dxa" w:w="960"/>
          </w:tcPr>
          <w:p>
            <w:r>
              <w:rPr>
                <w:sz w:val="13"/>
              </w:rPr>
              <w:t>0.02</w:t>
            </w:r>
          </w:p>
        </w:tc>
        <w:tc>
          <w:tcPr>
            <w:tcW w:type="dxa" w:w="960"/>
          </w:tcPr>
          <w:p>
            <w:r>
              <w:rPr>
                <w:sz w:val="13"/>
              </w:rPr>
              <w:t>4.6</w:t>
            </w:r>
          </w:p>
        </w:tc>
        <w:tc>
          <w:tcPr>
            <w:tcW w:type="dxa" w:w="960"/>
          </w:tcPr>
          <w:p>
            <w:r>
              <w:rPr>
                <w:sz w:val="13"/>
              </w:rPr>
              <w:t>10.8</w:t>
            </w:r>
          </w:p>
        </w:tc>
        <w:tc>
          <w:tcPr>
            <w:tcW w:type="dxa" w:w="960"/>
          </w:tcPr>
          <w:p>
            <w:r>
              <w:rPr>
                <w:sz w:val="13"/>
              </w:rPr>
              <w:t>10.628</w:t>
            </w:r>
          </w:p>
        </w:tc>
        <w:tc>
          <w:tcPr>
            <w:tcW w:type="dxa" w:w="960"/>
          </w:tcPr>
          <w:p>
            <w:r>
              <w:rPr>
                <w:sz w:val="13"/>
              </w:rPr>
              <w:t>Non justifié</w:t>
            </w:r>
          </w:p>
        </w:tc>
      </w:tr>
      <w:tr>
        <w:tc>
          <w:tcPr>
            <w:tcW w:type="dxa" w:w="960"/>
          </w:tcPr>
          <w:p>
            <w:r>
              <w:rPr>
                <w:sz w:val="13"/>
              </w:rPr>
              <w:t>HC</w:t>
            </w:r>
          </w:p>
        </w:tc>
        <w:tc>
          <w:tcPr>
            <w:tcW w:type="dxa" w:w="960"/>
          </w:tcPr>
          <w:p>
            <w:r>
              <w:rPr>
                <w:sz w:val="13"/>
              </w:rPr>
              <w:t>15</w:t>
            </w:r>
          </w:p>
        </w:tc>
        <w:tc>
          <w:tcPr>
            <w:tcW w:type="dxa" w:w="960"/>
          </w:tcPr>
          <w:p>
            <w:r>
              <w:rPr>
                <w:sz w:val="13"/>
              </w:rPr>
              <w:t>Câble principal clos</w:t>
            </w:r>
          </w:p>
        </w:tc>
        <w:tc>
          <w:tcPr>
            <w:tcW w:type="dxa" w:w="960"/>
          </w:tcPr>
          <w:p>
            <w:r>
              <w:rPr>
                <w:sz w:val="13"/>
              </w:rPr>
              <w:t>544.1</w:t>
            </w:r>
          </w:p>
        </w:tc>
        <w:tc>
          <w:tcPr>
            <w:tcW w:type="dxa" w:w="960"/>
          </w:tcPr>
          <w:p>
            <w:r>
              <w:rPr>
                <w:sz w:val="13"/>
              </w:rPr>
              <w:t>0.643</w:t>
            </w:r>
          </w:p>
        </w:tc>
        <w:tc>
          <w:tcPr>
            <w:tcW w:type="dxa" w:w="960"/>
          </w:tcPr>
          <w:p>
            <w:r>
              <w:rPr>
                <w:sz w:val="13"/>
              </w:rPr>
              <w:t>75.5</w:t>
            </w:r>
          </w:p>
        </w:tc>
        <w:tc>
          <w:tcPr>
            <w:tcW w:type="dxa" w:w="960"/>
          </w:tcPr>
          <w:p>
            <w:r>
              <w:rPr>
                <w:sz w:val="13"/>
              </w:rPr>
              <w:t>7652.6</w:t>
            </w:r>
          </w:p>
        </w:tc>
        <w:tc>
          <w:tcPr>
            <w:tcW w:type="dxa" w:w="960"/>
          </w:tcPr>
          <w:p>
            <w:r>
              <w:rPr>
                <w:sz w:val="13"/>
              </w:rPr>
              <w:t>0.431</w:t>
            </w:r>
          </w:p>
        </w:tc>
        <w:tc>
          <w:tcPr>
            <w:tcW w:type="dxa" w:w="960"/>
          </w:tcPr>
          <w:p>
            <w:r>
              <w:rPr>
                <w:sz w:val="13"/>
              </w:rPr>
              <w:t>Justifié</w:t>
            </w:r>
          </w:p>
        </w:tc>
      </w:tr>
      <w:tr>
        <w:tc>
          <w:tcPr>
            <w:tcW w:type="dxa" w:w="960"/>
          </w:tcPr>
          <w:p>
            <w:r>
              <w:rPr>
                <w:sz w:val="13"/>
              </w:rPr>
              <w:t>HC</w:t>
            </w:r>
          </w:p>
        </w:tc>
        <w:tc>
          <w:tcPr>
            <w:tcW w:type="dxa" w:w="960"/>
          </w:tcPr>
          <w:p>
            <w:r>
              <w:rPr>
                <w:sz w:val="13"/>
              </w:rPr>
              <w:t>30</w:t>
            </w:r>
          </w:p>
        </w:tc>
        <w:tc>
          <w:tcPr>
            <w:tcW w:type="dxa" w:w="960"/>
          </w:tcPr>
          <w:p>
            <w:r>
              <w:rPr>
                <w:sz w:val="13"/>
              </w:rPr>
              <w:t>Câble principal clos</w:t>
            </w:r>
          </w:p>
        </w:tc>
        <w:tc>
          <w:tcPr>
            <w:tcW w:type="dxa" w:w="960"/>
          </w:tcPr>
          <w:p>
            <w:r>
              <w:rPr>
                <w:sz w:val="13"/>
              </w:rPr>
              <w:t>833.3</w:t>
            </w:r>
          </w:p>
        </w:tc>
        <w:tc>
          <w:tcPr>
            <w:tcW w:type="dxa" w:w="960"/>
          </w:tcPr>
          <w:p>
            <w:r>
              <w:rPr>
                <w:sz w:val="13"/>
              </w:rPr>
              <w:t>0.093</w:t>
            </w:r>
          </w:p>
        </w:tc>
        <w:tc>
          <w:tcPr>
            <w:tcW w:type="dxa" w:w="960"/>
          </w:tcPr>
          <w:p>
            <w:r>
              <w:rPr>
                <w:sz w:val="13"/>
              </w:rPr>
              <w:t>13.2</w:t>
            </w:r>
          </w:p>
        </w:tc>
        <w:tc>
          <w:tcPr>
            <w:tcW w:type="dxa" w:w="960"/>
          </w:tcPr>
          <w:p>
            <w:r>
              <w:rPr>
                <w:sz w:val="13"/>
              </w:rPr>
              <w:t>1110.4</w:t>
            </w:r>
          </w:p>
        </w:tc>
        <w:tc>
          <w:tcPr>
            <w:tcW w:type="dxa" w:w="960"/>
          </w:tcPr>
          <w:p>
            <w:r>
              <w:rPr>
                <w:sz w:val="13"/>
              </w:rPr>
              <w:t>2.972</w:t>
            </w:r>
          </w:p>
        </w:tc>
        <w:tc>
          <w:tcPr>
            <w:tcW w:type="dxa" w:w="960"/>
          </w:tcPr>
          <w:p>
            <w:r>
              <w:rPr>
                <w:sz w:val="13"/>
              </w:rPr>
              <w:t>Non justifié</w:t>
            </w:r>
          </w:p>
        </w:tc>
      </w:tr>
      <w:tr>
        <w:tc>
          <w:tcPr>
            <w:tcW w:type="dxa" w:w="960"/>
          </w:tcPr>
          <w:p>
            <w:r>
              <w:rPr>
                <w:sz w:val="13"/>
              </w:rPr>
              <w:t>HC</w:t>
            </w:r>
          </w:p>
        </w:tc>
        <w:tc>
          <w:tcPr>
            <w:tcW w:type="dxa" w:w="960"/>
          </w:tcPr>
          <w:p>
            <w:r>
              <w:rPr>
                <w:sz w:val="13"/>
              </w:rPr>
              <w:t>60</w:t>
            </w:r>
          </w:p>
        </w:tc>
        <w:tc>
          <w:tcPr>
            <w:tcW w:type="dxa" w:w="960"/>
          </w:tcPr>
          <w:p>
            <w:r>
              <w:rPr>
                <w:sz w:val="13"/>
              </w:rPr>
              <w:t>Câble principal clos</w:t>
            </w:r>
          </w:p>
        </w:tc>
        <w:tc>
          <w:tcPr>
            <w:tcW w:type="dxa" w:w="960"/>
          </w:tcPr>
          <w:p>
            <w:r>
              <w:rPr>
                <w:sz w:val="13"/>
              </w:rPr>
              <w:t>1089.9</w:t>
            </w:r>
          </w:p>
        </w:tc>
        <w:tc>
          <w:tcPr>
            <w:tcW w:type="dxa" w:w="960"/>
          </w:tcPr>
          <w:p>
            <w:r>
              <w:rPr>
                <w:sz w:val="13"/>
              </w:rPr>
              <w:t>0.022</w:t>
            </w:r>
          </w:p>
        </w:tc>
        <w:tc>
          <w:tcPr>
            <w:tcW w:type="dxa" w:w="960"/>
          </w:tcPr>
          <w:p>
            <w:r>
              <w:rPr>
                <w:sz w:val="13"/>
              </w:rPr>
              <w:t>4.0</w:t>
            </w:r>
          </w:p>
        </w:tc>
        <w:tc>
          <w:tcPr>
            <w:tcW w:type="dxa" w:w="960"/>
          </w:tcPr>
          <w:p>
            <w:r>
              <w:rPr>
                <w:sz w:val="13"/>
              </w:rPr>
              <w:t>262.0</w:t>
            </w:r>
          </w:p>
        </w:tc>
        <w:tc>
          <w:tcPr>
            <w:tcW w:type="dxa" w:w="960"/>
          </w:tcPr>
          <w:p>
            <w:r>
              <w:rPr>
                <w:sz w:val="13"/>
              </w:rPr>
              <w:t>12.596</w:t>
            </w:r>
          </w:p>
        </w:tc>
        <w:tc>
          <w:tcPr>
            <w:tcW w:type="dxa" w:w="960"/>
          </w:tcPr>
          <w:p>
            <w:r>
              <w:rPr>
                <w:sz w:val="13"/>
              </w:rPr>
              <w:t>Non justifié</w:t>
            </w:r>
          </w:p>
        </w:tc>
      </w:tr>
      <w:tr>
        <w:tc>
          <w:tcPr>
            <w:tcW w:type="dxa" w:w="960"/>
          </w:tcPr>
          <w:p>
            <w:r>
              <w:rPr>
                <w:sz w:val="13"/>
              </w:rPr>
              <w:t>HC</w:t>
            </w:r>
          </w:p>
        </w:tc>
        <w:tc>
          <w:tcPr>
            <w:tcW w:type="dxa" w:w="960"/>
          </w:tcPr>
          <w:p>
            <w:r>
              <w:rPr>
                <w:sz w:val="13"/>
              </w:rPr>
              <w:t>90</w:t>
            </w:r>
          </w:p>
        </w:tc>
        <w:tc>
          <w:tcPr>
            <w:tcW w:type="dxa" w:w="960"/>
          </w:tcPr>
          <w:p>
            <w:r>
              <w:rPr>
                <w:sz w:val="13"/>
              </w:rPr>
              <w:t>Câble principal clos</w:t>
            </w:r>
          </w:p>
        </w:tc>
        <w:tc>
          <w:tcPr>
            <w:tcW w:type="dxa" w:w="960"/>
          </w:tcPr>
          <w:p>
            <w:r>
              <w:rPr>
                <w:sz w:val="13"/>
              </w:rPr>
              <w:t>1099.7</w:t>
            </w:r>
          </w:p>
        </w:tc>
        <w:tc>
          <w:tcPr>
            <w:tcW w:type="dxa" w:w="960"/>
          </w:tcPr>
          <w:p>
            <w:r>
              <w:rPr>
                <w:sz w:val="13"/>
              </w:rPr>
              <w:t>0.02</w:t>
            </w:r>
          </w:p>
        </w:tc>
        <w:tc>
          <w:tcPr>
            <w:tcW w:type="dxa" w:w="960"/>
          </w:tcPr>
          <w:p>
            <w:r>
              <w:rPr>
                <w:sz w:val="13"/>
              </w:rPr>
              <w:t>3.6</w:t>
            </w:r>
          </w:p>
        </w:tc>
        <w:tc>
          <w:tcPr>
            <w:tcW w:type="dxa" w:w="960"/>
          </w:tcPr>
          <w:p>
            <w:r>
              <w:rPr>
                <w:sz w:val="13"/>
              </w:rPr>
              <w:t>238.6</w:t>
            </w:r>
          </w:p>
        </w:tc>
        <w:tc>
          <w:tcPr>
            <w:tcW w:type="dxa" w:w="960"/>
          </w:tcPr>
          <w:p>
            <w:r>
              <w:rPr>
                <w:sz w:val="13"/>
              </w:rPr>
              <w:t>13.83</w:t>
            </w:r>
          </w:p>
        </w:tc>
        <w:tc>
          <w:tcPr>
            <w:tcW w:type="dxa" w:w="960"/>
          </w:tcPr>
          <w:p>
            <w:r>
              <w:rPr>
                <w:sz w:val="13"/>
              </w:rPr>
              <w:t>Non justifié</w:t>
            </w:r>
          </w:p>
        </w:tc>
      </w:tr>
      <w:tr>
        <w:tc>
          <w:tcPr>
            <w:tcW w:type="dxa" w:w="960"/>
          </w:tcPr>
          <w:p>
            <w:r>
              <w:rPr>
                <w:sz w:val="13"/>
              </w:rPr>
              <w:t>HC</w:t>
            </w:r>
          </w:p>
        </w:tc>
        <w:tc>
          <w:tcPr>
            <w:tcW w:type="dxa" w:w="960"/>
          </w:tcPr>
          <w:p>
            <w:r>
              <w:rPr>
                <w:sz w:val="13"/>
              </w:rPr>
              <w:t>120</w:t>
            </w:r>
          </w:p>
        </w:tc>
        <w:tc>
          <w:tcPr>
            <w:tcW w:type="dxa" w:w="960"/>
          </w:tcPr>
          <w:p>
            <w:r>
              <w:rPr>
                <w:sz w:val="13"/>
              </w:rPr>
              <w:t>Câble principal clos</w:t>
            </w:r>
          </w:p>
        </w:tc>
        <w:tc>
          <w:tcPr>
            <w:tcW w:type="dxa" w:w="960"/>
          </w:tcPr>
          <w:p>
            <w:r>
              <w:rPr>
                <w:sz w:val="13"/>
              </w:rPr>
              <w:t>1100.0</w:t>
            </w:r>
          </w:p>
        </w:tc>
        <w:tc>
          <w:tcPr>
            <w:tcW w:type="dxa" w:w="960"/>
          </w:tcPr>
          <w:p>
            <w:r>
              <w:rPr>
                <w:sz w:val="13"/>
              </w:rPr>
              <w:t>0.02</w:t>
            </w:r>
          </w:p>
        </w:tc>
        <w:tc>
          <w:tcPr>
            <w:tcW w:type="dxa" w:w="960"/>
          </w:tcPr>
          <w:p>
            <w:r>
              <w:rPr>
                <w:sz w:val="13"/>
              </w:rPr>
              <w:t>3.6</w:t>
            </w:r>
          </w:p>
        </w:tc>
        <w:tc>
          <w:tcPr>
            <w:tcW w:type="dxa" w:w="960"/>
          </w:tcPr>
          <w:p>
            <w:r>
              <w:rPr>
                <w:sz w:val="13"/>
              </w:rPr>
              <w:t>238.0</w:t>
            </w:r>
          </w:p>
        </w:tc>
        <w:tc>
          <w:tcPr>
            <w:tcW w:type="dxa" w:w="960"/>
          </w:tcPr>
          <w:p>
            <w:r>
              <w:rPr>
                <w:sz w:val="13"/>
              </w:rPr>
              <w:t>13.868</w:t>
            </w:r>
          </w:p>
        </w:tc>
        <w:tc>
          <w:tcPr>
            <w:tcW w:type="dxa" w:w="960"/>
          </w:tcPr>
          <w:p>
            <w:r>
              <w:rPr>
                <w:sz w:val="13"/>
              </w:rPr>
              <w:t>Non justifié</w:t>
            </w:r>
          </w:p>
        </w:tc>
      </w:tr>
    </w:tbl>
    <w:p>
      <w:r>
        <w:t>Temps maximal justifié, au pas de 5 s : Suspente secondaire - ISO 834 : 25.0 min ; Câble principal clos - ISO 834 : 44.6 min ; Suspente secondaire - Feu extérieur : 120.0 min ; Câble principal clos - Feu extérieur : 120.0 min ; Suspente secondaire - HC : 8.9 min ; Câble principal clos - HC : 19.8 min.</w:t>
      </w:r>
    </w:p>
    <w:p>
      <w:pPr>
        <w:jc w:val="center"/>
      </w:pPr>
      <w:r>
        <w:drawing>
          <wp:inline xmlns:a="http://schemas.openxmlformats.org/drawingml/2006/main" xmlns:pic="http://schemas.openxmlformats.org/drawingml/2006/picture">
            <wp:extent cx="5580000" cy="3044817"/>
            <wp:docPr id="11" name="Picture 11"/>
            <wp:cNvGraphicFramePr>
              <a:graphicFrameLocks noChangeAspect="1"/>
            </wp:cNvGraphicFramePr>
            <a:graphic>
              <a:graphicData uri="http://schemas.openxmlformats.org/drawingml/2006/picture">
                <pic:pic>
                  <pic:nvPicPr>
                    <pic:cNvPr id="0" name="fig14.png"/>
                    <pic:cNvPicPr/>
                  </pic:nvPicPr>
                  <pic:blipFill>
                    <a:blip r:embed="rId19"/>
                    <a:stretch>
                      <a:fillRect/>
                    </a:stretch>
                  </pic:blipFill>
                  <pic:spPr>
                    <a:xfrm>
                      <a:off x="0" y="0"/>
                      <a:ext cx="5580000" cy="3044817"/>
                    </a:xfrm>
                    <a:prstGeom prst="rect"/>
                  </pic:spPr>
                </pic:pic>
              </a:graphicData>
            </a:graphic>
          </wp:inline>
        </w:drawing>
      </w:r>
    </w:p>
    <w:p>
      <w:pPr>
        <w:pStyle w:val="Caption"/>
        <w:jc w:val="center"/>
      </w:pPr>
      <w:r>
        <w:t>Figure 14 - Ratio de vérification de la suspente secondaire.</w:t>
      </w:r>
    </w:p>
    <w:p>
      <w:pPr>
        <w:jc w:val="center"/>
      </w:pPr>
      <w:r>
        <w:drawing>
          <wp:inline xmlns:a="http://schemas.openxmlformats.org/drawingml/2006/main" xmlns:pic="http://schemas.openxmlformats.org/drawingml/2006/picture">
            <wp:extent cx="5580000" cy="3041571"/>
            <wp:docPr id="12" name="Picture 12"/>
            <wp:cNvGraphicFramePr>
              <a:graphicFrameLocks noChangeAspect="1"/>
            </wp:cNvGraphicFramePr>
            <a:graphic>
              <a:graphicData uri="http://schemas.openxmlformats.org/drawingml/2006/picture">
                <pic:pic>
                  <pic:nvPicPr>
                    <pic:cNvPr id="0" name="fig15.png"/>
                    <pic:cNvPicPr/>
                  </pic:nvPicPr>
                  <pic:blipFill>
                    <a:blip r:embed="rId20"/>
                    <a:stretch>
                      <a:fillRect/>
                    </a:stretch>
                  </pic:blipFill>
                  <pic:spPr>
                    <a:xfrm>
                      <a:off x="0" y="0"/>
                      <a:ext cx="5580000" cy="3041571"/>
                    </a:xfrm>
                    <a:prstGeom prst="rect"/>
                  </pic:spPr>
                </pic:pic>
              </a:graphicData>
            </a:graphic>
          </wp:inline>
        </w:drawing>
      </w:r>
    </w:p>
    <w:p>
      <w:pPr>
        <w:pStyle w:val="Caption"/>
        <w:jc w:val="center"/>
      </w:pPr>
      <w:r>
        <w:t>Figure 15 - Ratio de vérification du câble principal clos.</w:t>
      </w:r>
    </w:p>
    <w:p>
      <w:pPr>
        <w:pStyle w:val="Heading1"/>
      </w:pPr>
      <w:r>
        <w:t>9. Portée et limites</w:t>
      </w:r>
    </w:p>
    <w:p>
      <w:r>
        <w:t>L’approche est enveloppe et ne crédite pas complètement les masquages. Pour les suspentes, le bec de tablier peut créer un masque partiel, mais un rayonnement latéral demeure possible.</w:t>
      </w:r>
    </w:p>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400000" cy="2950714"/>
            <wp:docPr id="13" name="Picture 13"/>
            <wp:cNvGraphicFramePr>
              <a:graphicFrameLocks noChangeAspect="1"/>
            </wp:cNvGraphicFramePr>
            <a:graphic>
              <a:graphicData uri="http://schemas.openxmlformats.org/drawingml/2006/picture">
                <pic:pic>
                  <pic:nvPicPr>
                    <pic:cNvPr id="0" name="B_ISO 834_hanger.png"/>
                    <pic:cNvPicPr/>
                  </pic:nvPicPr>
                  <pic:blipFill>
                    <a:blip r:embed="rId21"/>
                    <a:stretch>
                      <a:fillRect/>
                    </a:stretch>
                  </pic:blipFill>
                  <pic:spPr>
                    <a:xfrm>
                      <a:off x="0" y="0"/>
                      <a:ext cx="5400000" cy="2950714"/>
                    </a:xfrm>
                    <a:prstGeom prst="rect"/>
                  </pic:spPr>
                </pic:pic>
              </a:graphicData>
            </a:graphic>
          </wp:inline>
        </w:drawing>
      </w:r>
    </w:p>
    <w:p>
      <w:pPr>
        <w:pStyle w:val="Caption"/>
        <w:jc w:val="center"/>
      </w:pPr>
      <w:r>
        <w:t>ISO 834 - Suspente secondaire : cas et enveloppe maximale.</w:t>
      </w:r>
    </w:p>
    <w:p>
      <w:pPr>
        <w:jc w:val="center"/>
      </w:pPr>
      <w:r>
        <w:drawing>
          <wp:inline xmlns:a="http://schemas.openxmlformats.org/drawingml/2006/main" xmlns:pic="http://schemas.openxmlformats.org/drawingml/2006/picture">
            <wp:extent cx="5400000" cy="2947500"/>
            <wp:docPr id="14" name="Picture 14"/>
            <wp:cNvGraphicFramePr>
              <a:graphicFrameLocks noChangeAspect="1"/>
            </wp:cNvGraphicFramePr>
            <a:graphic>
              <a:graphicData uri="http://schemas.openxmlformats.org/drawingml/2006/picture">
                <pic:pic>
                  <pic:nvPicPr>
                    <pic:cNvPr id="0" name="B_ISO 834_cable.png"/>
                    <pic:cNvPicPr/>
                  </pic:nvPicPr>
                  <pic:blipFill>
                    <a:blip r:embed="rId22"/>
                    <a:stretch>
                      <a:fillRect/>
                    </a:stretch>
                  </pic:blipFill>
                  <pic:spPr>
                    <a:xfrm>
                      <a:off x="0" y="0"/>
                      <a:ext cx="5400000" cy="2947500"/>
                    </a:xfrm>
                    <a:prstGeom prst="rect"/>
                  </pic:spPr>
                </pic:pic>
              </a:graphicData>
            </a:graphic>
          </wp:inline>
        </w:drawing>
      </w:r>
    </w:p>
    <w:p>
      <w:pPr>
        <w:pStyle w:val="Caption"/>
        <w:jc w:val="center"/>
      </w:pPr>
      <w:r>
        <w:t>ISO 834 - Câble principal clos : cas et enveloppe maximale.</w:t>
      </w:r>
    </w:p>
    <w:p>
      <w:pPr>
        <w:jc w:val="center"/>
      </w:pPr>
      <w:r>
        <w:drawing>
          <wp:inline xmlns:a="http://schemas.openxmlformats.org/drawingml/2006/main" xmlns:pic="http://schemas.openxmlformats.org/drawingml/2006/picture">
            <wp:extent cx="5400000" cy="2947500"/>
            <wp:docPr id="15" name="Picture 15"/>
            <wp:cNvGraphicFramePr>
              <a:graphicFrameLocks noChangeAspect="1"/>
            </wp:cNvGraphicFramePr>
            <a:graphic>
              <a:graphicData uri="http://schemas.openxmlformats.org/drawingml/2006/picture">
                <pic:pic>
                  <pic:nvPicPr>
                    <pic:cNvPr id="0" name="B_Feu extérieur_hanger.png"/>
                    <pic:cNvPicPr/>
                  </pic:nvPicPr>
                  <pic:blipFill>
                    <a:blip r:embed="rId23"/>
                    <a:stretch>
                      <a:fillRect/>
                    </a:stretch>
                  </pic:blipFill>
                  <pic:spPr>
                    <a:xfrm>
                      <a:off x="0" y="0"/>
                      <a:ext cx="5400000" cy="2947500"/>
                    </a:xfrm>
                    <a:prstGeom prst="rect"/>
                  </pic:spPr>
                </pic:pic>
              </a:graphicData>
            </a:graphic>
          </wp:inline>
        </w:drawing>
      </w:r>
    </w:p>
    <w:p>
      <w:pPr>
        <w:pStyle w:val="Caption"/>
        <w:jc w:val="center"/>
      </w:pPr>
      <w:r>
        <w:t>Feu extérieur - Suspente secondaire : cas et enveloppe maximale.</w:t>
      </w:r>
    </w:p>
    <w:p>
      <w:pPr>
        <w:jc w:val="center"/>
      </w:pPr>
      <w:r>
        <w:drawing>
          <wp:inline xmlns:a="http://schemas.openxmlformats.org/drawingml/2006/main" xmlns:pic="http://schemas.openxmlformats.org/drawingml/2006/picture">
            <wp:extent cx="5400000" cy="2947500"/>
            <wp:docPr id="16" name="Picture 16"/>
            <wp:cNvGraphicFramePr>
              <a:graphicFrameLocks noChangeAspect="1"/>
            </wp:cNvGraphicFramePr>
            <a:graphic>
              <a:graphicData uri="http://schemas.openxmlformats.org/drawingml/2006/picture">
                <pic:pic>
                  <pic:nvPicPr>
                    <pic:cNvPr id="0" name="B_Feu extérieur_cable.png"/>
                    <pic:cNvPicPr/>
                  </pic:nvPicPr>
                  <pic:blipFill>
                    <a:blip r:embed="rId24"/>
                    <a:stretch>
                      <a:fillRect/>
                    </a:stretch>
                  </pic:blipFill>
                  <pic:spPr>
                    <a:xfrm>
                      <a:off x="0" y="0"/>
                      <a:ext cx="5400000" cy="2947500"/>
                    </a:xfrm>
                    <a:prstGeom prst="rect"/>
                  </pic:spPr>
                </pic:pic>
              </a:graphicData>
            </a:graphic>
          </wp:inline>
        </w:drawing>
      </w:r>
    </w:p>
    <w:p>
      <w:pPr>
        <w:pStyle w:val="Caption"/>
        <w:jc w:val="center"/>
      </w:pPr>
      <w:r>
        <w:t>Feu extérieur - Câble principal clos : cas et enveloppe maximale.</w:t>
      </w:r>
    </w:p>
    <w:p>
      <w:pPr>
        <w:jc w:val="center"/>
      </w:pPr>
      <w:r>
        <w:drawing>
          <wp:inline xmlns:a="http://schemas.openxmlformats.org/drawingml/2006/main" xmlns:pic="http://schemas.openxmlformats.org/drawingml/2006/picture">
            <wp:extent cx="5400000" cy="2950714"/>
            <wp:docPr id="17" name="Picture 17"/>
            <wp:cNvGraphicFramePr>
              <a:graphicFrameLocks noChangeAspect="1"/>
            </wp:cNvGraphicFramePr>
            <a:graphic>
              <a:graphicData uri="http://schemas.openxmlformats.org/drawingml/2006/picture">
                <pic:pic>
                  <pic:nvPicPr>
                    <pic:cNvPr id="0" name="B_HC_hanger.png"/>
                    <pic:cNvPicPr/>
                  </pic:nvPicPr>
                  <pic:blipFill>
                    <a:blip r:embed="rId25"/>
                    <a:stretch>
                      <a:fillRect/>
                    </a:stretch>
                  </pic:blipFill>
                  <pic:spPr>
                    <a:xfrm>
                      <a:off x="0" y="0"/>
                      <a:ext cx="5400000" cy="2950714"/>
                    </a:xfrm>
                    <a:prstGeom prst="rect"/>
                  </pic:spPr>
                </pic:pic>
              </a:graphicData>
            </a:graphic>
          </wp:inline>
        </w:drawing>
      </w:r>
    </w:p>
    <w:p>
      <w:pPr>
        <w:pStyle w:val="Caption"/>
        <w:jc w:val="center"/>
      </w:pPr>
      <w:r>
        <w:t>HC - Suspente secondaire : cas et enveloppe maximale.</w:t>
      </w:r>
    </w:p>
    <w:p>
      <w:pPr>
        <w:jc w:val="center"/>
      </w:pPr>
      <w:r>
        <w:drawing>
          <wp:inline xmlns:a="http://schemas.openxmlformats.org/drawingml/2006/main" xmlns:pic="http://schemas.openxmlformats.org/drawingml/2006/picture">
            <wp:extent cx="5400000" cy="2947500"/>
            <wp:docPr id="18" name="Picture 18"/>
            <wp:cNvGraphicFramePr>
              <a:graphicFrameLocks noChangeAspect="1"/>
            </wp:cNvGraphicFramePr>
            <a:graphic>
              <a:graphicData uri="http://schemas.openxmlformats.org/drawingml/2006/picture">
                <pic:pic>
                  <pic:nvPicPr>
                    <pic:cNvPr id="0" name="B_HC_cable.png"/>
                    <pic:cNvPicPr/>
                  </pic:nvPicPr>
                  <pic:blipFill>
                    <a:blip r:embed="rId26"/>
                    <a:stretch>
                      <a:fillRect/>
                    </a:stretch>
                  </pic:blipFill>
                  <pic:spPr>
                    <a:xfrm>
                      <a:off x="0" y="0"/>
                      <a:ext cx="5400000" cy="2947500"/>
                    </a:xfrm>
                    <a:prstGeom prst="rect"/>
                  </pic:spPr>
                </pic:pic>
              </a:graphicData>
            </a:graphic>
          </wp:inline>
        </w:drawing>
      </w:r>
    </w:p>
    <w:p>
      <w:pPr>
        <w:pStyle w:val="Caption"/>
        <w:jc w:val="center"/>
      </w:pPr>
      <w:r>
        <w:t>HC - Câble principal clos : cas et enveloppe maximale.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AIA Ingénierie</cp:lastModifiedBy>
  <cp:revision>1</cp:revision>
  <dcterms:created xsi:type="dcterms:W3CDTF">2026-09-02T13:44:33Z</dcterms:created>
  <dcterms:modified xsi:type="dcterms:W3CDTF">2026-09-02T13:44:33Z</dcterms:modified>
  <cp:category/>
</cp:coreProperties>
</file>