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46"/>
        </w:rPr>
        <w:t>ANALYSE THERMIQUE D'UN INCENDIE</w:t>
        <w:br/>
        <w:t>SOUS LA PASSERELLE</w:t>
      </w:r>
    </w:p>
    <w:p>
      <w:pPr>
        <w:jc w:val="center"/>
      </w:pPr>
      <w:r>
        <w:t>Passerelle Gerland - La Saulaie</w:t>
        <w:br/>
        <w:t>Version V1.5_A autonome</w:t>
      </w:r>
    </w:p>
    <w:p>
      <w:pPr>
        <w:jc w:val="center"/>
      </w:pPr>
      <w:r>
        <w:t>Rapport généré le 01/09/2026 à 18:30</w:t>
      </w:r>
    </w:p>
    <w:p>
      <w:r>
        <w:br w:type="page"/>
      </w:r>
    </w:p>
    <w:p>
      <w:pPr>
        <w:pStyle w:val="Heading1"/>
      </w:pPr>
      <w:r>
        <w:t>1. Objet et présentation du projet</w:t>
      </w:r>
    </w:p>
    <w:p>
      <w:r>
        <w:t>L'étude évalue l'évolution de la température de l'intrados, des suspentes secondaires et des câbles principaux lors d'un incendie sur la M7 sous la passerelle.</w:t>
      </w:r>
    </w:p>
    <w:p>
      <w:pPr>
        <w:jc w:val="center"/>
      </w:pPr>
      <w:r>
        <w:drawing>
          <wp:inline xmlns:a="http://schemas.openxmlformats.org/drawingml/2006/main" xmlns:pic="http://schemas.openxmlformats.org/drawingml/2006/picture">
            <wp:extent cx="5760000" cy="3236571"/>
            <wp:docPr id="1" name="Picture 1"/>
            <wp:cNvGraphicFramePr>
              <a:graphicFrameLocks noChangeAspect="1"/>
            </wp:cNvGraphicFramePr>
            <a:graphic>
              <a:graphicData uri="http://schemas.openxmlformats.org/drawingml/2006/picture">
                <pic:pic>
                  <pic:nvPicPr>
                    <pic:cNvPr id="0" name="ZZ extrait vue en plan generale.png"/>
                    <pic:cNvPicPr/>
                  </pic:nvPicPr>
                  <pic:blipFill>
                    <a:blip r:embed="rId9"/>
                    <a:stretch>
                      <a:fillRect/>
                    </a:stretch>
                  </pic:blipFill>
                  <pic:spPr>
                    <a:xfrm>
                      <a:off x="0" y="0"/>
                      <a:ext cx="5760000" cy="3236571"/>
                    </a:xfrm>
                    <a:prstGeom prst="rect"/>
                  </pic:spPr>
                </pic:pic>
              </a:graphicData>
            </a:graphic>
          </wp:inline>
        </w:drawing>
      </w:r>
    </w:p>
    <w:p>
      <w:pPr>
        <w:keepNext w:val="0"/>
        <w:jc w:val="center"/>
      </w:pPr>
      <w:r>
        <w:rPr>
          <w:i/>
        </w:rPr>
        <w:t>Figure 1 - Vue en plan générale.</w:t>
      </w:r>
    </w:p>
    <w:p>
      <w:pPr>
        <w:jc w:val="center"/>
      </w:pPr>
      <w:r>
        <w:drawing>
          <wp:inline xmlns:a="http://schemas.openxmlformats.org/drawingml/2006/main" xmlns:pic="http://schemas.openxmlformats.org/drawingml/2006/picture">
            <wp:extent cx="5760000" cy="2485962"/>
            <wp:docPr id="2" name="Picture 2"/>
            <wp:cNvGraphicFramePr>
              <a:graphicFrameLocks noChangeAspect="1"/>
            </wp:cNvGraphicFramePr>
            <a:graphic>
              <a:graphicData uri="http://schemas.openxmlformats.org/drawingml/2006/picture">
                <pic:pic>
                  <pic:nvPicPr>
                    <pic:cNvPr id="0" name="ZZ extrait plan suspension.png"/>
                    <pic:cNvPicPr/>
                  </pic:nvPicPr>
                  <pic:blipFill>
                    <a:blip r:embed="rId10"/>
                    <a:stretch>
                      <a:fillRect/>
                    </a:stretch>
                  </pic:blipFill>
                  <pic:spPr>
                    <a:xfrm>
                      <a:off x="0" y="0"/>
                      <a:ext cx="5760000" cy="2485962"/>
                    </a:xfrm>
                    <a:prstGeom prst="rect"/>
                  </pic:spPr>
                </pic:pic>
              </a:graphicData>
            </a:graphic>
          </wp:inline>
        </w:drawing>
      </w:r>
    </w:p>
    <w:p>
      <w:pPr>
        <w:keepNext w:val="0"/>
        <w:jc w:val="center"/>
      </w:pPr>
      <w:r>
        <w:rPr>
          <w:i/>
        </w:rPr>
        <w:t>Figure 2 - Élévation et plan du système de suspension.</w:t>
      </w:r>
    </w:p>
    <w:p>
      <w:pPr>
        <w:jc w:val="center"/>
      </w:pPr>
      <w:r>
        <w:drawing>
          <wp:inline xmlns:a="http://schemas.openxmlformats.org/drawingml/2006/main" xmlns:pic="http://schemas.openxmlformats.org/drawingml/2006/picture">
            <wp:extent cx="5760000" cy="2763221"/>
            <wp:docPr id="3" name="Picture 3"/>
            <wp:cNvGraphicFramePr>
              <a:graphicFrameLocks noChangeAspect="1"/>
            </wp:cNvGraphicFramePr>
            <a:graphic>
              <a:graphicData uri="http://schemas.openxmlformats.org/drawingml/2006/picture">
                <pic:pic>
                  <pic:nvPicPr>
                    <pic:cNvPr id="0" name="Zz extrait coupe long generale.png"/>
                    <pic:cNvPicPr/>
                  </pic:nvPicPr>
                  <pic:blipFill>
                    <a:blip r:embed="rId11"/>
                    <a:stretch>
                      <a:fillRect/>
                    </a:stretch>
                  </pic:blipFill>
                  <pic:spPr>
                    <a:xfrm>
                      <a:off x="0" y="0"/>
                      <a:ext cx="5760000" cy="2763221"/>
                    </a:xfrm>
                    <a:prstGeom prst="rect"/>
                  </pic:spPr>
                </pic:pic>
              </a:graphicData>
            </a:graphic>
          </wp:inline>
        </w:drawing>
      </w:r>
    </w:p>
    <w:p>
      <w:pPr>
        <w:keepNext w:val="0"/>
        <w:jc w:val="center"/>
      </w:pPr>
      <w:r>
        <w:rPr>
          <w:i/>
        </w:rPr>
        <w:t>Figure 3 - Coupe longitudinale générale.</w:t>
      </w:r>
    </w:p>
    <w:p>
      <w:pPr>
        <w:jc w:val="center"/>
      </w:pPr>
      <w:r>
        <w:drawing>
          <wp:inline xmlns:a="http://schemas.openxmlformats.org/drawingml/2006/main" xmlns:pic="http://schemas.openxmlformats.org/drawingml/2006/picture">
            <wp:extent cx="5760000" cy="2008125"/>
            <wp:docPr id="4" name="Picture 4"/>
            <wp:cNvGraphicFramePr>
              <a:graphicFrameLocks noChangeAspect="1"/>
            </wp:cNvGraphicFramePr>
            <a:graphic>
              <a:graphicData uri="http://schemas.openxmlformats.org/drawingml/2006/picture">
                <pic:pic>
                  <pic:nvPicPr>
                    <pic:cNvPr id="0" name="ZZ coupe transv.png"/>
                    <pic:cNvPicPr/>
                  </pic:nvPicPr>
                  <pic:blipFill>
                    <a:blip r:embed="rId12"/>
                    <a:stretch>
                      <a:fillRect/>
                    </a:stretch>
                  </pic:blipFill>
                  <pic:spPr>
                    <a:xfrm>
                      <a:off x="0" y="0"/>
                      <a:ext cx="5760000" cy="2008125"/>
                    </a:xfrm>
                    <a:prstGeom prst="rect"/>
                  </pic:spPr>
                </pic:pic>
              </a:graphicData>
            </a:graphic>
          </wp:inline>
        </w:drawing>
      </w:r>
    </w:p>
    <w:p>
      <w:pPr>
        <w:keepNext w:val="0"/>
        <w:jc w:val="center"/>
      </w:pPr>
      <w:r>
        <w:rPr>
          <w:i/>
        </w:rPr>
        <w:t>Figure 4 - Coupe transversale type du tablier.</w:t>
      </w:r>
    </w:p>
    <w:p>
      <w:pPr>
        <w:pStyle w:val="Heading1"/>
      </w:pPr>
      <w:r>
        <w:t>2. Références</w:t>
      </w:r>
    </w:p>
    <w:p>
      <w:pPr>
        <w:pStyle w:val="ListBullet"/>
      </w:pPr>
      <w:r>
        <w:t>NF EN 1991-1-2, § 3.1, § 3.2.1 et § 3.2.2.</w:t>
      </w:r>
    </w:p>
    <w:p>
      <w:pPr>
        <w:pStyle w:val="ListBullet"/>
      </w:pPr>
      <w:r>
        <w:t>NF EN 1993-1-2, § 3.4.1 et § 4.2.5.1.</w:t>
      </w:r>
    </w:p>
    <w:p>
      <w:pPr>
        <w:pStyle w:val="ListBullet"/>
      </w:pPr>
      <w:r>
        <w:t>Cerema, Résistance à l'incendie des ponts routiers, guide méthodologique, 2018.</w:t>
      </w:r>
    </w:p>
    <w:p>
      <w:pPr>
        <w:pStyle w:val="ListBullet"/>
      </w:pPr>
      <w:r>
        <w:t>Note SAU_AVP_NTE_069_A_FeuM7.</w:t>
      </w:r>
    </w:p>
    <w:p>
      <w:pPr>
        <w:pStyle w:val="Heading1"/>
      </w:pPr>
      <w:r>
        <w:t>3. Choix de la courbe de feu</w:t>
      </w:r>
    </w:p>
    <w:p>
      <w:r>
        <w:t>Le choix des scénarios thermiques est établi en appui du guide Cerema « Résistance à l'incendie des ponts routiers », notamment de son passage consacré au choix des courbes de feu. Deux calculs indépendants sont menés : l'un avec la courbe CN - ISO 834 et l'autre avec la courbe de feu extérieur. Les résultats sont ensuite comparés et l'enveloppe est retenue pour la poursuite de l'analyse.</w:t>
      </w:r>
    </w:p>
    <w:p>
      <w:r>
        <w:t>Ce choix constitue l'hypothèse de la présente étude thermique. Il appartient néanmoins au maître d'ouvrage ou à son assistant à maîtrise d'ouvrage de confirmer à la maîtrise d'œuvre le scénario contre lequel l'ouvrage doit être protégé et, en particulier, de préciser si une courbe hydrocarbure HC doit également être étudiée. Le guide Cerema indique, dans la définition des responsabilités du maître d'ouvrage, que celui-ci doit définir le scénario de feu contre lequel il souhaite protéger l'ouvrage.</w:t>
      </w:r>
    </w:p>
    <w:p>
      <w:r>
        <w:t>Les hauteurs de flammes retenues pour le cadrage géométrique, jusqu'à 15 m, ainsi que les courbes CN et feu extérieur utilisées ici ne couvrent pas explicitement un feu de citerne d'hydrocarbures. Une telle situation devra faire l'objet d'une décision spécifique du maître d'ouvrage et, si elle est retenue, d'un scénario HC et d'hypothèses de foyer adaptées.</w:t>
      </w:r>
    </w:p>
    <w:p>
      <w:pPr>
        <w:pStyle w:val="Heading2"/>
      </w:pPr>
      <w:r>
        <w:t>Équations utilisées</w:t>
      </w:r>
    </w:p>
    <w:p>
      <w:r>
        <w:t>Courbe CN - ISO 834, NF EN 1991-1-2, § 3.2.1 :</w:t>
      </w:r>
    </w:p>
    <w:p>
      <w:pPr>
        <w:jc w:val="center"/>
      </w:pPr>
      <m:oMathPara>
        <m:oMath>
          <m:sSub>
            <m:e>
              <m:r>
                <m:t>θ</m:t>
              </m:r>
            </m:e>
            <m:sub>
              <m:r>
                <m:t>g</m:t>
              </m:r>
            </m:sub>
          </m:sSub>
          <m:r>
            <m:t>(t) = 20 + 345 </m:t>
          </m:r>
          <m:sSub>
            <m:e>
              <m:r>
                <m:t>log</m:t>
              </m:r>
            </m:e>
            <m:sub>
              <m:r>
                <m:t>10</m:t>
              </m:r>
            </m:sub>
          </m:sSub>
          <m:r>
            <m:t>(8t + 1)</m:t>
          </m:r>
        </m:oMath>
      </m:oMathPara>
    </w:p>
    <w:p>
      <w:r>
        <w:t>Courbe de feu extérieur, NF EN 1991-1-2, § 3.2.2 :</w:t>
      </w:r>
    </w:p>
    <w:p>
      <w:pPr>
        <w:jc w:val="center"/>
      </w:pPr>
      <m:oMathPara>
        <m:oMath>
          <m:sSub>
            <m:e>
              <m:r>
                <m:t>θ</m:t>
              </m:r>
            </m:e>
            <m:sub>
              <m:r>
                <m:t>g</m:t>
              </m:r>
            </m:sub>
          </m:sSub>
          <m:r>
            <m:t>(t) = 660[1 - 0,687 </m:t>
          </m:r>
          <m:sSup>
            <m:e>
              <m:r>
                <m:t>e</m:t>
              </m:r>
            </m:e>
            <m:sup>
              <m:r>
                <m:t>-0,32t</m:t>
              </m:r>
            </m:sup>
          </m:sSup>
          <m:r>
            <m:t> - 0,313 </m:t>
          </m:r>
          <m:sSup>
            <m:e>
              <m:r>
                <m:t>e</m:t>
              </m:r>
            </m:e>
            <m:sup>
              <m:r>
                <m:t>-3,8t</m:t>
              </m:r>
            </m:sup>
          </m:sSup>
          <m:r>
            <m:t>] + 20</m:t>
          </m:r>
        </m:oMath>
      </m:oMathPara>
    </w:p>
    <w:p>
      <w:r>
        <w:t>Flux convectif net, NF EN 1991-1-2, § 3.1 :</w:t>
      </w:r>
    </w:p>
    <w:p>
      <w:pPr>
        <w:jc w:val="center"/>
      </w:pPr>
      <m:oMathPara>
        <m:oMath>
          <m:sSub>
            <m:e>
              <m:r>
                <m:t>q</m:t>
              </m:r>
            </m:e>
            <m:sub>
              <m:r>
                <m:t>conv</m:t>
              </m:r>
            </m:sub>
          </m:sSub>
          <m:r>
            <m:t> = </m:t>
          </m:r>
          <m:sSub>
            <m:e>
              <m:r>
                <m:t>α</m:t>
              </m:r>
            </m:e>
            <m:sub>
              <m:r>
                <m:t>c</m:t>
              </m:r>
            </m:sub>
          </m:sSub>
          <m:r>
            <m:t>(</m:t>
          </m:r>
          <m:sSub>
            <m:e>
              <m:r>
                <m:t>θ</m:t>
              </m:r>
            </m:e>
            <m:sub>
              <m:r>
                <m:t>g</m:t>
              </m:r>
            </m:sub>
          </m:sSub>
          <m:r>
            <m:t> - </m:t>
          </m:r>
          <m:sSub>
            <m:e>
              <m:r>
                <m:t>θ</m:t>
              </m:r>
            </m:e>
            <m:sub>
              <m:r>
                <m:t>a</m:t>
              </m:r>
            </m:sub>
          </m:sSub>
          <m:r>
            <m:t>)</m:t>
          </m:r>
        </m:oMath>
      </m:oMathPara>
    </w:p>
    <w:p>
      <w:r>
        <w:t>Flux radiatif net, NF EN 1991-1-2, § 3.1 :</w:t>
      </w:r>
    </w:p>
    <w:p>
      <w:pPr>
        <w:jc w:val="center"/>
      </w:pPr>
      <m:oMathPara>
        <m:oMath>
          <m:sSub>
            <m:e>
              <m:r>
                <m:t>q</m:t>
              </m:r>
            </m:e>
            <m:sub>
              <m:r>
                <m:t>rad</m:t>
              </m:r>
            </m:sub>
          </m:sSub>
          <m:r>
            <m:t> = Φ </m:t>
          </m:r>
          <m:sSub>
            <m:e>
              <m:r>
                <m:t>ε</m:t>
              </m:r>
            </m:e>
            <m:sub>
              <m:r>
                <m:t>m</m:t>
              </m:r>
            </m:sub>
          </m:sSub>
          <m:r>
            <m:t> </m:t>
          </m:r>
          <m:sSub>
            <m:e>
              <m:r>
                <m:t>ε</m:t>
              </m:r>
            </m:e>
            <m:sub>
              <m:r>
                <m:t>f</m:t>
              </m:r>
            </m:sub>
          </m:sSub>
          <m:r>
            <m:t> σ [</m:t>
          </m:r>
          <m:sSup>
            <m:e>
              <m:r>
                <m:t>(θg + 273,15)</m:t>
              </m:r>
            </m:e>
            <m:sup>
              <m:r>
                <m:t>4</m:t>
              </m:r>
            </m:sup>
          </m:sSup>
          <m:r>
            <m:t> - </m:t>
          </m:r>
          <m:sSup>
            <m:e>
              <m:r>
                <m:t>(θa + 273,15)</m:t>
              </m:r>
            </m:e>
            <m:sup>
              <m:r>
                <m:t>4</m:t>
              </m:r>
            </m:sup>
          </m:sSup>
          <m:r>
            <m:t>]</m:t>
          </m:r>
        </m:oMath>
      </m:oMathPara>
    </w:p>
    <w:p>
      <w:r>
        <w:t>Facteur de section :</w:t>
      </w:r>
    </w:p>
    <w:p>
      <w:pPr>
        <w:jc w:val="center"/>
      </w:pPr>
      <m:oMathPara>
        <m:oMath>
          <m:f>
            <m:num>
              <m:sSub>
                <m:e>
                  <m:r>
                    <m:t>A</m:t>
                  </m:r>
                </m:e>
                <m:sub>
                  <m:r>
                    <m:t>m</m:t>
                  </m:r>
                </m:sub>
              </m:sSub>
            </m:num>
            <m:den>
              <m:r>
                <m:t>V</m:t>
              </m:r>
            </m:den>
          </m:f>
          <m:r>
            <m:t> = </m:t>
          </m:r>
          <m:sSub>
            <m:e>
              <m:r>
                <m:t>η</m:t>
              </m:r>
            </m:e>
            <m:sub>
              <m:r>
                <m:t>exp</m:t>
              </m:r>
            </m:sub>
          </m:sSub>
          <m:r>
            <m:t> </m:t>
          </m:r>
          <m:f>
            <m:num>
              <m:r>
                <m:t>4</m:t>
              </m:r>
            </m:num>
            <m:den>
              <m:r>
                <m:t>D</m:t>
              </m:r>
            </m:den>
          </m:f>
        </m:oMath>
      </m:oMathPara>
    </w:p>
    <w:p>
      <w:r>
        <w:t>Incrément de température, NF EN 1993-1-2, § 4.2.5.1 :</w:t>
      </w:r>
    </w:p>
    <w:p>
      <w:pPr>
        <w:jc w:val="center"/>
      </w:pPr>
      <m:oMathPara>
        <m:oMath>
          <m:r>
            <m:t>Δ</m:t>
          </m:r>
          <m:sSub>
            <m:e>
              <m:r>
                <m:t>θ</m:t>
              </m:r>
            </m:e>
            <m:sub>
              <m:r>
                <m:t>a,t</m:t>
              </m:r>
            </m:sub>
          </m:sSub>
          <m:r>
            <m:t> = </m:t>
          </m:r>
          <m:f>
            <m:num>
              <m:sSub>
                <m:e>
                  <m:r>
                    <m:t>k</m:t>
                  </m:r>
                </m:e>
                <m:sub>
                  <m:r>
                    <m:t>sh</m:t>
                  </m:r>
                </m:sub>
              </m:sSub>
              <m:r>
                <m:t> </m:t>
              </m:r>
              <m:f>
                <m:num>
                  <m:sSub>
                    <m:e>
                      <m:r>
                        <m:t>A</m:t>
                      </m:r>
                    </m:e>
                    <m:sub>
                      <m:r>
                        <m:t>m</m:t>
                      </m:r>
                    </m:sub>
                  </m:sSub>
                </m:num>
                <m:den>
                  <m:r>
                    <m:t>V</m:t>
                  </m:r>
                </m:den>
              </m:f>
              <m:r>
                <m:t> </m:t>
              </m:r>
              <m:sSub>
                <m:e>
                  <m:r>
                    <m:t>q</m:t>
                  </m:r>
                </m:e>
                <m:sub>
                  <m:r>
                    <m:t>net</m:t>
                  </m:r>
                </m:sub>
              </m:sSub>
              <m:r>
                <m:t> Δt</m:t>
              </m:r>
            </m:num>
            <m:den>
              <m:sSub>
                <m:e>
                  <m:r>
                    <m:t>ρ</m:t>
                  </m:r>
                </m:e>
                <m:sub>
                  <m:r>
                    <m:t>a</m:t>
                  </m:r>
                </m:sub>
              </m:sSub>
              <m:r>
                <m:t> </m:t>
              </m:r>
              <m:sSub>
                <m:e>
                  <m:r>
                    <m:t>c</m:t>
                  </m:r>
                </m:e>
                <m:sub>
                  <m:r>
                    <m:t>a</m:t>
                  </m:r>
                </m:sub>
              </m:sSub>
              <m:r>
                <m:t>(</m:t>
              </m:r>
              <m:sSub>
                <m:e>
                  <m:r>
                    <m:t>θ</m:t>
                  </m:r>
                </m:e>
                <m:sub>
                  <m:r>
                    <m:t>a</m:t>
                  </m:r>
                </m:sub>
              </m:sSub>
              <m:r>
                <m:t>)</m:t>
              </m:r>
            </m:den>
          </m:f>
        </m:oMath>
      </m:oMathPara>
    </w:p>
    <w:p>
      <w:pPr>
        <w:jc w:val="center"/>
      </w:pPr>
      <w:r>
        <w:drawing>
          <wp:inline xmlns:a="http://schemas.openxmlformats.org/drawingml/2006/main" xmlns:pic="http://schemas.openxmlformats.org/drawingml/2006/picture">
            <wp:extent cx="5760000" cy="3290966"/>
            <wp:docPr id="5" name="Picture 5"/>
            <wp:cNvGraphicFramePr>
              <a:graphicFrameLocks noChangeAspect="1"/>
            </wp:cNvGraphicFramePr>
            <a:graphic>
              <a:graphicData uri="http://schemas.openxmlformats.org/drawingml/2006/picture">
                <pic:pic>
                  <pic:nvPicPr>
                    <pic:cNvPr id="0" name="01_courbes_feu.png"/>
                    <pic:cNvPicPr/>
                  </pic:nvPicPr>
                  <pic:blipFill>
                    <a:blip r:embed="rId13"/>
                    <a:stretch>
                      <a:fillRect/>
                    </a:stretch>
                  </pic:blipFill>
                  <pic:spPr>
                    <a:xfrm>
                      <a:off x="0" y="0"/>
                      <a:ext cx="5760000" cy="3290966"/>
                    </a:xfrm>
                    <a:prstGeom prst="rect"/>
                  </pic:spPr>
                </pic:pic>
              </a:graphicData>
            </a:graphic>
          </wp:inline>
        </w:drawing>
      </w:r>
    </w:p>
    <w:p>
      <w:pPr>
        <w:keepNext w:val="0"/>
        <w:jc w:val="center"/>
      </w:pPr>
      <w:r>
        <w:rPr>
          <w:i/>
        </w:rPr>
        <w:t>Figure 5 - Courbes nominales température-temps.</w:t>
      </w:r>
    </w:p>
    <w:p>
      <w:pPr>
        <w:pStyle w:val="Heading1"/>
      </w:pPr>
      <w:r>
        <w:t>4. Géométrie simplifiée et positions de feu</w:t>
      </w:r>
    </w:p>
    <w:p>
      <w:r>
        <w:t>Trois coupes successives sont étudiées le long de l'axe de la passerelle au franchissement de la M7 : bord ouest, axe M7 et bord est.</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shd w:fill="D9EAF7"/>
            <w:vAlign w:val="center"/>
          </w:tcPr>
          <w:p>
            <w:r>
              <w:rPr>
                <w:b/>
              </w:rPr>
              <w:t>Coupe</w:t>
            </w:r>
          </w:p>
        </w:tc>
        <w:tc>
          <w:tcPr>
            <w:tcW w:type="dxa" w:w="1994"/>
            <w:shd w:fill="D9EAF7"/>
            <w:vAlign w:val="center"/>
          </w:tcPr>
          <w:p>
            <w:r>
              <w:rPr>
                <w:b/>
              </w:rPr>
              <w:t>Position</w:t>
            </w:r>
          </w:p>
        </w:tc>
        <w:tc>
          <w:tcPr>
            <w:tcW w:type="dxa" w:w="1994"/>
            <w:shd w:fill="D9EAF7"/>
            <w:vAlign w:val="center"/>
          </w:tcPr>
          <w:p>
            <w:r>
              <w:rPr>
                <w:b/>
              </w:rPr>
              <w:t>Intrados (m)</w:t>
            </w:r>
          </w:p>
        </w:tc>
        <w:tc>
          <w:tcPr>
            <w:tcW w:type="dxa" w:w="1994"/>
            <w:shd w:fill="D9EAF7"/>
            <w:vAlign w:val="center"/>
          </w:tcPr>
          <w:p>
            <w:r>
              <w:rPr>
                <w:b/>
              </w:rPr>
              <w:t>Naissance suspente (m)</w:t>
            </w:r>
          </w:p>
        </w:tc>
        <w:tc>
          <w:tcPr>
            <w:tcW w:type="dxa" w:w="1994"/>
            <w:shd w:fill="D9EAF7"/>
            <w:vAlign w:val="center"/>
          </w:tcPr>
          <w:p>
            <w:r>
              <w:rPr>
                <w:b/>
              </w:rPr>
              <w:t>Axe câble (m)</w:t>
            </w:r>
          </w:p>
        </w:tc>
      </w:tr>
      <w:tr>
        <w:tc>
          <w:tcPr>
            <w:tcW w:type="dxa" w:w="1994"/>
            <w:vAlign w:val="center"/>
          </w:tcPr>
          <w:p>
            <w:r>
              <w:t>OUEST</w:t>
            </w:r>
          </w:p>
        </w:tc>
        <w:tc>
          <w:tcPr>
            <w:tcW w:type="dxa" w:w="1994"/>
            <w:vAlign w:val="center"/>
          </w:tcPr>
          <w:p>
            <w:r>
              <w:t>Bord ouest circulable</w:t>
            </w:r>
          </w:p>
        </w:tc>
        <w:tc>
          <w:tcPr>
            <w:tcW w:type="dxa" w:w="1994"/>
            <w:vAlign w:val="center"/>
          </w:tcPr>
          <w:p>
            <w:r>
              <w:t>6,125</w:t>
            </w:r>
          </w:p>
        </w:tc>
        <w:tc>
          <w:tcPr>
            <w:tcW w:type="dxa" w:w="1994"/>
            <w:vAlign w:val="center"/>
          </w:tcPr>
          <w:p>
            <w:r>
              <w:t>6,945</w:t>
            </w:r>
          </w:p>
        </w:tc>
        <w:tc>
          <w:tcPr>
            <w:tcW w:type="dxa" w:w="1994"/>
            <w:vAlign w:val="center"/>
          </w:tcPr>
          <w:p>
            <w:r>
              <w:t>8,120</w:t>
            </w:r>
          </w:p>
        </w:tc>
      </w:tr>
      <w:tr>
        <w:tc>
          <w:tcPr>
            <w:tcW w:type="dxa" w:w="1994"/>
            <w:vAlign w:val="center"/>
          </w:tcPr>
          <w:p>
            <w:r>
              <w:t>AXE</w:t>
            </w:r>
          </w:p>
        </w:tc>
        <w:tc>
          <w:tcPr>
            <w:tcW w:type="dxa" w:w="1994"/>
            <w:vAlign w:val="center"/>
          </w:tcPr>
          <w:p>
            <w:r>
              <w:t>Axe de la M7</w:t>
            </w:r>
          </w:p>
        </w:tc>
        <w:tc>
          <w:tcPr>
            <w:tcW w:type="dxa" w:w="1994"/>
            <w:vAlign w:val="center"/>
          </w:tcPr>
          <w:p>
            <w:r>
              <w:t>6,900</w:t>
            </w:r>
          </w:p>
        </w:tc>
        <w:tc>
          <w:tcPr>
            <w:tcW w:type="dxa" w:w="1994"/>
            <w:vAlign w:val="center"/>
          </w:tcPr>
          <w:p>
            <w:r>
              <w:t>7,720</w:t>
            </w:r>
          </w:p>
        </w:tc>
        <w:tc>
          <w:tcPr>
            <w:tcW w:type="dxa" w:w="1994"/>
            <w:vAlign w:val="center"/>
          </w:tcPr>
          <w:p>
            <w:r>
              <w:t>9,400</w:t>
            </w:r>
          </w:p>
        </w:tc>
      </w:tr>
      <w:tr>
        <w:tc>
          <w:tcPr>
            <w:tcW w:type="dxa" w:w="1994"/>
            <w:vAlign w:val="center"/>
          </w:tcPr>
          <w:p>
            <w:r>
              <w:t>EST</w:t>
            </w:r>
          </w:p>
        </w:tc>
        <w:tc>
          <w:tcPr>
            <w:tcW w:type="dxa" w:w="1994"/>
            <w:vAlign w:val="center"/>
          </w:tcPr>
          <w:p>
            <w:r>
              <w:t>Bord est circulable</w:t>
            </w:r>
          </w:p>
        </w:tc>
        <w:tc>
          <w:tcPr>
            <w:tcW w:type="dxa" w:w="1994"/>
            <w:vAlign w:val="center"/>
          </w:tcPr>
          <w:p>
            <w:r>
              <w:t>7,250</w:t>
            </w:r>
          </w:p>
        </w:tc>
        <w:tc>
          <w:tcPr>
            <w:tcW w:type="dxa" w:w="1994"/>
            <w:vAlign w:val="center"/>
          </w:tcPr>
          <w:p>
            <w:r>
              <w:t>8,070</w:t>
            </w:r>
          </w:p>
        </w:tc>
        <w:tc>
          <w:tcPr>
            <w:tcW w:type="dxa" w:w="1994"/>
            <w:vAlign w:val="center"/>
          </w:tcPr>
          <w:p>
            <w:r>
              <w:t>11,070</w:t>
            </w:r>
          </w:p>
        </w:tc>
      </w:tr>
    </w:tbl>
    <w:p>
      <w:pPr>
        <w:jc w:val="center"/>
      </w:pPr>
      <w:r>
        <w:drawing>
          <wp:inline xmlns:a="http://schemas.openxmlformats.org/drawingml/2006/main" xmlns:pic="http://schemas.openxmlformats.org/drawingml/2006/picture">
            <wp:extent cx="5760000" cy="2861154"/>
            <wp:docPr id="6" name="Picture 6"/>
            <wp:cNvGraphicFramePr>
              <a:graphicFrameLocks noChangeAspect="1"/>
            </wp:cNvGraphicFramePr>
            <a:graphic>
              <a:graphicData uri="http://schemas.openxmlformats.org/drawingml/2006/picture">
                <pic:pic>
                  <pic:nvPicPr>
                    <pic:cNvPr id="0" name="ZZ_coupe longit partielle zone M7.png"/>
                    <pic:cNvPicPr/>
                  </pic:nvPicPr>
                  <pic:blipFill>
                    <a:blip r:embed="rId14"/>
                    <a:stretch>
                      <a:fillRect/>
                    </a:stretch>
                  </pic:blipFill>
                  <pic:spPr>
                    <a:xfrm>
                      <a:off x="0" y="0"/>
                      <a:ext cx="5760000" cy="2861154"/>
                    </a:xfrm>
                    <a:prstGeom prst="rect"/>
                  </pic:spPr>
                </pic:pic>
              </a:graphicData>
            </a:graphic>
          </wp:inline>
        </w:drawing>
      </w:r>
    </w:p>
    <w:p>
      <w:pPr>
        <w:keepNext w:val="0"/>
        <w:jc w:val="center"/>
      </w:pPr>
      <w:r>
        <w:rPr>
          <w:i/>
        </w:rPr>
        <w:t>Figure 6 - Hauteurs sur les trois coupes.</w:t>
      </w:r>
    </w:p>
    <w:p>
      <w:pPr>
        <w:jc w:val="center"/>
      </w:pPr>
      <w:r>
        <w:drawing>
          <wp:inline xmlns:a="http://schemas.openxmlformats.org/drawingml/2006/main" xmlns:pic="http://schemas.openxmlformats.org/drawingml/2006/picture">
            <wp:extent cx="5760000" cy="2619480"/>
            <wp:docPr id="7" name="Picture 7"/>
            <wp:cNvGraphicFramePr>
              <a:graphicFrameLocks noChangeAspect="1"/>
            </wp:cNvGraphicFramePr>
            <a:graphic>
              <a:graphicData uri="http://schemas.openxmlformats.org/drawingml/2006/picture">
                <pic:pic>
                  <pic:nvPicPr>
                    <pic:cNvPr id="0" name="ZZ_vue en plan cotée zone M7.png"/>
                    <pic:cNvPicPr/>
                  </pic:nvPicPr>
                  <pic:blipFill>
                    <a:blip r:embed="rId15"/>
                    <a:stretch>
                      <a:fillRect/>
                    </a:stretch>
                  </pic:blipFill>
                  <pic:spPr>
                    <a:xfrm>
                      <a:off x="0" y="0"/>
                      <a:ext cx="5760000" cy="2619480"/>
                    </a:xfrm>
                    <a:prstGeom prst="rect"/>
                  </pic:spPr>
                </pic:pic>
              </a:graphicData>
            </a:graphic>
          </wp:inline>
        </w:drawing>
      </w:r>
    </w:p>
    <w:p>
      <w:pPr>
        <w:keepNext w:val="0"/>
        <w:jc w:val="center"/>
      </w:pPr>
      <w:r>
        <w:rPr>
          <w:i/>
        </w:rPr>
        <w:t>Figure 7 - Largeurs de la M7.</w:t>
      </w:r>
    </w:p>
    <w:p>
      <w:pPr>
        <w:jc w:val="center"/>
      </w:pPr>
      <w:r>
        <w:drawing>
          <wp:inline xmlns:a="http://schemas.openxmlformats.org/drawingml/2006/main" xmlns:pic="http://schemas.openxmlformats.org/drawingml/2006/picture">
            <wp:extent cx="5760000" cy="2791965"/>
            <wp:docPr id="8" name="Picture 8"/>
            <wp:cNvGraphicFramePr>
              <a:graphicFrameLocks noChangeAspect="1"/>
            </wp:cNvGraphicFramePr>
            <a:graphic>
              <a:graphicData uri="http://schemas.openxmlformats.org/drawingml/2006/picture">
                <pic:pic>
                  <pic:nvPicPr>
                    <pic:cNvPr id="0" name="ZZ_demie coupe tablier et approx intrados.png"/>
                    <pic:cNvPicPr/>
                  </pic:nvPicPr>
                  <pic:blipFill>
                    <a:blip r:embed="rId16"/>
                    <a:stretch>
                      <a:fillRect/>
                    </a:stretch>
                  </pic:blipFill>
                  <pic:spPr>
                    <a:xfrm>
                      <a:off x="0" y="0"/>
                      <a:ext cx="5760000" cy="2791965"/>
                    </a:xfrm>
                    <a:prstGeom prst="rect"/>
                  </pic:spPr>
                </pic:pic>
              </a:graphicData>
            </a:graphic>
          </wp:inline>
        </w:drawing>
      </w:r>
    </w:p>
    <w:p>
      <w:pPr>
        <w:keepNext w:val="0"/>
        <w:jc w:val="center"/>
      </w:pPr>
      <w:r>
        <w:rPr>
          <w:i/>
        </w:rPr>
        <w:t>Figure 8 - Demi-coupe et approximation de l'intrados par 2 segments de droite</w:t>
      </w:r>
    </w:p>
    <w:p>
      <w:r>
        <w:t>F1 correspond à la position ouest, F2 à la position centrale et F3 à la position est. Ces repères sont repris dans les tableaux et figures. Chaque position est associée à la coupe de référence la plus proche pour le contrôle de la distance tridimensionnelle.</w:t>
      </w:r>
    </w:p>
    <w:p>
      <w:pPr>
        <w:jc w:val="center"/>
      </w:pPr>
      <w:r>
        <w:drawing>
          <wp:inline xmlns:a="http://schemas.openxmlformats.org/drawingml/2006/main" xmlns:pic="http://schemas.openxmlformats.org/drawingml/2006/picture">
            <wp:extent cx="5760000" cy="3294202"/>
            <wp:docPr id="9" name="Picture 9"/>
            <wp:cNvGraphicFramePr>
              <a:graphicFrameLocks noChangeAspect="1"/>
            </wp:cNvGraphicFramePr>
            <a:graphic>
              <a:graphicData uri="http://schemas.openxmlformats.org/drawingml/2006/picture">
                <pic:pic>
                  <pic:nvPicPr>
                    <pic:cNvPr id="0" name="02_coupes.png"/>
                    <pic:cNvPicPr/>
                  </pic:nvPicPr>
                  <pic:blipFill>
                    <a:blip r:embed="rId17"/>
                    <a:stretch>
                      <a:fillRect/>
                    </a:stretch>
                  </pic:blipFill>
                  <pic:spPr>
                    <a:xfrm>
                      <a:off x="0" y="0"/>
                      <a:ext cx="5760000" cy="3294202"/>
                    </a:xfrm>
                    <a:prstGeom prst="rect"/>
                  </pic:spPr>
                </pic:pic>
              </a:graphicData>
            </a:graphic>
          </wp:inline>
        </w:drawing>
      </w:r>
    </w:p>
    <w:p>
      <w:pPr>
        <w:keepNext w:val="0"/>
        <w:jc w:val="center"/>
      </w:pPr>
      <w:r>
        <w:rPr>
          <w:i/>
        </w:rPr>
        <w:t>Figure 9 - Trois coupes géométriques de référence et positions F1, F2 et F3.</w:t>
      </w:r>
    </w:p>
    <w:p>
      <w:pPr>
        <w:pStyle w:val="Heading1"/>
      </w:pPr>
      <w:r>
        <w:t>5. Choix des paramètres et hypothèses</w:t>
      </w:r>
    </w:p>
    <w:p>
      <w:r>
        <w:t>Le véhicule est représenté par un poids lourd de 16,0 m de longueur, 2,50 m de largeur et 4,00 m de hauteur, immobilisé sous l'ouvrage. Trois longueurs de foyer, 10 m, 15 m et 20 m, sont paramétrées en vue d'une analyse de sensibilité. La durée maximale du calcul est de 120 min, avec lectures à 15, 30, 60, 90 et 120 min ; la phase de refroidissement est ignorée.</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b/>
              </w:rPr>
              <w:t>Paramètre et référence</w:t>
            </w:r>
          </w:p>
        </w:tc>
        <w:tc>
          <w:tcPr>
            <w:tcW w:type="dxa" w:w="4986"/>
            <w:shd w:fill="D9EAF7"/>
            <w:vAlign w:val="center"/>
          </w:tcPr>
          <w:p>
            <w:r>
              <w:rPr>
                <w:b/>
              </w:rPr>
              <w:t>Valeur retenue</w:t>
            </w:r>
          </w:p>
        </w:tc>
      </w:tr>
      <w:tr>
        <w:tc>
          <w:tcPr>
            <w:tcW w:type="dxa" w:w="4986"/>
            <w:vAlign w:val="center"/>
          </w:tcPr>
          <w:p>
            <w:r>
              <w:t>Dimensions du poids lourd (hypothèse géométrique V1.5_A)</w:t>
            </w:r>
          </w:p>
        </w:tc>
        <w:tc>
          <w:tcPr>
            <w:tcW w:type="dxa" w:w="4986"/>
            <w:vAlign w:val="center"/>
          </w:tcPr>
          <w:p>
            <w:r>
              <w:t>16.0 × 2.50 × 4.00 m</w:t>
            </w:r>
          </w:p>
        </w:tc>
      </w:tr>
      <w:tr>
        <w:tc>
          <w:tcPr>
            <w:tcW w:type="dxa" w:w="4986"/>
            <w:vAlign w:val="center"/>
          </w:tcPr>
          <w:p>
            <w:r>
              <w:t>Longueurs de foyer (analyse paramétrique)</w:t>
            </w:r>
          </w:p>
        </w:tc>
        <w:tc>
          <w:tcPr>
            <w:tcW w:type="dxa" w:w="4986"/>
            <w:vAlign w:val="center"/>
          </w:tcPr>
          <w:p>
            <w:r>
              <w:t>10 m ; 15 m ; 20 m</w:t>
            </w:r>
          </w:p>
        </w:tc>
      </w:tr>
      <w:tr>
        <w:tc>
          <w:tcPr>
            <w:tcW w:type="dxa" w:w="4986"/>
            <w:vAlign w:val="center"/>
          </w:tcPr>
          <w:p>
            <w:r>
              <w:t>Positions de feu (géométrie du projet)</w:t>
            </w:r>
          </w:p>
        </w:tc>
        <w:tc>
          <w:tcPr>
            <w:tcW w:type="dxa" w:w="4986"/>
            <w:vAlign w:val="center"/>
          </w:tcPr>
          <w:p>
            <w:r>
              <w:t>F1 ouest ; F2 centrale ; F3 est</w:t>
            </w:r>
          </w:p>
        </w:tc>
      </w:tr>
      <w:tr>
        <w:tc>
          <w:tcPr>
            <w:tcW w:type="dxa" w:w="4986"/>
            <w:vAlign w:val="center"/>
          </w:tcPr>
          <w:p>
            <w:r>
              <w:t>Durée du calcul (hypothèse d’étude)</w:t>
            </w:r>
          </w:p>
        </w:tc>
        <w:tc>
          <w:tcPr>
            <w:tcW w:type="dxa" w:w="4986"/>
            <w:vAlign w:val="center"/>
          </w:tcPr>
          <w:p>
            <w:r>
              <w:t>120 min</w:t>
            </w:r>
          </w:p>
        </w:tc>
      </w:tr>
      <w:tr>
        <w:tc>
          <w:tcPr>
            <w:tcW w:type="dxa" w:w="4986"/>
            <w:vAlign w:val="center"/>
          </w:tcPr>
          <w:p>
            <w:r>
              <w:t>Pas de temps Δt (NF EN 1993-1-2, § 4.2.5.1)</w:t>
            </w:r>
          </w:p>
        </w:tc>
        <w:tc>
          <w:tcPr>
            <w:tcW w:type="dxa" w:w="4986"/>
            <w:vAlign w:val="center"/>
          </w:tcPr>
          <w:p>
            <w:r>
              <w:t>5.0 s</w:t>
            </w:r>
          </w:p>
        </w:tc>
      </w:tr>
      <w:tr>
        <w:tc>
          <w:tcPr>
            <w:tcW w:type="dxa" w:w="4986"/>
            <w:vAlign w:val="center"/>
          </w:tcPr>
          <w:p>
            <w:r>
              <w:t>Facteur de configuration Φ (NF EN 1991-1-2, § 3.1)</w:t>
            </w:r>
          </w:p>
        </w:tc>
        <w:tc>
          <w:tcPr>
            <w:tcW w:type="dxa" w:w="4986"/>
            <w:vAlign w:val="center"/>
          </w:tcPr>
          <w:p>
            <w:r>
              <w:t>1.00</w:t>
            </w:r>
          </w:p>
        </w:tc>
      </w:tr>
      <w:tr>
        <w:tc>
          <w:tcPr>
            <w:tcW w:type="dxa" w:w="4986"/>
            <w:vAlign w:val="center"/>
          </w:tcPr>
          <w:p>
            <w:r>
              <w:t>Facteur d’ombre k_sh (NF EN 1993-1-2, § 4.2.5.1)</w:t>
            </w:r>
          </w:p>
        </w:tc>
        <w:tc>
          <w:tcPr>
            <w:tcW w:type="dxa" w:w="4986"/>
            <w:vAlign w:val="center"/>
          </w:tcPr>
          <w:p>
            <w:r>
              <w:t>1.00</w:t>
            </w:r>
          </w:p>
        </w:tc>
      </w:tr>
      <w:tr>
        <w:tc>
          <w:tcPr>
            <w:tcW w:type="dxa" w:w="4986"/>
            <w:vAlign w:val="center"/>
          </w:tcPr>
          <w:p>
            <w:r>
              <w:t>Coefficient convectif α_c (NF EN 1991-1-2, § 3.1)</w:t>
            </w:r>
          </w:p>
        </w:tc>
        <w:tc>
          <w:tcPr>
            <w:tcW w:type="dxa" w:w="4986"/>
            <w:vAlign w:val="center"/>
          </w:tcPr>
          <w:p>
            <w:r>
              <w:t>25.0 W/m²K</w:t>
            </w:r>
          </w:p>
        </w:tc>
      </w:tr>
      <w:tr>
        <w:tc>
          <w:tcPr>
            <w:tcW w:type="dxa" w:w="4986"/>
            <w:vAlign w:val="center"/>
          </w:tcPr>
          <w:p>
            <w:r>
              <w:t>Émissivité acier ε_m (NF EN 1993-1-2, § 4.2.5.1)</w:t>
            </w:r>
          </w:p>
        </w:tc>
        <w:tc>
          <w:tcPr>
            <w:tcW w:type="dxa" w:w="4986"/>
            <w:vAlign w:val="center"/>
          </w:tcPr>
          <w:p>
            <w:r>
              <w:t>0.70</w:t>
            </w:r>
          </w:p>
        </w:tc>
      </w:tr>
      <w:tr>
        <w:tc>
          <w:tcPr>
            <w:tcW w:type="dxa" w:w="4986"/>
            <w:vAlign w:val="center"/>
          </w:tcPr>
          <w:p>
            <w:r>
              <w:t>Émissivité du feu ε_f (NF EN 1993-1-2, § 4.2.5.1)</w:t>
            </w:r>
          </w:p>
        </w:tc>
        <w:tc>
          <w:tcPr>
            <w:tcW w:type="dxa" w:w="4986"/>
            <w:vAlign w:val="center"/>
          </w:tcPr>
          <w:p>
            <w:r>
              <w:t>1.00</w:t>
            </w:r>
          </w:p>
        </w:tc>
      </w:tr>
      <w:tr>
        <w:tc>
          <w:tcPr>
            <w:tcW w:type="dxa" w:w="4986"/>
            <w:vAlign w:val="center"/>
          </w:tcPr>
          <w:p>
            <w:r>
              <w:t>Masse volumique ρ_a (NF EN 1993-1-2, § 3.4.1)</w:t>
            </w:r>
          </w:p>
        </w:tc>
        <w:tc>
          <w:tcPr>
            <w:tcW w:type="dxa" w:w="4986"/>
            <w:vAlign w:val="center"/>
          </w:tcPr>
          <w:p>
            <w:r>
              <w:t>7850 kg/m³</w:t>
            </w:r>
          </w:p>
        </w:tc>
      </w:tr>
      <w:tr>
        <w:tc>
          <w:tcPr>
            <w:tcW w:type="dxa" w:w="4986"/>
            <w:vAlign w:val="center"/>
          </w:tcPr>
          <w:p>
            <w:r>
              <w:t>Chaleur spécifique c_a(θ_a) (NF EN 1993-1-2, § 3.4.1.2)</w:t>
            </w:r>
          </w:p>
        </w:tc>
        <w:tc>
          <w:tcPr>
            <w:tcW w:type="dxa" w:w="4986"/>
            <w:vAlign w:val="center"/>
          </w:tcPr>
          <w:p>
            <w:r>
              <w:t>Loi par morceaux mise à jour à chaque pas</w:t>
            </w:r>
          </w:p>
        </w:tc>
      </w:tr>
    </w:tbl>
    <w:p>
      <w:pPr>
        <w:pStyle w:val="Heading2"/>
      </w:pPr>
      <w:r>
        <w:t>5.1 Chaleur spécifique de l’acier</w:t>
      </w:r>
    </w:p>
    <w:p>
      <w:r>
        <w:t>La chaleur spécifique c_a n'est pas supposée constante. À chaque pas, le programme l'évalue à partir de la température d'acier θ_a,i au début du pas, en appliquant la loi par morceaux de la NF EN 1993-1-2, § 3.4.1.2 : domaine 20 à 600 °C, domaine 600 à 735 °C, domaine 735 à 900 °C, puis valeur constante au-delà de 900 °C. Cette mise à jour est intégrée avant le calcul de l'incrément de température du pas considéré.</w:t>
      </w:r>
    </w:p>
    <w:p>
      <w:pPr>
        <w:pStyle w:val="Heading2"/>
      </w:pPr>
      <w:r>
        <w:t>5.2 Facteur de configuration radiatif Φ</w:t>
      </w:r>
    </w:p>
    <w:p>
      <w:r>
        <w:t>Dans l'expression du flux radiatif, Φ représente la part du rayonnement émis par la source qui atteint la surface réceptrice. Son évaluation dépend de la taille de la source, de la distance entre source et récepteur, de leurs orientations relatives et de la visibilité de la source. Le cadre Eurocode prévoit la détermination de facteurs de forme à partir de la géométrie des flammes et des éléments exposés.</w:t>
      </w:r>
    </w:p>
    <w:p>
      <w:r>
        <w:t>La V1.5_A retient Φ = 1,0. Ce choix est volontairement enveloppe : aucune réduction n'est admise tant qu'un calcul géométrique documenté n'a pas été réalisé. Au stade actuel, retenir Φ &lt; 1 serait insuffisamment justifié. En outre, le poids lourd de 16 m est plus long que la largeur courante de 7,40 m du tablier et le foyer est situé à faible distance verticale de l'ouvrage ; ces dimensions ne garantissent pas, à elles seules, une réduction significative de l'exposition des éléments proches. Cette dernière appréciation constitue une hypothèse prudente de modélisation et non une valeur normative. Une réduction de Φ pourra être examinée ultérieurement à partir d'une représentation géométrique de la flamme, des masquages et des surfaces réceptrices.</w:t>
      </w:r>
    </w:p>
    <w:p>
      <w:pPr>
        <w:pStyle w:val="Heading1"/>
      </w:pPr>
      <w:r>
        <w:t>6. Résultats de synthèse</w:t>
      </w:r>
    </w:p>
    <w:tbl>
      <w:tblPr>
        <w:tblStyle w:val="TableGrid"/>
        <w:tblW w:type="auto" w:w="0"/>
        <w:jc w:val="center"/>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fill="D9EAF7"/>
            <w:vAlign w:val="center"/>
          </w:tcPr>
          <w:p>
            <w:r>
              <w:rPr>
                <w:b/>
              </w:rPr>
              <w:t>Feu</w:t>
            </w:r>
          </w:p>
        </w:tc>
        <w:tc>
          <w:tcPr>
            <w:tcW w:type="dxa" w:w="1108"/>
            <w:shd w:fill="D9EAF7"/>
            <w:vAlign w:val="center"/>
          </w:tcPr>
          <w:p>
            <w:r>
              <w:rPr>
                <w:b/>
              </w:rPr>
              <w:t>Position</w:t>
            </w:r>
          </w:p>
        </w:tc>
        <w:tc>
          <w:tcPr>
            <w:tcW w:type="dxa" w:w="1108"/>
            <w:shd w:fill="D9EAF7"/>
            <w:vAlign w:val="center"/>
          </w:tcPr>
          <w:p>
            <w:r>
              <w:rPr>
                <w:b/>
              </w:rPr>
              <w:t>Coupe</w:t>
            </w:r>
          </w:p>
        </w:tc>
        <w:tc>
          <w:tcPr>
            <w:tcW w:type="dxa" w:w="1108"/>
            <w:shd w:fill="D9EAF7"/>
            <w:vAlign w:val="center"/>
          </w:tcPr>
          <w:p>
            <w:r>
              <w:rPr>
                <w:b/>
              </w:rPr>
              <w:t>Élément</w:t>
            </w:r>
          </w:p>
        </w:tc>
        <w:tc>
          <w:tcPr>
            <w:tcW w:type="dxa" w:w="1108"/>
            <w:shd w:fill="D9EAF7"/>
            <w:vAlign w:val="center"/>
          </w:tcPr>
          <w:p>
            <w:r>
              <w:rPr>
                <w:b/>
              </w:rPr>
              <w:t>T à 15 min (°C)</w:t>
            </w:r>
          </w:p>
        </w:tc>
        <w:tc>
          <w:tcPr>
            <w:tcW w:type="dxa" w:w="1108"/>
            <w:shd w:fill="D9EAF7"/>
            <w:vAlign w:val="center"/>
          </w:tcPr>
          <w:p>
            <w:r>
              <w:rPr>
                <w:b/>
              </w:rPr>
              <w:t>T à 30 min (°C)</w:t>
            </w:r>
          </w:p>
        </w:tc>
        <w:tc>
          <w:tcPr>
            <w:tcW w:type="dxa" w:w="1108"/>
            <w:shd w:fill="D9EAF7"/>
            <w:vAlign w:val="center"/>
          </w:tcPr>
          <w:p>
            <w:r>
              <w:rPr>
                <w:b/>
              </w:rPr>
              <w:t>T à 60 min (°C)</w:t>
            </w:r>
          </w:p>
        </w:tc>
        <w:tc>
          <w:tcPr>
            <w:tcW w:type="dxa" w:w="1108"/>
            <w:shd w:fill="D9EAF7"/>
            <w:vAlign w:val="center"/>
          </w:tcPr>
          <w:p>
            <w:r>
              <w:rPr>
                <w:b/>
              </w:rPr>
              <w:t>T à 90 min (°C)</w:t>
            </w:r>
          </w:p>
        </w:tc>
        <w:tc>
          <w:tcPr>
            <w:tcW w:type="dxa" w:w="1108"/>
            <w:shd w:fill="D9EAF7"/>
            <w:vAlign w:val="center"/>
          </w:tcPr>
          <w:p>
            <w:r>
              <w:rPr>
                <w:b/>
              </w:rPr>
              <w:t>T à 120 min (°C)</w:t>
            </w:r>
          </w:p>
        </w:tc>
      </w:tr>
      <w:tr>
        <w:tc>
          <w:tcPr>
            <w:tcW w:type="dxa" w:w="1108"/>
            <w:vAlign w:val="center"/>
          </w:tcPr>
          <w:p>
            <w:r>
              <w:t>ISO 834</w:t>
            </w:r>
          </w:p>
        </w:tc>
        <w:tc>
          <w:tcPr>
            <w:tcW w:type="dxa" w:w="1108"/>
            <w:vAlign w:val="center"/>
          </w:tcPr>
          <w:p>
            <w:r>
              <w:t>F1</w:t>
            </w:r>
          </w:p>
        </w:tc>
        <w:tc>
          <w:tcPr>
            <w:tcW w:type="dxa" w:w="1108"/>
            <w:vAlign w:val="center"/>
          </w:tcPr>
          <w:p>
            <w:r>
              <w:t>OUEST</w:t>
            </w:r>
          </w:p>
        </w:tc>
        <w:tc>
          <w:tcPr>
            <w:tcW w:type="dxa" w:w="1108"/>
            <w:vAlign w:val="center"/>
          </w:tcPr>
          <w:p>
            <w:r>
              <w:t>Suspente secondaire</w:t>
            </w:r>
          </w:p>
        </w:tc>
        <w:tc>
          <w:tcPr>
            <w:tcW w:type="dxa" w:w="1108"/>
            <w:vAlign w:val="center"/>
          </w:tcPr>
          <w:p>
            <w:r>
              <w:t>555,3</w:t>
            </w:r>
          </w:p>
        </w:tc>
        <w:tc>
          <w:tcPr>
            <w:tcW w:type="dxa" w:w="1108"/>
            <w:vAlign w:val="center"/>
          </w:tcPr>
          <w:p>
            <w:r>
              <w:t>761,6</w:t>
            </w:r>
          </w:p>
        </w:tc>
        <w:tc>
          <w:tcPr>
            <w:tcW w:type="dxa" w:w="1108"/>
            <w:vAlign w:val="center"/>
          </w:tcPr>
          <w:p>
            <w:r>
              <w:t>937,8</w:t>
            </w:r>
          </w:p>
        </w:tc>
        <w:tc>
          <w:tcPr>
            <w:tcW w:type="dxa" w:w="1108"/>
            <w:vAlign w:val="center"/>
          </w:tcPr>
          <w:p>
            <w:r>
              <w:t>1001,8</w:t>
            </w:r>
          </w:p>
        </w:tc>
        <w:tc>
          <w:tcPr>
            <w:tcW w:type="dxa" w:w="1108"/>
            <w:vAlign w:val="center"/>
          </w:tcPr>
          <w:p>
            <w:r>
              <w:t>1046,2</w:t>
            </w:r>
          </w:p>
        </w:tc>
      </w:tr>
      <w:tr>
        <w:tc>
          <w:tcPr>
            <w:tcW w:type="dxa" w:w="1108"/>
            <w:vAlign w:val="center"/>
          </w:tcPr>
          <w:p>
            <w:r>
              <w:t>ISO 834</w:t>
            </w:r>
          </w:p>
        </w:tc>
        <w:tc>
          <w:tcPr>
            <w:tcW w:type="dxa" w:w="1108"/>
            <w:vAlign w:val="center"/>
          </w:tcPr>
          <w:p>
            <w:r>
              <w:t>F1</w:t>
            </w:r>
          </w:p>
        </w:tc>
        <w:tc>
          <w:tcPr>
            <w:tcW w:type="dxa" w:w="1108"/>
            <w:vAlign w:val="center"/>
          </w:tcPr>
          <w:p>
            <w:r>
              <w:t>OUEST</w:t>
            </w:r>
          </w:p>
        </w:tc>
        <w:tc>
          <w:tcPr>
            <w:tcW w:type="dxa" w:w="1108"/>
            <w:vAlign w:val="center"/>
          </w:tcPr>
          <w:p>
            <w:r>
              <w:t>Câble principal clos</w:t>
            </w:r>
          </w:p>
        </w:tc>
        <w:tc>
          <w:tcPr>
            <w:tcW w:type="dxa" w:w="1108"/>
            <w:vAlign w:val="center"/>
          </w:tcPr>
          <w:p>
            <w:r>
              <w:t>268,3</w:t>
            </w:r>
          </w:p>
        </w:tc>
        <w:tc>
          <w:tcPr>
            <w:tcW w:type="dxa" w:w="1108"/>
            <w:vAlign w:val="center"/>
          </w:tcPr>
          <w:p>
            <w:r>
              <w:t>558,2</w:t>
            </w:r>
          </w:p>
        </w:tc>
        <w:tc>
          <w:tcPr>
            <w:tcW w:type="dxa" w:w="1108"/>
            <w:vAlign w:val="center"/>
          </w:tcPr>
          <w:p>
            <w:r>
              <w:t>838,4</w:t>
            </w:r>
          </w:p>
        </w:tc>
        <w:tc>
          <w:tcPr>
            <w:tcW w:type="dxa" w:w="1108"/>
            <w:vAlign w:val="center"/>
          </w:tcPr>
          <w:p>
            <w:r>
              <w:t>987,8</w:t>
            </w:r>
          </w:p>
        </w:tc>
        <w:tc>
          <w:tcPr>
            <w:tcW w:type="dxa" w:w="1108"/>
            <w:vAlign w:val="center"/>
          </w:tcPr>
          <w:p>
            <w:r>
              <w:t>1039,2</w:t>
            </w:r>
          </w:p>
        </w:tc>
      </w:tr>
      <w:tr>
        <w:tc>
          <w:tcPr>
            <w:tcW w:type="dxa" w:w="1108"/>
            <w:vAlign w:val="center"/>
          </w:tcPr>
          <w:p>
            <w:r>
              <w:t>ISO 834</w:t>
            </w:r>
          </w:p>
        </w:tc>
        <w:tc>
          <w:tcPr>
            <w:tcW w:type="dxa" w:w="1108"/>
            <w:vAlign w:val="center"/>
          </w:tcPr>
          <w:p>
            <w:r>
              <w:t>F2</w:t>
            </w:r>
          </w:p>
        </w:tc>
        <w:tc>
          <w:tcPr>
            <w:tcW w:type="dxa" w:w="1108"/>
            <w:vAlign w:val="center"/>
          </w:tcPr>
          <w:p>
            <w:r>
              <w:t>AXE</w:t>
            </w:r>
          </w:p>
        </w:tc>
        <w:tc>
          <w:tcPr>
            <w:tcW w:type="dxa" w:w="1108"/>
            <w:vAlign w:val="center"/>
          </w:tcPr>
          <w:p>
            <w:r>
              <w:t>Suspente secondaire</w:t>
            </w:r>
          </w:p>
        </w:tc>
        <w:tc>
          <w:tcPr>
            <w:tcW w:type="dxa" w:w="1108"/>
            <w:vAlign w:val="center"/>
          </w:tcPr>
          <w:p>
            <w:r>
              <w:t>555,3</w:t>
            </w:r>
          </w:p>
        </w:tc>
        <w:tc>
          <w:tcPr>
            <w:tcW w:type="dxa" w:w="1108"/>
            <w:vAlign w:val="center"/>
          </w:tcPr>
          <w:p>
            <w:r>
              <w:t>761,6</w:t>
            </w:r>
          </w:p>
        </w:tc>
        <w:tc>
          <w:tcPr>
            <w:tcW w:type="dxa" w:w="1108"/>
            <w:vAlign w:val="center"/>
          </w:tcPr>
          <w:p>
            <w:r>
              <w:t>937,8</w:t>
            </w:r>
          </w:p>
        </w:tc>
        <w:tc>
          <w:tcPr>
            <w:tcW w:type="dxa" w:w="1108"/>
            <w:vAlign w:val="center"/>
          </w:tcPr>
          <w:p>
            <w:r>
              <w:t>1001,8</w:t>
            </w:r>
          </w:p>
        </w:tc>
        <w:tc>
          <w:tcPr>
            <w:tcW w:type="dxa" w:w="1108"/>
            <w:vAlign w:val="center"/>
          </w:tcPr>
          <w:p>
            <w:r>
              <w:t>1046,2</w:t>
            </w:r>
          </w:p>
        </w:tc>
      </w:tr>
      <w:tr>
        <w:tc>
          <w:tcPr>
            <w:tcW w:type="dxa" w:w="1108"/>
            <w:vAlign w:val="center"/>
          </w:tcPr>
          <w:p>
            <w:r>
              <w:t>ISO 834</w:t>
            </w:r>
          </w:p>
        </w:tc>
        <w:tc>
          <w:tcPr>
            <w:tcW w:type="dxa" w:w="1108"/>
            <w:vAlign w:val="center"/>
          </w:tcPr>
          <w:p>
            <w:r>
              <w:t>F2</w:t>
            </w:r>
          </w:p>
        </w:tc>
        <w:tc>
          <w:tcPr>
            <w:tcW w:type="dxa" w:w="1108"/>
            <w:vAlign w:val="center"/>
          </w:tcPr>
          <w:p>
            <w:r>
              <w:t>AXE</w:t>
            </w:r>
          </w:p>
        </w:tc>
        <w:tc>
          <w:tcPr>
            <w:tcW w:type="dxa" w:w="1108"/>
            <w:vAlign w:val="center"/>
          </w:tcPr>
          <w:p>
            <w:r>
              <w:t>Câble principal clos</w:t>
            </w:r>
          </w:p>
        </w:tc>
        <w:tc>
          <w:tcPr>
            <w:tcW w:type="dxa" w:w="1108"/>
            <w:vAlign w:val="center"/>
          </w:tcPr>
          <w:p>
            <w:r>
              <w:t>268,3</w:t>
            </w:r>
          </w:p>
        </w:tc>
        <w:tc>
          <w:tcPr>
            <w:tcW w:type="dxa" w:w="1108"/>
            <w:vAlign w:val="center"/>
          </w:tcPr>
          <w:p>
            <w:r>
              <w:t>558,2</w:t>
            </w:r>
          </w:p>
        </w:tc>
        <w:tc>
          <w:tcPr>
            <w:tcW w:type="dxa" w:w="1108"/>
            <w:vAlign w:val="center"/>
          </w:tcPr>
          <w:p>
            <w:r>
              <w:t>838,4</w:t>
            </w:r>
          </w:p>
        </w:tc>
        <w:tc>
          <w:tcPr>
            <w:tcW w:type="dxa" w:w="1108"/>
            <w:vAlign w:val="center"/>
          </w:tcPr>
          <w:p>
            <w:r>
              <w:t>987,8</w:t>
            </w:r>
          </w:p>
        </w:tc>
        <w:tc>
          <w:tcPr>
            <w:tcW w:type="dxa" w:w="1108"/>
            <w:vAlign w:val="center"/>
          </w:tcPr>
          <w:p>
            <w:r>
              <w:t>1039,2</w:t>
            </w:r>
          </w:p>
        </w:tc>
      </w:tr>
      <w:tr>
        <w:tc>
          <w:tcPr>
            <w:tcW w:type="dxa" w:w="1108"/>
            <w:vAlign w:val="center"/>
          </w:tcPr>
          <w:p>
            <w:r>
              <w:t>ISO 834</w:t>
            </w:r>
          </w:p>
        </w:tc>
        <w:tc>
          <w:tcPr>
            <w:tcW w:type="dxa" w:w="1108"/>
            <w:vAlign w:val="center"/>
          </w:tcPr>
          <w:p>
            <w:r>
              <w:t>F3</w:t>
            </w:r>
          </w:p>
        </w:tc>
        <w:tc>
          <w:tcPr>
            <w:tcW w:type="dxa" w:w="1108"/>
            <w:vAlign w:val="center"/>
          </w:tcPr>
          <w:p>
            <w:r>
              <w:t>EST</w:t>
            </w:r>
          </w:p>
        </w:tc>
        <w:tc>
          <w:tcPr>
            <w:tcW w:type="dxa" w:w="1108"/>
            <w:vAlign w:val="center"/>
          </w:tcPr>
          <w:p>
            <w:r>
              <w:t>Suspente secondaire</w:t>
            </w:r>
          </w:p>
        </w:tc>
        <w:tc>
          <w:tcPr>
            <w:tcW w:type="dxa" w:w="1108"/>
            <w:vAlign w:val="center"/>
          </w:tcPr>
          <w:p>
            <w:r>
              <w:t>555,3</w:t>
            </w:r>
          </w:p>
        </w:tc>
        <w:tc>
          <w:tcPr>
            <w:tcW w:type="dxa" w:w="1108"/>
            <w:vAlign w:val="center"/>
          </w:tcPr>
          <w:p>
            <w:r>
              <w:t>761,6</w:t>
            </w:r>
          </w:p>
        </w:tc>
        <w:tc>
          <w:tcPr>
            <w:tcW w:type="dxa" w:w="1108"/>
            <w:vAlign w:val="center"/>
          </w:tcPr>
          <w:p>
            <w:r>
              <w:t>937,8</w:t>
            </w:r>
          </w:p>
        </w:tc>
        <w:tc>
          <w:tcPr>
            <w:tcW w:type="dxa" w:w="1108"/>
            <w:vAlign w:val="center"/>
          </w:tcPr>
          <w:p>
            <w:r>
              <w:t>1001,8</w:t>
            </w:r>
          </w:p>
        </w:tc>
        <w:tc>
          <w:tcPr>
            <w:tcW w:type="dxa" w:w="1108"/>
            <w:vAlign w:val="center"/>
          </w:tcPr>
          <w:p>
            <w:r>
              <w:t>1046,2</w:t>
            </w:r>
          </w:p>
        </w:tc>
      </w:tr>
      <w:tr>
        <w:tc>
          <w:tcPr>
            <w:tcW w:type="dxa" w:w="1108"/>
            <w:vAlign w:val="center"/>
          </w:tcPr>
          <w:p>
            <w:r>
              <w:t>ISO 834</w:t>
            </w:r>
          </w:p>
        </w:tc>
        <w:tc>
          <w:tcPr>
            <w:tcW w:type="dxa" w:w="1108"/>
            <w:vAlign w:val="center"/>
          </w:tcPr>
          <w:p>
            <w:r>
              <w:t>F3</w:t>
            </w:r>
          </w:p>
        </w:tc>
        <w:tc>
          <w:tcPr>
            <w:tcW w:type="dxa" w:w="1108"/>
            <w:vAlign w:val="center"/>
          </w:tcPr>
          <w:p>
            <w:r>
              <w:t>EST</w:t>
            </w:r>
          </w:p>
        </w:tc>
        <w:tc>
          <w:tcPr>
            <w:tcW w:type="dxa" w:w="1108"/>
            <w:vAlign w:val="center"/>
          </w:tcPr>
          <w:p>
            <w:r>
              <w:t>Câble principal clos</w:t>
            </w:r>
          </w:p>
        </w:tc>
        <w:tc>
          <w:tcPr>
            <w:tcW w:type="dxa" w:w="1108"/>
            <w:vAlign w:val="center"/>
          </w:tcPr>
          <w:p>
            <w:r>
              <w:t>268,3</w:t>
            </w:r>
          </w:p>
        </w:tc>
        <w:tc>
          <w:tcPr>
            <w:tcW w:type="dxa" w:w="1108"/>
            <w:vAlign w:val="center"/>
          </w:tcPr>
          <w:p>
            <w:r>
              <w:t>558,2</w:t>
            </w:r>
          </w:p>
        </w:tc>
        <w:tc>
          <w:tcPr>
            <w:tcW w:type="dxa" w:w="1108"/>
            <w:vAlign w:val="center"/>
          </w:tcPr>
          <w:p>
            <w:r>
              <w:t>838,4</w:t>
            </w:r>
          </w:p>
        </w:tc>
        <w:tc>
          <w:tcPr>
            <w:tcW w:type="dxa" w:w="1108"/>
            <w:vAlign w:val="center"/>
          </w:tcPr>
          <w:p>
            <w:r>
              <w:t>987,8</w:t>
            </w:r>
          </w:p>
        </w:tc>
        <w:tc>
          <w:tcPr>
            <w:tcW w:type="dxa" w:w="1108"/>
            <w:vAlign w:val="center"/>
          </w:tcPr>
          <w:p>
            <w:r>
              <w:t>1039,2</w:t>
            </w:r>
          </w:p>
        </w:tc>
      </w:tr>
      <w:tr>
        <w:tc>
          <w:tcPr>
            <w:tcW w:type="dxa" w:w="1108"/>
            <w:vAlign w:val="center"/>
          </w:tcPr>
          <w:p>
            <w:r>
              <w:t>Feu extérieur</w:t>
            </w:r>
          </w:p>
        </w:tc>
        <w:tc>
          <w:tcPr>
            <w:tcW w:type="dxa" w:w="1108"/>
            <w:vAlign w:val="center"/>
          </w:tcPr>
          <w:p>
            <w:r>
              <w:t>F1</w:t>
            </w:r>
          </w:p>
        </w:tc>
        <w:tc>
          <w:tcPr>
            <w:tcW w:type="dxa" w:w="1108"/>
            <w:vAlign w:val="center"/>
          </w:tcPr>
          <w:p>
            <w:r>
              <w:t>OUEST</w:t>
            </w:r>
          </w:p>
        </w:tc>
        <w:tc>
          <w:tcPr>
            <w:tcW w:type="dxa" w:w="1108"/>
            <w:vAlign w:val="center"/>
          </w:tcPr>
          <w:p>
            <w:r>
              <w:t>Suspente secondaire</w:t>
            </w:r>
          </w:p>
        </w:tc>
        <w:tc>
          <w:tcPr>
            <w:tcW w:type="dxa" w:w="1108"/>
            <w:vAlign w:val="center"/>
          </w:tcPr>
          <w:p>
            <w:r>
              <w:t>527,0</w:t>
            </w:r>
          </w:p>
        </w:tc>
        <w:tc>
          <w:tcPr>
            <w:tcW w:type="dxa" w:w="1108"/>
            <w:vAlign w:val="center"/>
          </w:tcPr>
          <w:p>
            <w:r>
              <w:t>661,1</w:t>
            </w:r>
          </w:p>
        </w:tc>
        <w:tc>
          <w:tcPr>
            <w:tcW w:type="dxa" w:w="1108"/>
            <w:vAlign w:val="center"/>
          </w:tcPr>
          <w:p>
            <w:r>
              <w:t>679,7</w:t>
            </w:r>
          </w:p>
        </w:tc>
        <w:tc>
          <w:tcPr>
            <w:tcW w:type="dxa" w:w="1108"/>
            <w:vAlign w:val="center"/>
          </w:tcPr>
          <w:p>
            <w:r>
              <w:t>680,0</w:t>
            </w:r>
          </w:p>
        </w:tc>
        <w:tc>
          <w:tcPr>
            <w:tcW w:type="dxa" w:w="1108"/>
            <w:vAlign w:val="center"/>
          </w:tcPr>
          <w:p>
            <w:r>
              <w:t>680,0</w:t>
            </w:r>
          </w:p>
        </w:tc>
      </w:tr>
      <w:tr>
        <w:tc>
          <w:tcPr>
            <w:tcW w:type="dxa" w:w="1108"/>
            <w:vAlign w:val="center"/>
          </w:tcPr>
          <w:p>
            <w:r>
              <w:t>Feu extérieur</w:t>
            </w:r>
          </w:p>
        </w:tc>
        <w:tc>
          <w:tcPr>
            <w:tcW w:type="dxa" w:w="1108"/>
            <w:vAlign w:val="center"/>
          </w:tcPr>
          <w:p>
            <w:r>
              <w:t>F1</w:t>
            </w:r>
          </w:p>
        </w:tc>
        <w:tc>
          <w:tcPr>
            <w:tcW w:type="dxa" w:w="1108"/>
            <w:vAlign w:val="center"/>
          </w:tcPr>
          <w:p>
            <w:r>
              <w:t>OUEST</w:t>
            </w:r>
          </w:p>
        </w:tc>
        <w:tc>
          <w:tcPr>
            <w:tcW w:type="dxa" w:w="1108"/>
            <w:vAlign w:val="center"/>
          </w:tcPr>
          <w:p>
            <w:r>
              <w:t>Câble principal clos</w:t>
            </w:r>
          </w:p>
        </w:tc>
        <w:tc>
          <w:tcPr>
            <w:tcW w:type="dxa" w:w="1108"/>
            <w:vAlign w:val="center"/>
          </w:tcPr>
          <w:p>
            <w:r>
              <w:t>255,3</w:t>
            </w:r>
          </w:p>
        </w:tc>
        <w:tc>
          <w:tcPr>
            <w:tcW w:type="dxa" w:w="1108"/>
            <w:vAlign w:val="center"/>
          </w:tcPr>
          <w:p>
            <w:r>
              <w:t>454,7</w:t>
            </w:r>
          </w:p>
        </w:tc>
        <w:tc>
          <w:tcPr>
            <w:tcW w:type="dxa" w:w="1108"/>
            <w:vAlign w:val="center"/>
          </w:tcPr>
          <w:p>
            <w:r>
              <w:t>621,1</w:t>
            </w:r>
          </w:p>
        </w:tc>
        <w:tc>
          <w:tcPr>
            <w:tcW w:type="dxa" w:w="1108"/>
            <w:vAlign w:val="center"/>
          </w:tcPr>
          <w:p>
            <w:r>
              <w:t>664,5</w:t>
            </w:r>
          </w:p>
        </w:tc>
        <w:tc>
          <w:tcPr>
            <w:tcW w:type="dxa" w:w="1108"/>
            <w:vAlign w:val="center"/>
          </w:tcPr>
          <w:p>
            <w:r>
              <w:t>675,8</w:t>
            </w:r>
          </w:p>
        </w:tc>
      </w:tr>
      <w:tr>
        <w:tc>
          <w:tcPr>
            <w:tcW w:type="dxa" w:w="1108"/>
            <w:vAlign w:val="center"/>
          </w:tcPr>
          <w:p>
            <w:r>
              <w:t>Feu extérieur</w:t>
            </w:r>
          </w:p>
        </w:tc>
        <w:tc>
          <w:tcPr>
            <w:tcW w:type="dxa" w:w="1108"/>
            <w:vAlign w:val="center"/>
          </w:tcPr>
          <w:p>
            <w:r>
              <w:t>F2</w:t>
            </w:r>
          </w:p>
        </w:tc>
        <w:tc>
          <w:tcPr>
            <w:tcW w:type="dxa" w:w="1108"/>
            <w:vAlign w:val="center"/>
          </w:tcPr>
          <w:p>
            <w:r>
              <w:t>AXE</w:t>
            </w:r>
          </w:p>
        </w:tc>
        <w:tc>
          <w:tcPr>
            <w:tcW w:type="dxa" w:w="1108"/>
            <w:vAlign w:val="center"/>
          </w:tcPr>
          <w:p>
            <w:r>
              <w:t>Suspente secondaire</w:t>
            </w:r>
          </w:p>
        </w:tc>
        <w:tc>
          <w:tcPr>
            <w:tcW w:type="dxa" w:w="1108"/>
            <w:vAlign w:val="center"/>
          </w:tcPr>
          <w:p>
            <w:r>
              <w:t>527,0</w:t>
            </w:r>
          </w:p>
        </w:tc>
        <w:tc>
          <w:tcPr>
            <w:tcW w:type="dxa" w:w="1108"/>
            <w:vAlign w:val="center"/>
          </w:tcPr>
          <w:p>
            <w:r>
              <w:t>661,1</w:t>
            </w:r>
          </w:p>
        </w:tc>
        <w:tc>
          <w:tcPr>
            <w:tcW w:type="dxa" w:w="1108"/>
            <w:vAlign w:val="center"/>
          </w:tcPr>
          <w:p>
            <w:r>
              <w:t>679,7</w:t>
            </w:r>
          </w:p>
        </w:tc>
        <w:tc>
          <w:tcPr>
            <w:tcW w:type="dxa" w:w="1108"/>
            <w:vAlign w:val="center"/>
          </w:tcPr>
          <w:p>
            <w:r>
              <w:t>680,0</w:t>
            </w:r>
          </w:p>
        </w:tc>
        <w:tc>
          <w:tcPr>
            <w:tcW w:type="dxa" w:w="1108"/>
            <w:vAlign w:val="center"/>
          </w:tcPr>
          <w:p>
            <w:r>
              <w:t>680,0</w:t>
            </w:r>
          </w:p>
        </w:tc>
      </w:tr>
      <w:tr>
        <w:tc>
          <w:tcPr>
            <w:tcW w:type="dxa" w:w="1108"/>
            <w:vAlign w:val="center"/>
          </w:tcPr>
          <w:p>
            <w:r>
              <w:t>Feu extérieur</w:t>
            </w:r>
          </w:p>
        </w:tc>
        <w:tc>
          <w:tcPr>
            <w:tcW w:type="dxa" w:w="1108"/>
            <w:vAlign w:val="center"/>
          </w:tcPr>
          <w:p>
            <w:r>
              <w:t>F2</w:t>
            </w:r>
          </w:p>
        </w:tc>
        <w:tc>
          <w:tcPr>
            <w:tcW w:type="dxa" w:w="1108"/>
            <w:vAlign w:val="center"/>
          </w:tcPr>
          <w:p>
            <w:r>
              <w:t>AXE</w:t>
            </w:r>
          </w:p>
        </w:tc>
        <w:tc>
          <w:tcPr>
            <w:tcW w:type="dxa" w:w="1108"/>
            <w:vAlign w:val="center"/>
          </w:tcPr>
          <w:p>
            <w:r>
              <w:t>Câble principal clos</w:t>
            </w:r>
          </w:p>
        </w:tc>
        <w:tc>
          <w:tcPr>
            <w:tcW w:type="dxa" w:w="1108"/>
            <w:vAlign w:val="center"/>
          </w:tcPr>
          <w:p>
            <w:r>
              <w:t>255,3</w:t>
            </w:r>
          </w:p>
        </w:tc>
        <w:tc>
          <w:tcPr>
            <w:tcW w:type="dxa" w:w="1108"/>
            <w:vAlign w:val="center"/>
          </w:tcPr>
          <w:p>
            <w:r>
              <w:t>454,7</w:t>
            </w:r>
          </w:p>
        </w:tc>
        <w:tc>
          <w:tcPr>
            <w:tcW w:type="dxa" w:w="1108"/>
            <w:vAlign w:val="center"/>
          </w:tcPr>
          <w:p>
            <w:r>
              <w:t>621,1</w:t>
            </w:r>
          </w:p>
        </w:tc>
        <w:tc>
          <w:tcPr>
            <w:tcW w:type="dxa" w:w="1108"/>
            <w:vAlign w:val="center"/>
          </w:tcPr>
          <w:p>
            <w:r>
              <w:t>664,5</w:t>
            </w:r>
          </w:p>
        </w:tc>
        <w:tc>
          <w:tcPr>
            <w:tcW w:type="dxa" w:w="1108"/>
            <w:vAlign w:val="center"/>
          </w:tcPr>
          <w:p>
            <w:r>
              <w:t>675,8</w:t>
            </w:r>
          </w:p>
        </w:tc>
      </w:tr>
      <w:tr>
        <w:tc>
          <w:tcPr>
            <w:tcW w:type="dxa" w:w="1108"/>
            <w:vAlign w:val="center"/>
          </w:tcPr>
          <w:p>
            <w:r>
              <w:t>Feu extérieur</w:t>
            </w:r>
          </w:p>
        </w:tc>
        <w:tc>
          <w:tcPr>
            <w:tcW w:type="dxa" w:w="1108"/>
            <w:vAlign w:val="center"/>
          </w:tcPr>
          <w:p>
            <w:r>
              <w:t>F3</w:t>
            </w:r>
          </w:p>
        </w:tc>
        <w:tc>
          <w:tcPr>
            <w:tcW w:type="dxa" w:w="1108"/>
            <w:vAlign w:val="center"/>
          </w:tcPr>
          <w:p>
            <w:r>
              <w:t>EST</w:t>
            </w:r>
          </w:p>
        </w:tc>
        <w:tc>
          <w:tcPr>
            <w:tcW w:type="dxa" w:w="1108"/>
            <w:vAlign w:val="center"/>
          </w:tcPr>
          <w:p>
            <w:r>
              <w:t>Suspente secondaire</w:t>
            </w:r>
          </w:p>
        </w:tc>
        <w:tc>
          <w:tcPr>
            <w:tcW w:type="dxa" w:w="1108"/>
            <w:vAlign w:val="center"/>
          </w:tcPr>
          <w:p>
            <w:r>
              <w:t>527,0</w:t>
            </w:r>
          </w:p>
        </w:tc>
        <w:tc>
          <w:tcPr>
            <w:tcW w:type="dxa" w:w="1108"/>
            <w:vAlign w:val="center"/>
          </w:tcPr>
          <w:p>
            <w:r>
              <w:t>661,1</w:t>
            </w:r>
          </w:p>
        </w:tc>
        <w:tc>
          <w:tcPr>
            <w:tcW w:type="dxa" w:w="1108"/>
            <w:vAlign w:val="center"/>
          </w:tcPr>
          <w:p>
            <w:r>
              <w:t>679,7</w:t>
            </w:r>
          </w:p>
        </w:tc>
        <w:tc>
          <w:tcPr>
            <w:tcW w:type="dxa" w:w="1108"/>
            <w:vAlign w:val="center"/>
          </w:tcPr>
          <w:p>
            <w:r>
              <w:t>680,0</w:t>
            </w:r>
          </w:p>
        </w:tc>
        <w:tc>
          <w:tcPr>
            <w:tcW w:type="dxa" w:w="1108"/>
            <w:vAlign w:val="center"/>
          </w:tcPr>
          <w:p>
            <w:r>
              <w:t>680,0</w:t>
            </w:r>
          </w:p>
        </w:tc>
      </w:tr>
      <w:tr>
        <w:tc>
          <w:tcPr>
            <w:tcW w:type="dxa" w:w="1108"/>
            <w:vAlign w:val="center"/>
          </w:tcPr>
          <w:p>
            <w:r>
              <w:t>Feu extérieur</w:t>
            </w:r>
          </w:p>
        </w:tc>
        <w:tc>
          <w:tcPr>
            <w:tcW w:type="dxa" w:w="1108"/>
            <w:vAlign w:val="center"/>
          </w:tcPr>
          <w:p>
            <w:r>
              <w:t>F3</w:t>
            </w:r>
          </w:p>
        </w:tc>
        <w:tc>
          <w:tcPr>
            <w:tcW w:type="dxa" w:w="1108"/>
            <w:vAlign w:val="center"/>
          </w:tcPr>
          <w:p>
            <w:r>
              <w:t>EST</w:t>
            </w:r>
          </w:p>
        </w:tc>
        <w:tc>
          <w:tcPr>
            <w:tcW w:type="dxa" w:w="1108"/>
            <w:vAlign w:val="center"/>
          </w:tcPr>
          <w:p>
            <w:r>
              <w:t>Câble principal clos</w:t>
            </w:r>
          </w:p>
        </w:tc>
        <w:tc>
          <w:tcPr>
            <w:tcW w:type="dxa" w:w="1108"/>
            <w:vAlign w:val="center"/>
          </w:tcPr>
          <w:p>
            <w:r>
              <w:t>255,3</w:t>
            </w:r>
          </w:p>
        </w:tc>
        <w:tc>
          <w:tcPr>
            <w:tcW w:type="dxa" w:w="1108"/>
            <w:vAlign w:val="center"/>
          </w:tcPr>
          <w:p>
            <w:r>
              <w:t>454,7</w:t>
            </w:r>
          </w:p>
        </w:tc>
        <w:tc>
          <w:tcPr>
            <w:tcW w:type="dxa" w:w="1108"/>
            <w:vAlign w:val="center"/>
          </w:tcPr>
          <w:p>
            <w:r>
              <w:t>621,1</w:t>
            </w:r>
          </w:p>
        </w:tc>
        <w:tc>
          <w:tcPr>
            <w:tcW w:type="dxa" w:w="1108"/>
            <w:vAlign w:val="center"/>
          </w:tcPr>
          <w:p>
            <w:r>
              <w:t>664,5</w:t>
            </w:r>
          </w:p>
        </w:tc>
        <w:tc>
          <w:tcPr>
            <w:tcW w:type="dxa" w:w="1108"/>
            <w:vAlign w:val="center"/>
          </w:tcPr>
          <w:p>
            <w:r>
              <w:t>675,8</w:t>
            </w:r>
          </w:p>
        </w:tc>
      </w:tr>
    </w:tbl>
    <w:p>
      <w:pPr>
        <w:jc w:val="center"/>
      </w:pPr>
      <w:r>
        <w:drawing>
          <wp:inline xmlns:a="http://schemas.openxmlformats.org/drawingml/2006/main" xmlns:pic="http://schemas.openxmlformats.org/drawingml/2006/picture">
            <wp:extent cx="5760000" cy="3297438"/>
            <wp:docPr id="10" name="Picture 10"/>
            <wp:cNvGraphicFramePr>
              <a:graphicFrameLocks noChangeAspect="1"/>
            </wp:cNvGraphicFramePr>
            <a:graphic>
              <a:graphicData uri="http://schemas.openxmlformats.org/drawingml/2006/picture">
                <pic:pic>
                  <pic:nvPicPr>
                    <pic:cNvPr id="0" name="03_suspente.png"/>
                    <pic:cNvPicPr/>
                  </pic:nvPicPr>
                  <pic:blipFill>
                    <a:blip r:embed="rId18"/>
                    <a:stretch>
                      <a:fillRect/>
                    </a:stretch>
                  </pic:blipFill>
                  <pic:spPr>
                    <a:xfrm>
                      <a:off x="0" y="0"/>
                      <a:ext cx="5760000" cy="3297438"/>
                    </a:xfrm>
                    <a:prstGeom prst="rect"/>
                  </pic:spPr>
                </pic:pic>
              </a:graphicData>
            </a:graphic>
          </wp:inline>
        </w:drawing>
      </w:r>
    </w:p>
    <w:p>
      <w:pPr>
        <w:keepNext w:val="0"/>
        <w:jc w:val="center"/>
      </w:pPr>
      <w:r>
        <w:rPr>
          <w:i/>
        </w:rPr>
        <w:t>Figure 10 - Échauffement - Suspente secondaire - foyer 15 m</w:t>
      </w:r>
    </w:p>
    <w:p>
      <w:pPr>
        <w:jc w:val="center"/>
      </w:pPr>
      <w:r>
        <w:drawing>
          <wp:inline xmlns:a="http://schemas.openxmlformats.org/drawingml/2006/main" xmlns:pic="http://schemas.openxmlformats.org/drawingml/2006/picture">
            <wp:extent cx="5760000" cy="3297438"/>
            <wp:docPr id="11" name="Picture 11"/>
            <wp:cNvGraphicFramePr>
              <a:graphicFrameLocks noChangeAspect="1"/>
            </wp:cNvGraphicFramePr>
            <a:graphic>
              <a:graphicData uri="http://schemas.openxmlformats.org/drawingml/2006/picture">
                <pic:pic>
                  <pic:nvPicPr>
                    <pic:cNvPr id="0" name="04_cable.png"/>
                    <pic:cNvPicPr/>
                  </pic:nvPicPr>
                  <pic:blipFill>
                    <a:blip r:embed="rId19"/>
                    <a:stretch>
                      <a:fillRect/>
                    </a:stretch>
                  </pic:blipFill>
                  <pic:spPr>
                    <a:xfrm>
                      <a:off x="0" y="0"/>
                      <a:ext cx="5760000" cy="3297438"/>
                    </a:xfrm>
                    <a:prstGeom prst="rect"/>
                  </pic:spPr>
                </pic:pic>
              </a:graphicData>
            </a:graphic>
          </wp:inline>
        </w:drawing>
      </w:r>
    </w:p>
    <w:p>
      <w:pPr>
        <w:keepNext w:val="0"/>
        <w:jc w:val="center"/>
      </w:pPr>
      <w:r>
        <w:rPr>
          <w:i/>
        </w:rPr>
        <w:t>Figure 11 - Échauffement - Câble principal clos - foyer 15 m</w:t>
      </w:r>
    </w:p>
    <w:p>
      <w:r>
        <w:t>Certaines courbes se superposent exactement du fait de Φ = 1,0, de l'exposition uniforme et de l'absence d'atténuation géométrique. Les légendes conservent l'ensemble des cas calculés. Cette superposition traduit le caractère enveloppe de la V1.5_A plutôt qu'une impossibilité physique de différencier ultérieurement les positions.</w:t>
      </w:r>
    </w:p>
    <w:p>
      <w:pPr>
        <w:pStyle w:val="Heading1"/>
      </w:pPr>
      <w:r>
        <w:t>7. Impact structurel et poursuite de l’analyse</w:t>
      </w:r>
    </w:p>
    <w:p>
      <w:r>
        <w:t>Les historiques θ_a(t) constituent les données d'entrée de la vérification structurelle en situation d'incendie. La prochaine étape consistera à associer, pour chaque temps de lecture, les propriétés mécaniques réduites de l'acier à la température calculée, puis à vérifier les éléments tendus avec les efforts axiaux communiqués par le modèle global. Les efforts de référence seront a priori issus de l'ELS quasi permanent, sous réserve de la définition finale de la combinaison accidentelle et des actions concomitantes.</w:t>
      </w:r>
    </w:p>
    <w:p>
      <w:r>
        <w:t>L'analyse devra distinguer les câbles principaux et les suspentes secondaires. Elle portera notamment sur la réduction de résistance et de rigidité, l'allongement thermique, l'évolution de la tension, les redistributions entre suspentes, ainsi que les scénarios accidentels de perte d'une ou plusieurs suspentes. Les efforts axiaux dans les câbles principaux et les suspentes secondaires restent à renseigner avant d'effectuer ces vérifications.</w:t>
      </w:r>
    </w:p>
    <w:p>
      <w:pPr>
        <w:pStyle w:val="Heading1"/>
      </w:pPr>
      <w:r>
        <w:t>8. Limites et portée de la V1.5_A</w:t>
      </w:r>
    </w:p>
    <w:p>
      <w:r>
        <w:t>La distance tridimensionnelle est calculée à titre de contrôle et Φ = 1,0 est conservé comme hypothèse enveloppe. L'absence actuelle de facteur de forme détaillé ne fragilise donc pas le calcul par une réduction arbitraire ; elle conduit au contraire à ne créditer aucun effet favorable de distance, d'orientation ou de masquage. L'affinement géométrique permettra surtout de quantifier d'éventuelles réductions justifiables et de différencier les positions F1, F2 et F3.</w:t>
      </w:r>
    </w:p>
    <w:p>
      <w:r>
        <w:br w:type="page"/>
      </w:r>
    </w:p>
    <w:p>
      <w:pPr>
        <w:pStyle w:val="Heading1"/>
      </w:pPr>
      <w:r>
        <w:t>Annexe A - Calcul détaillé du cas critique à 30 min</w:t>
      </w:r>
    </w:p>
    <w:p>
      <w:r>
        <w:t>Cas retenu : ISO 834 - Position ouest - coupe OUEST - Suspente secondaire - foyer 10,0 m.</w:t>
      </w:r>
    </w:p>
    <w:tbl>
      <w:tblPr>
        <w:tblStyle w:val="TableGrid"/>
        <w:tblW w:type="auto" w:w="0"/>
        <w:jc w:val="center"/>
        <w:tblLook w:firstColumn="1" w:firstRow="1" w:lastColumn="0" w:lastRow="0" w:noHBand="0" w:noVBand="1" w:val="04A0"/>
      </w:tblPr>
      <w:tblGrid>
        <w:gridCol w:w="4986"/>
        <w:gridCol w:w="4986"/>
      </w:tblGrid>
      <w:tr>
        <w:tc>
          <w:tcPr>
            <w:tcW w:type="dxa" w:w="4986"/>
            <w:shd w:fill="D9EAF7"/>
            <w:vAlign w:val="center"/>
          </w:tcPr>
          <w:p>
            <w:r>
              <w:rPr>
                <w:b/>
              </w:rPr>
              <w:t>Grandeur</w:t>
            </w:r>
          </w:p>
        </w:tc>
        <w:tc>
          <w:tcPr>
            <w:tcW w:type="dxa" w:w="4986"/>
            <w:shd w:fill="D9EAF7"/>
            <w:vAlign w:val="center"/>
          </w:tcPr>
          <w:p>
            <w:r>
              <w:rPr>
                <w:b/>
              </w:rPr>
              <w:t>Valeur</w:t>
            </w:r>
          </w:p>
        </w:tc>
      </w:tr>
      <w:tr>
        <w:tc>
          <w:tcPr>
            <w:tcW w:type="dxa" w:w="4986"/>
            <w:vAlign w:val="center"/>
          </w:tcPr>
          <w:p>
            <w:r>
              <w:t>Diamètre D</w:t>
            </w:r>
          </w:p>
        </w:tc>
        <w:tc>
          <w:tcPr>
            <w:tcW w:type="dxa" w:w="4986"/>
            <w:vAlign w:val="center"/>
          </w:tcPr>
          <w:p>
            <w:r>
              <w:t>0.042 m</w:t>
            </w:r>
          </w:p>
        </w:tc>
      </w:tr>
      <w:tr>
        <w:tc>
          <w:tcPr>
            <w:tcW w:type="dxa" w:w="4986"/>
            <w:vAlign w:val="center"/>
          </w:tcPr>
          <w:p>
            <w:r>
              <w:t>Fraction exposée ηexp</w:t>
            </w:r>
          </w:p>
        </w:tc>
        <w:tc>
          <w:tcPr>
            <w:tcW w:type="dxa" w:w="4986"/>
            <w:vAlign w:val="center"/>
          </w:tcPr>
          <w:p>
            <w:r>
              <w:t>1.000</w:t>
            </w:r>
          </w:p>
        </w:tc>
      </w:tr>
      <w:tr>
        <w:tc>
          <w:tcPr>
            <w:tcW w:type="dxa" w:w="4986"/>
            <w:vAlign w:val="center"/>
          </w:tcPr>
          <w:p>
            <w:r>
              <w:t>Aire A</w:t>
            </w:r>
          </w:p>
        </w:tc>
        <w:tc>
          <w:tcPr>
            <w:tcW w:type="dxa" w:w="4986"/>
            <w:vAlign w:val="center"/>
          </w:tcPr>
          <w:p>
            <w:r>
              <w:t>0.001385 m²</w:t>
            </w:r>
          </w:p>
        </w:tc>
      </w:tr>
      <w:tr>
        <w:tc>
          <w:tcPr>
            <w:tcW w:type="dxa" w:w="4986"/>
            <w:vAlign w:val="center"/>
          </w:tcPr>
          <w:p>
            <w:r>
              <w:t>Périmètre A_m</w:t>
            </w:r>
          </w:p>
        </w:tc>
        <w:tc>
          <w:tcPr>
            <w:tcW w:type="dxa" w:w="4986"/>
            <w:vAlign w:val="center"/>
          </w:tcPr>
          <w:p>
            <w:r>
              <w:t>0.131947 m</w:t>
            </w:r>
          </w:p>
        </w:tc>
      </w:tr>
      <w:tr>
        <w:tc>
          <w:tcPr>
            <w:tcW w:type="dxa" w:w="4986"/>
            <w:vAlign w:val="center"/>
          </w:tcPr>
          <w:p>
            <w:r>
              <w:t>Facteur A_m/V</w:t>
            </w:r>
          </w:p>
        </w:tc>
        <w:tc>
          <w:tcPr>
            <w:tcW w:type="dxa" w:w="4986"/>
            <w:vAlign w:val="center"/>
          </w:tcPr>
          <w:p>
            <w:r>
              <w:t>95.238 m⁻¹</w:t>
            </w:r>
          </w:p>
        </w:tc>
      </w:tr>
      <w:tr>
        <w:tc>
          <w:tcPr>
            <w:tcW w:type="dxa" w:w="4986"/>
            <w:vAlign w:val="center"/>
          </w:tcPr>
          <w:p>
            <w:r>
              <w:t>Distance 3D</w:t>
            </w:r>
          </w:p>
        </w:tc>
        <w:tc>
          <w:tcPr>
            <w:tcW w:type="dxa" w:w="4986"/>
            <w:vAlign w:val="center"/>
          </w:tcPr>
          <w:p>
            <w:r>
              <w:t>6.528 m</w:t>
            </w:r>
          </w:p>
        </w:tc>
      </w:tr>
      <w:tr>
        <w:tc>
          <w:tcPr>
            <w:tcW w:type="dxa" w:w="4986"/>
            <w:vAlign w:val="center"/>
          </w:tcPr>
          <w:p>
            <w:r>
              <w:t>Température gaz θ_g</w:t>
            </w:r>
          </w:p>
        </w:tc>
        <w:tc>
          <w:tcPr>
            <w:tcW w:type="dxa" w:w="4986"/>
            <w:vAlign w:val="center"/>
          </w:tcPr>
          <w:p>
            <w:r>
              <w:t>841.80 °C</w:t>
            </w:r>
          </w:p>
        </w:tc>
      </w:tr>
      <w:tr>
        <w:tc>
          <w:tcPr>
            <w:tcW w:type="dxa" w:w="4986"/>
            <w:vAlign w:val="center"/>
          </w:tcPr>
          <w:p>
            <w:r>
              <w:t>Température acier θ_a,t</w:t>
            </w:r>
          </w:p>
        </w:tc>
        <w:tc>
          <w:tcPr>
            <w:tcW w:type="dxa" w:w="4986"/>
            <w:vAlign w:val="center"/>
          </w:tcPr>
          <w:p>
            <w:r>
              <w:t>760.63 °C</w:t>
            </w:r>
          </w:p>
        </w:tc>
      </w:tr>
      <w:tr>
        <w:tc>
          <w:tcPr>
            <w:tcW w:type="dxa" w:w="4986"/>
            <w:vAlign w:val="center"/>
          </w:tcPr>
          <w:p>
            <w:r>
              <w:t>α_c</w:t>
            </w:r>
          </w:p>
        </w:tc>
        <w:tc>
          <w:tcPr>
            <w:tcW w:type="dxa" w:w="4986"/>
            <w:vAlign w:val="center"/>
          </w:tcPr>
          <w:p>
            <w:r>
              <w:t>25.0 W/m²K</w:t>
            </w:r>
          </w:p>
        </w:tc>
      </w:tr>
      <w:tr>
        <w:tc>
          <w:tcPr>
            <w:tcW w:type="dxa" w:w="4986"/>
            <w:vAlign w:val="center"/>
          </w:tcPr>
          <w:p>
            <w:r>
              <w:t>Φ</w:t>
            </w:r>
          </w:p>
        </w:tc>
        <w:tc>
          <w:tcPr>
            <w:tcW w:type="dxa" w:w="4986"/>
            <w:vAlign w:val="center"/>
          </w:tcPr>
          <w:p>
            <w:r>
              <w:t>1.000</w:t>
            </w:r>
          </w:p>
        </w:tc>
      </w:tr>
      <w:tr>
        <w:tc>
          <w:tcPr>
            <w:tcW w:type="dxa" w:w="4986"/>
            <w:vAlign w:val="center"/>
          </w:tcPr>
          <w:p>
            <w:r>
              <w:t>ε_m</w:t>
            </w:r>
          </w:p>
        </w:tc>
        <w:tc>
          <w:tcPr>
            <w:tcW w:type="dxa" w:w="4986"/>
            <w:vAlign w:val="center"/>
          </w:tcPr>
          <w:p>
            <w:r>
              <w:t>0.700</w:t>
            </w:r>
          </w:p>
        </w:tc>
      </w:tr>
      <w:tr>
        <w:tc>
          <w:tcPr>
            <w:tcW w:type="dxa" w:w="4986"/>
            <w:vAlign w:val="center"/>
          </w:tcPr>
          <w:p>
            <w:r>
              <w:t>ε_f</w:t>
            </w:r>
          </w:p>
        </w:tc>
        <w:tc>
          <w:tcPr>
            <w:tcW w:type="dxa" w:w="4986"/>
            <w:vAlign w:val="center"/>
          </w:tcPr>
          <w:p>
            <w:r>
              <w:t>1.000</w:t>
            </w:r>
          </w:p>
        </w:tc>
      </w:tr>
      <w:tr>
        <w:tc>
          <w:tcPr>
            <w:tcW w:type="dxa" w:w="4986"/>
            <w:vAlign w:val="center"/>
          </w:tcPr>
          <w:p>
            <w:r>
              <w:t>c_a</w:t>
            </w:r>
          </w:p>
        </w:tc>
        <w:tc>
          <w:tcPr>
            <w:tcW w:type="dxa" w:w="4986"/>
            <w:vAlign w:val="center"/>
          </w:tcPr>
          <w:p>
            <w:r>
              <w:t>1146.4 J/kgK</w:t>
            </w:r>
          </w:p>
        </w:tc>
      </w:tr>
      <w:tr>
        <w:tc>
          <w:tcPr>
            <w:tcW w:type="dxa" w:w="4986"/>
            <w:vAlign w:val="center"/>
          </w:tcPr>
          <w:p>
            <w:r>
              <w:t>ρ_a</w:t>
            </w:r>
          </w:p>
        </w:tc>
        <w:tc>
          <w:tcPr>
            <w:tcW w:type="dxa" w:w="4986"/>
            <w:vAlign w:val="center"/>
          </w:tcPr>
          <w:p>
            <w:r>
              <w:t>7850.0 kg/m³</w:t>
            </w:r>
          </w:p>
        </w:tc>
      </w:tr>
      <w:tr>
        <w:tc>
          <w:tcPr>
            <w:tcW w:type="dxa" w:w="4986"/>
            <w:vAlign w:val="center"/>
          </w:tcPr>
          <w:p>
            <w:r>
              <w:t>Δt</w:t>
            </w:r>
          </w:p>
        </w:tc>
        <w:tc>
          <w:tcPr>
            <w:tcW w:type="dxa" w:w="4986"/>
            <w:vAlign w:val="center"/>
          </w:tcPr>
          <w:p>
            <w:r>
              <w:t>5.0 s</w:t>
            </w:r>
          </w:p>
        </w:tc>
      </w:tr>
    </w:tbl>
    <w:p>
      <w:pPr>
        <w:pStyle w:val="Heading2"/>
      </w:pPr>
      <w:r>
        <w:t>A.1 Principe de l’intégration temporelle</w:t>
      </w:r>
    </w:p>
    <w:p>
      <w:r>
        <w:t>Le calcul progresse par pas constants Δt = 5 s. Pour chaque indice i, la température obtenue au pas précédent est utilisée pour mettre à jour les propriétés thermiques et les flux avant de calculer la température du pas suivant.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rPr>
                <w:b/>
              </w:rPr>
              <w:t>Étape</w:t>
            </w:r>
          </w:p>
        </w:tc>
        <w:tc>
          <w:tcPr>
            <w:tcW w:type="dxa" w:w="3324"/>
            <w:shd w:fill="D9EAF7"/>
            <w:vAlign w:val="center"/>
          </w:tcPr>
          <w:p>
            <w:r>
              <w:rPr>
                <w:b/>
              </w:rPr>
              <w:t>Opération</w:t>
            </w:r>
          </w:p>
        </w:tc>
        <w:tc>
          <w:tcPr>
            <w:tcW w:type="dxa" w:w="3324"/>
            <w:shd w:fill="D9EAF7"/>
            <w:vAlign w:val="center"/>
          </w:tcPr>
          <w:p>
            <w:r>
              <w:rPr>
                <w:b/>
              </w:rPr>
              <w:t>Résultat</w:t>
            </w:r>
          </w:p>
        </w:tc>
      </w:tr>
      <w:tr>
        <w:tc>
          <w:tcPr>
            <w:tcW w:type="dxa" w:w="3324"/>
            <w:vAlign w:val="center"/>
          </w:tcPr>
          <w:p>
            <w:r>
              <w:t>1</w:t>
            </w:r>
          </w:p>
        </w:tc>
        <w:tc>
          <w:tcPr>
            <w:tcW w:type="dxa" w:w="3324"/>
            <w:vAlign w:val="center"/>
          </w:tcPr>
          <w:p>
            <w:r>
              <w:t>Lecture de θ_a,i</w:t>
            </w:r>
          </w:p>
        </w:tc>
        <w:tc>
          <w:tcPr>
            <w:tcW w:type="dxa" w:w="3324"/>
            <w:vAlign w:val="center"/>
          </w:tcPr>
          <w:p>
            <w:r>
              <w:t>Température d’acier au début du pas</w:t>
            </w:r>
          </w:p>
        </w:tc>
      </w:tr>
      <w:tr>
        <w:tc>
          <w:tcPr>
            <w:tcW w:type="dxa" w:w="3324"/>
            <w:vAlign w:val="center"/>
          </w:tcPr>
          <w:p>
            <w:r>
              <w:t>2</w:t>
            </w:r>
          </w:p>
        </w:tc>
        <w:tc>
          <w:tcPr>
            <w:tcW w:type="dxa" w:w="3324"/>
            <w:vAlign w:val="center"/>
          </w:tcPr>
          <w:p>
            <w:r>
              <w:t>Calcul de c_a(θ_a,i)</w:t>
            </w:r>
          </w:p>
        </w:tc>
        <w:tc>
          <w:tcPr>
            <w:tcW w:type="dxa" w:w="3324"/>
            <w:vAlign w:val="center"/>
          </w:tcPr>
          <w:p>
            <w:r>
              <w:t>Chaleur spécifique par la loi NF EN 1993-1-2</w:t>
            </w:r>
          </w:p>
        </w:tc>
      </w:tr>
      <w:tr>
        <w:tc>
          <w:tcPr>
            <w:tcW w:type="dxa" w:w="3324"/>
            <w:vAlign w:val="center"/>
          </w:tcPr>
          <w:p>
            <w:r>
              <w:t>3</w:t>
            </w:r>
          </w:p>
        </w:tc>
        <w:tc>
          <w:tcPr>
            <w:tcW w:type="dxa" w:w="3324"/>
            <w:vAlign w:val="center"/>
          </w:tcPr>
          <w:p>
            <w:r>
              <w:t>Calcul des flux</w:t>
            </w:r>
          </w:p>
        </w:tc>
        <w:tc>
          <w:tcPr>
            <w:tcW w:type="dxa" w:w="3324"/>
            <w:vAlign w:val="center"/>
          </w:tcPr>
          <w:p>
            <w:r>
              <w:t>q_conv,i, q_rad,i et q_net,i</w:t>
            </w:r>
          </w:p>
        </w:tc>
      </w:tr>
      <w:tr>
        <w:tc>
          <w:tcPr>
            <w:tcW w:type="dxa" w:w="3324"/>
            <w:vAlign w:val="center"/>
          </w:tcPr>
          <w:p>
            <w:r>
              <w:t>4</w:t>
            </w:r>
          </w:p>
        </w:tc>
        <w:tc>
          <w:tcPr>
            <w:tcW w:type="dxa" w:w="3324"/>
            <w:vAlign w:val="center"/>
          </w:tcPr>
          <w:p>
            <w:r>
              <w:t>Calcul de Δθ_a,i</w:t>
            </w:r>
          </w:p>
        </w:tc>
        <w:tc>
          <w:tcPr>
            <w:tcW w:type="dxa" w:w="3324"/>
            <w:vAlign w:val="center"/>
          </w:tcPr>
          <w:p>
            <w:r>
              <w:t>Bilan énergétique sur Δt</w:t>
            </w:r>
          </w:p>
        </w:tc>
      </w:tr>
      <w:tr>
        <w:tc>
          <w:tcPr>
            <w:tcW w:type="dxa" w:w="3324"/>
            <w:vAlign w:val="center"/>
          </w:tcPr>
          <w:p>
            <w:r>
              <w:t>5</w:t>
            </w:r>
          </w:p>
        </w:tc>
        <w:tc>
          <w:tcPr>
            <w:tcW w:type="dxa" w:w="3324"/>
            <w:vAlign w:val="center"/>
          </w:tcPr>
          <w:p>
            <w:r>
              <w:t>Mise à jour</w:t>
            </w:r>
          </w:p>
        </w:tc>
        <w:tc>
          <w:tcPr>
            <w:tcW w:type="dxa" w:w="3324"/>
            <w:vAlign w:val="center"/>
          </w:tcPr>
          <w:p>
            <w:r>
              <w:t>θ_a,i+1 = θ_a,i + Δθ_a,i</w:t>
            </w:r>
          </w:p>
        </w:tc>
      </w:tr>
      <w:tr>
        <w:tc>
          <w:tcPr>
            <w:tcW w:type="dxa" w:w="3324"/>
            <w:vAlign w:val="center"/>
          </w:tcPr>
          <w:p>
            <w:r>
              <w:t>6</w:t>
            </w:r>
          </w:p>
        </w:tc>
        <w:tc>
          <w:tcPr>
            <w:tcW w:type="dxa" w:w="3324"/>
            <w:vAlign w:val="center"/>
          </w:tcPr>
          <w:p>
            <w:r>
              <w:t>Itération</w:t>
            </w:r>
          </w:p>
        </w:tc>
        <w:tc>
          <w:tcPr>
            <w:tcW w:type="dxa" w:w="3324"/>
            <w:vAlign w:val="center"/>
          </w:tcPr>
          <w:p>
            <w:r>
              <w:t>Répétition jusqu’à 30 min puis 120 min</w:t>
            </w:r>
          </w:p>
        </w:tc>
      </w:tr>
    </w:tbl>
    <w:p>
      <w:pPr>
        <w:jc w:val="center"/>
      </w:pPr>
      <w:r>
        <w:drawing>
          <wp:inline xmlns:a="http://schemas.openxmlformats.org/drawingml/2006/main" xmlns:pic="http://schemas.openxmlformats.org/drawingml/2006/picture">
            <wp:extent cx="5760000" cy="3290966"/>
            <wp:docPr id="12" name="Picture 12"/>
            <wp:cNvGraphicFramePr>
              <a:graphicFrameLocks noChangeAspect="1"/>
            </wp:cNvGraphicFramePr>
            <a:graphic>
              <a:graphicData uri="http://schemas.openxmlformats.org/drawingml/2006/picture">
                <pic:pic>
                  <pic:nvPicPr>
                    <pic:cNvPr id="0" name="A_01_integration.png"/>
                    <pic:cNvPicPr/>
                  </pic:nvPicPr>
                  <pic:blipFill>
                    <a:blip r:embed="rId20"/>
                    <a:stretch>
                      <a:fillRect/>
                    </a:stretch>
                  </pic:blipFill>
                  <pic:spPr>
                    <a:xfrm>
                      <a:off x="0" y="0"/>
                      <a:ext cx="5760000" cy="3290966"/>
                    </a:xfrm>
                    <a:prstGeom prst="rect"/>
                  </pic:spPr>
                </pic:pic>
              </a:graphicData>
            </a:graphic>
          </wp:inline>
        </w:drawing>
      </w:r>
    </w:p>
    <w:p>
      <w:pPr>
        <w:keepNext w:val="0"/>
        <w:jc w:val="center"/>
      </w:pPr>
      <w:r>
        <w:rPr>
          <w:i/>
        </w:rPr>
        <w:t>Figure A.1 - Intégration temporelle du cas critique jusqu’à 30 min.</w:t>
      </w:r>
    </w:p>
    <w:p>
      <w:pPr>
        <w:pStyle w:val="Heading2"/>
      </w:pPr>
      <w:r>
        <w:t>A.2 Calcul du dernier pas avant 30 min</w:t>
      </w:r>
    </w:p>
    <w:p>
      <w:pPr>
        <w:jc w:val="center"/>
      </w:pPr>
      <m:oMathPara>
        <m:oMath>
          <m:sSub>
            <m:e>
              <m:r>
                <m:t>q</m:t>
              </m:r>
            </m:e>
            <m:sub>
              <m:r>
                <m:t>conv</m:t>
              </m:r>
            </m:sub>
          </m:sSub>
          <m:r>
            <m:t> = </m:t>
          </m:r>
          <m:sSub>
            <m:e>
              <m:r>
                <m:t>α</m:t>
              </m:r>
            </m:e>
            <m:sub>
              <m:r>
                <m:t>c</m:t>
              </m:r>
            </m:sub>
          </m:sSub>
          <m:r>
            <m:t>(</m:t>
          </m:r>
          <m:sSub>
            <m:e>
              <m:r>
                <m:t>θ</m:t>
              </m:r>
            </m:e>
            <m:sub>
              <m:r>
                <m:t>g</m:t>
              </m:r>
            </m:sub>
          </m:sSub>
          <m:r>
            <m:t> - </m:t>
          </m:r>
          <m:sSub>
            <m:e>
              <m:r>
                <m:t>θ</m:t>
              </m:r>
            </m:e>
            <m:sub>
              <m:r>
                <m:t>a</m:t>
              </m:r>
            </m:sub>
          </m:sSub>
          <m:r>
            <m:t>) = 2029,2 W/m²</m:t>
          </m:r>
        </m:oMath>
      </m:oMathPara>
    </w:p>
    <w:p>
      <w:pPr>
        <w:jc w:val="center"/>
      </w:pPr>
      <m:oMathPara>
        <m:oMath>
          <m:sSub>
            <m:e>
              <m:r>
                <m:t>q</m:t>
              </m:r>
            </m:e>
            <m:sub>
              <m:r>
                <m:t>rad</m:t>
              </m:r>
            </m:sub>
          </m:sSub>
          <m:r>
            <m:t> = Φ </m:t>
          </m:r>
          <m:sSub>
            <m:e>
              <m:r>
                <m:t>ε</m:t>
              </m:r>
            </m:e>
            <m:sub>
              <m:r>
                <m:t>m</m:t>
              </m:r>
            </m:sub>
          </m:sSub>
          <m:r>
            <m:t> </m:t>
          </m:r>
          <m:sSub>
            <m:e>
              <m:r>
                <m:t>ε</m:t>
              </m:r>
            </m:e>
            <m:sub>
              <m:r>
                <m:t>f</m:t>
              </m:r>
            </m:sub>
          </m:sSub>
          <m:r>
            <m:t> σ [</m:t>
          </m:r>
          <m:sSup>
            <m:e>
              <m:r>
                <m:t>(θg + 273,15)</m:t>
              </m:r>
            </m:e>
            <m:sup>
              <m:r>
                <m:t>4</m:t>
              </m:r>
            </m:sup>
          </m:sSup>
          <m:r>
            <m:t> - </m:t>
          </m:r>
          <m:sSup>
            <m:e>
              <m:r>
                <m:t>(θa + 273,15)</m:t>
              </m:r>
            </m:e>
            <m:sup>
              <m:r>
                <m:t>4</m:t>
              </m:r>
            </m:sup>
          </m:sSup>
          <m:r>
            <m:t>] = 16002,7 W/m²</m:t>
          </m:r>
        </m:oMath>
      </m:oMathPara>
    </w:p>
    <w:p>
      <w:pPr>
        <w:jc w:val="center"/>
      </w:pPr>
      <m:oMathPara>
        <m:oMath>
          <m:sSub>
            <m:e>
              <m:r>
                <m:t>q</m:t>
              </m:r>
            </m:e>
            <m:sub>
              <m:r>
                <m:t>net</m:t>
              </m:r>
            </m:sub>
          </m:sSub>
          <m:r>
            <m:t> = </m:t>
          </m:r>
          <m:sSub>
            <m:e>
              <m:r>
                <m:t>q</m:t>
              </m:r>
            </m:e>
            <m:sub>
              <m:r>
                <m:t>conv</m:t>
              </m:r>
            </m:sub>
          </m:sSub>
          <m:r>
            <m:t> + </m:t>
          </m:r>
          <m:sSub>
            <m:e>
              <m:r>
                <m:t>q</m:t>
              </m:r>
            </m:e>
            <m:sub>
              <m:r>
                <m:t>rad</m:t>
              </m:r>
            </m:sub>
          </m:sSub>
          <m:r>
            <m:t> = 18031,9 W/m²</m:t>
          </m:r>
        </m:oMath>
      </m:oMathPara>
    </w:p>
    <w:p>
      <w:pPr>
        <w:pStyle w:val="Heading2"/>
      </w:pPr>
      <w:r>
        <w:t>A.3 Incrément de température</w:t>
      </w:r>
    </w:p>
    <w:p>
      <w:pPr>
        <w:jc w:val="center"/>
      </w:pPr>
      <m:oMathPara>
        <m:oMath>
          <m:r>
            <m:t>Δ</m:t>
          </m:r>
          <m:sSub>
            <m:e>
              <m:r>
                <m:t>θ</m:t>
              </m:r>
            </m:e>
            <m:sub>
              <m:r>
                <m:t>a,t</m:t>
              </m:r>
            </m:sub>
          </m:sSub>
          <m:r>
            <m:t> = </m:t>
          </m:r>
          <m:f>
            <m:num>
              <m:sSub>
                <m:e>
                  <m:r>
                    <m:t>k</m:t>
                  </m:r>
                </m:e>
                <m:sub>
                  <m:r>
                    <m:t>sh</m:t>
                  </m:r>
                </m:sub>
              </m:sSub>
              <m:r>
                <m:t> </m:t>
              </m:r>
              <m:f>
                <m:num>
                  <m:sSub>
                    <m:e>
                      <m:r>
                        <m:t>A</m:t>
                      </m:r>
                    </m:e>
                    <m:sub>
                      <m:r>
                        <m:t>m</m:t>
                      </m:r>
                    </m:sub>
                  </m:sSub>
                </m:num>
                <m:den>
                  <m:r>
                    <m:t>V</m:t>
                  </m:r>
                </m:den>
              </m:f>
              <m:r>
                <m:t> </m:t>
              </m:r>
              <m:sSub>
                <m:e>
                  <m:r>
                    <m:t>q</m:t>
                  </m:r>
                </m:e>
                <m:sub>
                  <m:r>
                    <m:t>net</m:t>
                  </m:r>
                </m:sub>
              </m:sSub>
              <m:r>
                <m:t> Δt</m:t>
              </m:r>
            </m:num>
            <m:den>
              <m:sSub>
                <m:e>
                  <m:r>
                    <m:t>ρ</m:t>
                  </m:r>
                </m:e>
                <m:sub>
                  <m:r>
                    <m:t>a</m:t>
                  </m:r>
                </m:sub>
              </m:sSub>
              <m:r>
                <m:t> </m:t>
              </m:r>
              <m:sSub>
                <m:e>
                  <m:r>
                    <m:t>c</m:t>
                  </m:r>
                </m:e>
                <m:sub>
                  <m:r>
                    <m:t>a</m:t>
                  </m:r>
                </m:sub>
              </m:sSub>
              <m:r>
                <m:t>(</m:t>
              </m:r>
              <m:sSub>
                <m:e>
                  <m:r>
                    <m:t>θ</m:t>
                  </m:r>
                </m:e>
                <m:sub>
                  <m:r>
                    <m:t>a</m:t>
                  </m:r>
                </m:sub>
              </m:sSub>
              <m:r>
                <m:t>)</m:t>
              </m:r>
            </m:den>
          </m:f>
          <m:r>
            <m:t> = 0,9541 °C</m:t>
          </m:r>
        </m:oMath>
      </m:oMathPara>
    </w:p>
    <w:p>
      <w:r>
        <w:t>La température passe de 760,63 °C à 761,58 °C pendant le dernier pas de 5 s. La température à 30 min résulte de l'intégration de tous les pas depuis t = 0.</w:t>
      </w:r>
    </w:p>
    <w:p>
      <w:r>
        <w:br w:type="page"/>
      </w:r>
    </w:p>
    <w:p>
      <w:pPr>
        <w:pStyle w:val="Heading1"/>
      </w:pPr>
      <w:r>
        <w:t>Annexe B - Courbes de tous les cas étudiés</w:t>
      </w:r>
    </w:p>
    <w:p>
      <w:r>
        <w:t>Les figures suivantes couvrent 2 courbes de feu × 3 positions × 3 longueurs de foyer × 2 familles d'éléments.</w:t>
      </w:r>
    </w:p>
    <w:p>
      <w:pPr>
        <w:jc w:val="center"/>
      </w:pPr>
      <w:r>
        <w:drawing>
          <wp:inline xmlns:a="http://schemas.openxmlformats.org/drawingml/2006/main" xmlns:pic="http://schemas.openxmlformats.org/drawingml/2006/picture">
            <wp:extent cx="5760000" cy="3294202"/>
            <wp:docPr id="13" name="Picture 13"/>
            <wp:cNvGraphicFramePr>
              <a:graphicFrameLocks noChangeAspect="1"/>
            </wp:cNvGraphicFramePr>
            <a:graphic>
              <a:graphicData uri="http://schemas.openxmlformats.org/drawingml/2006/picture">
                <pic:pic>
                  <pic:nvPicPr>
                    <pic:cNvPr id="0" name="B_12.png"/>
                    <pic:cNvPicPr/>
                  </pic:nvPicPr>
                  <pic:blipFill>
                    <a:blip r:embed="rId21"/>
                    <a:stretch>
                      <a:fillRect/>
                    </a:stretch>
                  </pic:blipFill>
                  <pic:spPr>
                    <a:xfrm>
                      <a:off x="0" y="0"/>
                      <a:ext cx="5760000" cy="3294202"/>
                    </a:xfrm>
                    <a:prstGeom prst="rect"/>
                  </pic:spPr>
                </pic:pic>
              </a:graphicData>
            </a:graphic>
          </wp:inline>
        </w:drawing>
      </w:r>
    </w:p>
    <w:p>
      <w:pPr>
        <w:keepNext w:val="0"/>
        <w:jc w:val="center"/>
      </w:pPr>
      <w:r>
        <w:rPr>
          <w:i/>
        </w:rPr>
        <w:t>Figure B.1 - ISO 834 - Suspente secondaire - tous les cas</w:t>
      </w:r>
    </w:p>
    <w:p>
      <w:pPr>
        <w:jc w:val="center"/>
      </w:pPr>
      <w:r>
        <w:drawing>
          <wp:inline xmlns:a="http://schemas.openxmlformats.org/drawingml/2006/main" xmlns:pic="http://schemas.openxmlformats.org/drawingml/2006/picture">
            <wp:extent cx="5760000" cy="3290966"/>
            <wp:docPr id="14" name="Picture 14"/>
            <wp:cNvGraphicFramePr>
              <a:graphicFrameLocks noChangeAspect="1"/>
            </wp:cNvGraphicFramePr>
            <a:graphic>
              <a:graphicData uri="http://schemas.openxmlformats.org/drawingml/2006/picture">
                <pic:pic>
                  <pic:nvPicPr>
                    <pic:cNvPr id="0" name="B_13.png"/>
                    <pic:cNvPicPr/>
                  </pic:nvPicPr>
                  <pic:blipFill>
                    <a:blip r:embed="rId22"/>
                    <a:stretch>
                      <a:fillRect/>
                    </a:stretch>
                  </pic:blipFill>
                  <pic:spPr>
                    <a:xfrm>
                      <a:off x="0" y="0"/>
                      <a:ext cx="5760000" cy="3290966"/>
                    </a:xfrm>
                    <a:prstGeom prst="rect"/>
                  </pic:spPr>
                </pic:pic>
              </a:graphicData>
            </a:graphic>
          </wp:inline>
        </w:drawing>
      </w:r>
    </w:p>
    <w:p>
      <w:pPr>
        <w:keepNext w:val="0"/>
        <w:jc w:val="center"/>
      </w:pPr>
      <w:r>
        <w:rPr>
          <w:i/>
        </w:rPr>
        <w:t>Figure B.2 - ISO 834 - Câble principal clos - tous les cas</w:t>
      </w:r>
    </w:p>
    <w:p>
      <w:pPr>
        <w:jc w:val="center"/>
      </w:pPr>
      <w:r>
        <w:drawing>
          <wp:inline xmlns:a="http://schemas.openxmlformats.org/drawingml/2006/main" xmlns:pic="http://schemas.openxmlformats.org/drawingml/2006/picture">
            <wp:extent cx="5760000" cy="3290966"/>
            <wp:docPr id="15" name="Picture 15"/>
            <wp:cNvGraphicFramePr>
              <a:graphicFrameLocks noChangeAspect="1"/>
            </wp:cNvGraphicFramePr>
            <a:graphic>
              <a:graphicData uri="http://schemas.openxmlformats.org/drawingml/2006/picture">
                <pic:pic>
                  <pic:nvPicPr>
                    <pic:cNvPr id="0" name="B_14.png"/>
                    <pic:cNvPicPr/>
                  </pic:nvPicPr>
                  <pic:blipFill>
                    <a:blip r:embed="rId23"/>
                    <a:stretch>
                      <a:fillRect/>
                    </a:stretch>
                  </pic:blipFill>
                  <pic:spPr>
                    <a:xfrm>
                      <a:off x="0" y="0"/>
                      <a:ext cx="5760000" cy="3290966"/>
                    </a:xfrm>
                    <a:prstGeom prst="rect"/>
                  </pic:spPr>
                </pic:pic>
              </a:graphicData>
            </a:graphic>
          </wp:inline>
        </w:drawing>
      </w:r>
    </w:p>
    <w:p>
      <w:pPr>
        <w:keepNext w:val="0"/>
        <w:jc w:val="center"/>
      </w:pPr>
      <w:r>
        <w:rPr>
          <w:i/>
        </w:rPr>
        <w:t>Figure B.3 - Feu extérieur - Suspente secondaire - tous les cas</w:t>
      </w:r>
    </w:p>
    <w:p>
      <w:pPr>
        <w:jc w:val="center"/>
      </w:pPr>
      <w:r>
        <w:drawing>
          <wp:inline xmlns:a="http://schemas.openxmlformats.org/drawingml/2006/main" xmlns:pic="http://schemas.openxmlformats.org/drawingml/2006/picture">
            <wp:extent cx="5760000" cy="3290966"/>
            <wp:docPr id="16" name="Picture 16"/>
            <wp:cNvGraphicFramePr>
              <a:graphicFrameLocks noChangeAspect="1"/>
            </wp:cNvGraphicFramePr>
            <a:graphic>
              <a:graphicData uri="http://schemas.openxmlformats.org/drawingml/2006/picture">
                <pic:pic>
                  <pic:nvPicPr>
                    <pic:cNvPr id="0" name="B_15.png"/>
                    <pic:cNvPicPr/>
                  </pic:nvPicPr>
                  <pic:blipFill>
                    <a:blip r:embed="rId24"/>
                    <a:stretch>
                      <a:fillRect/>
                    </a:stretch>
                  </pic:blipFill>
                  <pic:spPr>
                    <a:xfrm>
                      <a:off x="0" y="0"/>
                      <a:ext cx="5760000" cy="3290966"/>
                    </a:xfrm>
                    <a:prstGeom prst="rect"/>
                  </pic:spPr>
                </pic:pic>
              </a:graphicData>
            </a:graphic>
          </wp:inline>
        </w:drawing>
      </w:r>
    </w:p>
    <w:p>
      <w:pPr>
        <w:keepNext w:val="0"/>
        <w:jc w:val="center"/>
      </w:pPr>
      <w:r>
        <w:rPr>
          <w:i/>
        </w:rPr>
        <w:t>Figure B.4 - Feu extérieur - Câble principal clos - tous les cas</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