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ANALYSE THERMIQUE D’UN INCENDIE SOUS LA PASSERELLE</w:t>
      </w:r>
    </w:p>
    <w:p>
      <w:pPr>
        <w:jc w:val="center"/>
      </w:pPr>
      <w:r>
        <w:t>Passerelle Gerland - La Saulaie</w:t>
      </w:r>
    </w:p>
    <w:p>
      <w:pPr>
        <w:jc w:val="center"/>
      </w:pPr>
      <w:r>
        <w:t>Rapport du 02/09/2026</w:t>
      </w:r>
    </w:p>
    <w:p>
      <w:r>
        <w:br w:type="page"/>
      </w:r>
    </w:p>
    <w:p>
      <w:pPr>
        <w:pStyle w:val="Heading1"/>
      </w:pPr>
      <w:r>
        <w:t>Sommaire</w:t>
      </w:r>
    </w:p>
    <w:p>
      <w:r>
        <w:fldChar w:fldCharType="begin"/>
        <w:instrText xml:space="preserve"> TOC \o "1-3" \h \z </w:instrText>
        <w:fldChar w:fldCharType="separate"/>
        <w:t>Mettre à jour : Ctrl+A, F9.</w:t>
        <w:fldChar w:fldCharType="end"/>
      </w:r>
    </w:p>
    <w:p>
      <w:r>
        <w:br w:type="page"/>
      </w:r>
    </w:p>
    <w:p>
      <w:pPr>
        <w:pStyle w:val="Heading1"/>
      </w:pPr>
      <w:r>
        <w:t>1. Objet et présentation du projet</w:t>
      </w:r>
    </w:p>
    <w:p>
      <w:r>
        <w:t>L’étude évalue sous Python l’évolution temporelle des températures des suspentes secondaires et du câble principal lors d’un incendie sur la M7.</w:t>
      </w:r>
    </w:p>
    <w:p>
      <w:pPr>
        <w:jc w:val="center"/>
      </w:pPr>
      <w:r>
        <w:drawing>
          <wp:inline xmlns:a="http://schemas.openxmlformats.org/drawingml/2006/main" xmlns:pic="http://schemas.openxmlformats.org/drawingml/2006/picture">
            <wp:extent cx="5760000" cy="3236571"/>
            <wp:docPr id="1" name="Picture 1"/>
            <wp:cNvGraphicFramePr>
              <a:graphicFrameLocks noChangeAspect="1"/>
            </wp:cNvGraphicFramePr>
            <a:graphic>
              <a:graphicData uri="http://schemas.openxmlformats.org/drawingml/2006/picture">
                <pic:pic>
                  <pic:nvPicPr>
                    <pic:cNvPr id="0" name="ZZ extrait vue en plan generale.png"/>
                    <pic:cNvPicPr/>
                  </pic:nvPicPr>
                  <pic:blipFill>
                    <a:blip r:embed="rId9"/>
                    <a:stretch>
                      <a:fillRect/>
                    </a:stretch>
                  </pic:blipFill>
                  <pic:spPr>
                    <a:xfrm>
                      <a:off x="0" y="0"/>
                      <a:ext cx="5760000" cy="3236571"/>
                    </a:xfrm>
                    <a:prstGeom prst="rect"/>
                  </pic:spPr>
                </pic:pic>
              </a:graphicData>
            </a:graphic>
          </wp:inline>
        </w:drawing>
      </w:r>
    </w:p>
    <w:p>
      <w:pPr>
        <w:pStyle w:val="Caption"/>
        <w:jc w:val="center"/>
      </w:pPr>
      <w:r>
        <w:t>Figure 1 - Vue en plan générale.</w:t>
      </w:r>
    </w:p>
    <w:p>
      <w:pPr>
        <w:jc w:val="center"/>
      </w:pPr>
      <w:r>
        <w:drawing>
          <wp:inline xmlns:a="http://schemas.openxmlformats.org/drawingml/2006/main" xmlns:pic="http://schemas.openxmlformats.org/drawingml/2006/picture">
            <wp:extent cx="5760000" cy="2485962"/>
            <wp:docPr id="2" name="Picture 2"/>
            <wp:cNvGraphicFramePr>
              <a:graphicFrameLocks noChangeAspect="1"/>
            </wp:cNvGraphicFramePr>
            <a:graphic>
              <a:graphicData uri="http://schemas.openxmlformats.org/drawingml/2006/picture">
                <pic:pic>
                  <pic:nvPicPr>
                    <pic:cNvPr id="0" name="ZZ extrait plan suspension.png"/>
                    <pic:cNvPicPr/>
                  </pic:nvPicPr>
                  <pic:blipFill>
                    <a:blip r:embed="rId10"/>
                    <a:stretch>
                      <a:fillRect/>
                    </a:stretch>
                  </pic:blipFill>
                  <pic:spPr>
                    <a:xfrm>
                      <a:off x="0" y="0"/>
                      <a:ext cx="5760000" cy="2485962"/>
                    </a:xfrm>
                    <a:prstGeom prst="rect"/>
                  </pic:spPr>
                </pic:pic>
              </a:graphicData>
            </a:graphic>
          </wp:inline>
        </w:drawing>
      </w:r>
    </w:p>
    <w:p>
      <w:pPr>
        <w:pStyle w:val="Caption"/>
        <w:jc w:val="center"/>
      </w:pPr>
      <w:r>
        <w:t>Figure 2 - Système de suspension.</w:t>
      </w:r>
    </w:p>
    <w:p>
      <w:pPr>
        <w:jc w:val="center"/>
      </w:pPr>
      <w:r>
        <w:drawing>
          <wp:inline xmlns:a="http://schemas.openxmlformats.org/drawingml/2006/main" xmlns:pic="http://schemas.openxmlformats.org/drawingml/2006/picture">
            <wp:extent cx="5760000" cy="2763221"/>
            <wp:docPr id="3" name="Picture 3"/>
            <wp:cNvGraphicFramePr>
              <a:graphicFrameLocks noChangeAspect="1"/>
            </wp:cNvGraphicFramePr>
            <a:graphic>
              <a:graphicData uri="http://schemas.openxmlformats.org/drawingml/2006/picture">
                <pic:pic>
                  <pic:nvPicPr>
                    <pic:cNvPr id="0" name="Zz extrait coupe long generale.png"/>
                    <pic:cNvPicPr/>
                  </pic:nvPicPr>
                  <pic:blipFill>
                    <a:blip r:embed="rId11"/>
                    <a:stretch>
                      <a:fillRect/>
                    </a:stretch>
                  </pic:blipFill>
                  <pic:spPr>
                    <a:xfrm>
                      <a:off x="0" y="0"/>
                      <a:ext cx="5760000" cy="2763221"/>
                    </a:xfrm>
                    <a:prstGeom prst="rect"/>
                  </pic:spPr>
                </pic:pic>
              </a:graphicData>
            </a:graphic>
          </wp:inline>
        </w:drawing>
      </w:r>
    </w:p>
    <w:p>
      <w:pPr>
        <w:pStyle w:val="Caption"/>
        <w:jc w:val="center"/>
      </w:pPr>
      <w:r>
        <w:t>Figure 3 - Coupe longitudinale.</w:t>
      </w:r>
    </w:p>
    <w:p>
      <w:pPr>
        <w:jc w:val="center"/>
      </w:pPr>
      <w:r>
        <w:drawing>
          <wp:inline xmlns:a="http://schemas.openxmlformats.org/drawingml/2006/main" xmlns:pic="http://schemas.openxmlformats.org/drawingml/2006/picture">
            <wp:extent cx="5760000" cy="2008125"/>
            <wp:docPr id="4" name="Picture 4"/>
            <wp:cNvGraphicFramePr>
              <a:graphicFrameLocks noChangeAspect="1"/>
            </wp:cNvGraphicFramePr>
            <a:graphic>
              <a:graphicData uri="http://schemas.openxmlformats.org/drawingml/2006/picture">
                <pic:pic>
                  <pic:nvPicPr>
                    <pic:cNvPr id="0" name="ZZ coupe transv.png"/>
                    <pic:cNvPicPr/>
                  </pic:nvPicPr>
                  <pic:blipFill>
                    <a:blip r:embed="rId12"/>
                    <a:stretch>
                      <a:fillRect/>
                    </a:stretch>
                  </pic:blipFill>
                  <pic:spPr>
                    <a:xfrm>
                      <a:off x="0" y="0"/>
                      <a:ext cx="5760000" cy="2008125"/>
                    </a:xfrm>
                    <a:prstGeom prst="rect"/>
                  </pic:spPr>
                </pic:pic>
              </a:graphicData>
            </a:graphic>
          </wp:inline>
        </w:drawing>
      </w:r>
    </w:p>
    <w:p>
      <w:pPr>
        <w:pStyle w:val="Caption"/>
        <w:jc w:val="center"/>
      </w:pPr>
      <w:r>
        <w:t>Figure 4 - Coupe transversale.</w:t>
      </w:r>
    </w:p>
    <w:p>
      <w:pPr>
        <w:pStyle w:val="Heading1"/>
      </w:pPr>
      <w:r>
        <w:t>2. Références</w:t>
      </w:r>
    </w:p>
    <w:p>
      <w:r>
        <w:t>NF EN 1991-1-2 ; NF EN 1993-1-2 ; guide Cerema Résistance à l’incendie des ponts routiers ; note SAU_AVP_NTE_069_A_FeuM7.</w:t>
      </w:r>
    </w:p>
    <w:p>
      <w:pPr>
        <w:pStyle w:val="Heading1"/>
      </w:pPr>
      <w:r>
        <w:t>3. Choix de la courbe de feu</w:t>
      </w:r>
    </w:p>
    <w:p>
      <w:r>
        <w:t>Les courbes CN - ISO 834 et feu extérieur sont étudiées séparément puis comparées. Le MOA ou son AMO devra confirmer si la courbe HC doit également être étudiée.</w:t>
      </w:r>
    </w:p>
    <w:p>
      <w:pPr>
        <w:jc w:val="center"/>
      </w:pPr>
      <w:r>
        <w:drawing>
          <wp:inline xmlns:a="http://schemas.openxmlformats.org/drawingml/2006/main" xmlns:pic="http://schemas.openxmlformats.org/drawingml/2006/picture">
            <wp:extent cx="5400000" cy="1057056"/>
            <wp:docPr id="5" name="Picture 5"/>
            <wp:cNvGraphicFramePr>
              <a:graphicFrameLocks noChangeAspect="1"/>
            </wp:cNvGraphicFramePr>
            <a:graphic>
              <a:graphicData uri="http://schemas.openxmlformats.org/drawingml/2006/picture">
                <pic:pic>
                  <pic:nvPicPr>
                    <pic:cNvPr id="0" name="extrait_cerema_choix_courbes.png"/>
                    <pic:cNvPicPr/>
                  </pic:nvPicPr>
                  <pic:blipFill>
                    <a:blip r:embed="rId13"/>
                    <a:stretch>
                      <a:fillRect/>
                    </a:stretch>
                  </pic:blipFill>
                  <pic:spPr>
                    <a:xfrm>
                      <a:off x="0" y="0"/>
                      <a:ext cx="5400000" cy="1057056"/>
                    </a:xfrm>
                    <a:prstGeom prst="rect"/>
                  </pic:spPr>
                </pic:pic>
              </a:graphicData>
            </a:graphic>
          </wp:inline>
        </w:drawing>
      </w:r>
    </w:p>
    <w:p>
      <w:pPr>
        <w:pStyle w:val="Caption"/>
        <w:jc w:val="center"/>
      </w:pPr>
      <w:r>
        <w:t>Figure 5 - Extrait du guide Cerema : choix des courbes.</w:t>
      </w:r>
    </w:p>
    <w:p>
      <w:pPr>
        <w:jc w:val="center"/>
      </w:pPr>
      <w:r>
        <w:drawing>
          <wp:inline xmlns:a="http://schemas.openxmlformats.org/drawingml/2006/main" xmlns:pic="http://schemas.openxmlformats.org/drawingml/2006/picture">
            <wp:extent cx="5580000" cy="3102480"/>
            <wp:docPr id="6" name="Picture 6"/>
            <wp:cNvGraphicFramePr>
              <a:graphicFrameLocks noChangeAspect="1"/>
            </wp:cNvGraphicFramePr>
            <a:graphic>
              <a:graphicData uri="http://schemas.openxmlformats.org/drawingml/2006/picture">
                <pic:pic>
                  <pic:nvPicPr>
                    <pic:cNvPr id="0" name="feu.png"/>
                    <pic:cNvPicPr/>
                  </pic:nvPicPr>
                  <pic:blipFill>
                    <a:blip r:embed="rId14"/>
                    <a:stretch>
                      <a:fillRect/>
                    </a:stretch>
                  </pic:blipFill>
                  <pic:spPr>
                    <a:xfrm>
                      <a:off x="0" y="0"/>
                      <a:ext cx="5580000" cy="3102480"/>
                    </a:xfrm>
                    <a:prstGeom prst="rect"/>
                  </pic:spPr>
                </pic:pic>
              </a:graphicData>
            </a:graphic>
          </wp:inline>
        </w:drawing>
      </w:r>
    </w:p>
    <w:p>
      <w:pPr>
        <w:pStyle w:val="Caption"/>
        <w:jc w:val="center"/>
      </w:pPr>
      <w:r>
        <w:t>Figure 6 - Courbes nominales température-temps.</w:t>
      </w:r>
    </w:p>
    <w:p>
      <w:pPr>
        <w:pStyle w:val="Heading1"/>
      </w:pPr>
      <w:r>
        <w:t>4. Géométrie simplifiée et positions de feu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5"/>
              </w:rPr>
              <w:t>Coupe</w:t>
            </w:r>
          </w:p>
        </w:tc>
        <w:tc>
          <w:tcPr>
            <w:tcW w:type="dxa" w:w="2160"/>
          </w:tcPr>
          <w:p>
            <w:r>
              <w:rPr>
                <w:sz w:val="15"/>
              </w:rPr>
              <w:t>Intrados</w:t>
            </w:r>
          </w:p>
        </w:tc>
        <w:tc>
          <w:tcPr>
            <w:tcW w:type="dxa" w:w="2160"/>
          </w:tcPr>
          <w:p>
            <w:r>
              <w:rPr>
                <w:sz w:val="15"/>
              </w:rPr>
              <w:t>Suspente</w:t>
            </w:r>
          </w:p>
        </w:tc>
        <w:tc>
          <w:tcPr>
            <w:tcW w:type="dxa" w:w="2160"/>
          </w:tcPr>
          <w:p>
            <w:r>
              <w:rPr>
                <w:sz w:val="15"/>
              </w:rPr>
              <w:t>Câble</w:t>
            </w:r>
          </w:p>
        </w:tc>
      </w:tr>
      <w:tr>
        <w:tc>
          <w:tcPr>
            <w:tcW w:type="dxa" w:w="2160"/>
          </w:tcPr>
          <w:p>
            <w:r>
              <w:rPr>
                <w:sz w:val="15"/>
              </w:rPr>
              <w:t>F1</w:t>
            </w:r>
          </w:p>
        </w:tc>
        <w:tc>
          <w:tcPr>
            <w:tcW w:type="dxa" w:w="2160"/>
          </w:tcPr>
          <w:p>
            <w:r>
              <w:rPr>
                <w:sz w:val="15"/>
              </w:rPr>
              <w:t>6.125</w:t>
            </w:r>
          </w:p>
        </w:tc>
        <w:tc>
          <w:tcPr>
            <w:tcW w:type="dxa" w:w="2160"/>
          </w:tcPr>
          <w:p>
            <w:r>
              <w:rPr>
                <w:sz w:val="15"/>
              </w:rPr>
              <w:t>6.945</w:t>
            </w:r>
          </w:p>
        </w:tc>
        <w:tc>
          <w:tcPr>
            <w:tcW w:type="dxa" w:w="2160"/>
          </w:tcPr>
          <w:p>
            <w:r>
              <w:rPr>
                <w:sz w:val="15"/>
              </w:rPr>
              <w:t>8.12</w:t>
            </w:r>
          </w:p>
        </w:tc>
      </w:tr>
      <w:tr>
        <w:tc>
          <w:tcPr>
            <w:tcW w:type="dxa" w:w="2160"/>
          </w:tcPr>
          <w:p>
            <w:r>
              <w:rPr>
                <w:sz w:val="15"/>
              </w:rPr>
              <w:t>F2</w:t>
            </w:r>
          </w:p>
        </w:tc>
        <w:tc>
          <w:tcPr>
            <w:tcW w:type="dxa" w:w="2160"/>
          </w:tcPr>
          <w:p>
            <w:r>
              <w:rPr>
                <w:sz w:val="15"/>
              </w:rPr>
              <w:t>6.9</w:t>
            </w:r>
          </w:p>
        </w:tc>
        <w:tc>
          <w:tcPr>
            <w:tcW w:type="dxa" w:w="2160"/>
          </w:tcPr>
          <w:p>
            <w:r>
              <w:rPr>
                <w:sz w:val="15"/>
              </w:rPr>
              <w:t>7.72</w:t>
            </w:r>
          </w:p>
        </w:tc>
        <w:tc>
          <w:tcPr>
            <w:tcW w:type="dxa" w:w="2160"/>
          </w:tcPr>
          <w:p>
            <w:r>
              <w:rPr>
                <w:sz w:val="15"/>
              </w:rPr>
              <w:t>9.4</w:t>
            </w:r>
          </w:p>
        </w:tc>
      </w:tr>
      <w:tr>
        <w:tc>
          <w:tcPr>
            <w:tcW w:type="dxa" w:w="2160"/>
          </w:tcPr>
          <w:p>
            <w:r>
              <w:rPr>
                <w:sz w:val="15"/>
              </w:rPr>
              <w:t>F3</w:t>
            </w:r>
          </w:p>
        </w:tc>
        <w:tc>
          <w:tcPr>
            <w:tcW w:type="dxa" w:w="2160"/>
          </w:tcPr>
          <w:p>
            <w:r>
              <w:rPr>
                <w:sz w:val="15"/>
              </w:rPr>
              <w:t>7.25</w:t>
            </w:r>
          </w:p>
        </w:tc>
        <w:tc>
          <w:tcPr>
            <w:tcW w:type="dxa" w:w="2160"/>
          </w:tcPr>
          <w:p>
            <w:r>
              <w:rPr>
                <w:sz w:val="15"/>
              </w:rPr>
              <w:t>8.07</w:t>
            </w:r>
          </w:p>
        </w:tc>
        <w:tc>
          <w:tcPr>
            <w:tcW w:type="dxa" w:w="2160"/>
          </w:tcPr>
          <w:p>
            <w:r>
              <w:rPr>
                <w:sz w:val="15"/>
              </w:rPr>
              <w:t>11.07</w:t>
            </w:r>
          </w:p>
        </w:tc>
      </w:tr>
    </w:tbl>
    <w:p>
      <w:pPr>
        <w:jc w:val="center"/>
      </w:pPr>
      <w:r>
        <w:drawing>
          <wp:inline xmlns:a="http://schemas.openxmlformats.org/drawingml/2006/main" xmlns:pic="http://schemas.openxmlformats.org/drawingml/2006/picture">
            <wp:extent cx="5040000" cy="2189556"/>
            <wp:docPr id="7" name="Picture 7"/>
            <wp:cNvGraphicFramePr>
              <a:graphicFrameLocks noChangeAspect="1"/>
            </wp:cNvGraphicFramePr>
            <a:graphic>
              <a:graphicData uri="http://schemas.openxmlformats.org/drawingml/2006/picture">
                <pic:pic>
                  <pic:nvPicPr>
                    <pic:cNvPr id="0" name="ZZ_approxim intrados demi-coupe.png"/>
                    <pic:cNvPicPr/>
                  </pic:nvPicPr>
                  <pic:blipFill>
                    <a:blip r:embed="rId15"/>
                    <a:stretch>
                      <a:fillRect/>
                    </a:stretch>
                  </pic:blipFill>
                  <pic:spPr>
                    <a:xfrm>
                      <a:off x="0" y="0"/>
                      <a:ext cx="5040000" cy="2189556"/>
                    </a:xfrm>
                    <a:prstGeom prst="rect"/>
                  </pic:spPr>
                </pic:pic>
              </a:graphicData>
            </a:graphic>
          </wp:inline>
        </w:drawing>
      </w:r>
    </w:p>
    <w:p>
      <w:pPr>
        <w:pStyle w:val="Caption"/>
        <w:jc w:val="center"/>
      </w:pPr>
      <w:r>
        <w:t>Figure 7 - Approximation de l’intrados par deux segments de droite.</w:t>
      </w:r>
    </w:p>
    <w:p>
      <w:pPr>
        <w:pStyle w:val="Heading1"/>
      </w:pPr>
      <w:r>
        <w:t>5. Choix des paramètres et hypothèses</w:t>
      </w:r>
    </w:p>
    <w:tbl>
      <w:tblPr>
        <w:tblStyle w:val="TableGrid"/>
        <w:tblW w:type="auto" w:w="0"/>
        <w:tblLook w:firstColumn="1" w:firstRow="1" w:lastColumn="0" w:lastRow="0" w:noHBand="0" w:noVBand="1" w:val="04A0"/>
      </w:tblPr>
      <w:tblGrid>
        <w:gridCol w:w="4320"/>
        <w:gridCol w:w="4320"/>
      </w:tblGrid>
      <w:tr>
        <w:tc>
          <w:tcPr>
            <w:tcW w:type="dxa" w:w="4320"/>
          </w:tcPr>
          <w:p>
            <w:r>
              <w:rPr>
                <w:sz w:val="15"/>
              </w:rPr>
              <w:t>Paramètre</w:t>
            </w:r>
          </w:p>
        </w:tc>
        <w:tc>
          <w:tcPr>
            <w:tcW w:type="dxa" w:w="4320"/>
          </w:tcPr>
          <w:p>
            <w:r>
              <w:rPr>
                <w:sz w:val="15"/>
              </w:rPr>
              <w:t>Valeur</w:t>
            </w:r>
          </w:p>
        </w:tc>
      </w:tr>
      <w:tr>
        <w:tc>
          <w:tcPr>
            <w:tcW w:type="dxa" w:w="4320"/>
          </w:tcPr>
          <w:p>
            <w:r>
              <w:rPr>
                <w:sz w:val="15"/>
              </w:rPr>
              <w:t>E câble principal</w:t>
            </w:r>
          </w:p>
        </w:tc>
        <w:tc>
          <w:tcPr>
            <w:tcW w:type="dxa" w:w="4320"/>
          </w:tcPr>
          <w:p>
            <w:r>
              <w:rPr>
                <w:sz w:val="15"/>
              </w:rPr>
              <w:t>160 GPa</w:t>
            </w:r>
          </w:p>
        </w:tc>
      </w:tr>
      <w:tr>
        <w:tc>
          <w:tcPr>
            <w:tcW w:type="dxa" w:w="4320"/>
          </w:tcPr>
          <w:p>
            <w:r>
              <w:rPr>
                <w:sz w:val="15"/>
              </w:rPr>
              <w:t>NQP câble principal</w:t>
            </w:r>
          </w:p>
        </w:tc>
        <w:tc>
          <w:tcPr>
            <w:tcW w:type="dxa" w:w="4320"/>
          </w:tcPr>
          <w:p>
            <w:r>
              <w:rPr>
                <w:sz w:val="15"/>
              </w:rPr>
              <w:t>3 300 kN</w:t>
            </w:r>
          </w:p>
        </w:tc>
      </w:tr>
      <w:tr>
        <w:tc>
          <w:tcPr>
            <w:tcW w:type="dxa" w:w="4320"/>
          </w:tcPr>
          <w:p>
            <w:r>
              <w:rPr>
                <w:sz w:val="15"/>
              </w:rPr>
              <w:t>Ft,Rd câble principal</w:t>
            </w:r>
          </w:p>
        </w:tc>
        <w:tc>
          <w:tcPr>
            <w:tcW w:type="dxa" w:w="4320"/>
          </w:tcPr>
          <w:p>
            <w:r>
              <w:rPr>
                <w:sz w:val="15"/>
              </w:rPr>
              <w:t>11 897 kN</w:t>
            </w:r>
          </w:p>
        </w:tc>
      </w:tr>
      <w:tr>
        <w:tc>
          <w:tcPr>
            <w:tcW w:type="dxa" w:w="4320"/>
          </w:tcPr>
          <w:p>
            <w:r>
              <w:rPr>
                <w:sz w:val="15"/>
              </w:rPr>
              <w:t>E suspente secondaire</w:t>
            </w:r>
          </w:p>
        </w:tc>
        <w:tc>
          <w:tcPr>
            <w:tcW w:type="dxa" w:w="4320"/>
          </w:tcPr>
          <w:p>
            <w:r>
              <w:rPr>
                <w:sz w:val="15"/>
              </w:rPr>
              <w:t>205 GPa</w:t>
            </w:r>
          </w:p>
        </w:tc>
      </w:tr>
      <w:tr>
        <w:tc>
          <w:tcPr>
            <w:tcW w:type="dxa" w:w="4320"/>
          </w:tcPr>
          <w:p>
            <w:r>
              <w:rPr>
                <w:sz w:val="15"/>
              </w:rPr>
              <w:t>NQP suspente secondaire</w:t>
            </w:r>
          </w:p>
        </w:tc>
        <w:tc>
          <w:tcPr>
            <w:tcW w:type="dxa" w:w="4320"/>
          </w:tcPr>
          <w:p>
            <w:r>
              <w:rPr>
                <w:sz w:val="15"/>
              </w:rPr>
              <w:t>115 kN</w:t>
            </w:r>
          </w:p>
        </w:tc>
      </w:tr>
      <w:tr>
        <w:tc>
          <w:tcPr>
            <w:tcW w:type="dxa" w:w="4320"/>
          </w:tcPr>
          <w:p>
            <w:r>
              <w:rPr>
                <w:sz w:val="15"/>
              </w:rPr>
              <w:t>Ft,Rd suspente secondaire</w:t>
            </w:r>
          </w:p>
        </w:tc>
        <w:tc>
          <w:tcPr>
            <w:tcW w:type="dxa" w:w="4320"/>
          </w:tcPr>
          <w:p>
            <w:r>
              <w:rPr>
                <w:sz w:val="15"/>
              </w:rPr>
              <w:t>541 kN</w:t>
            </w:r>
          </w:p>
        </w:tc>
      </w:tr>
    </w:tbl>
    <w:p>
      <w:pPr>
        <w:pStyle w:val="Heading1"/>
      </w:pPr>
      <w:r>
        <w:t>6. Méthode de calcul</w:t>
      </w:r>
    </w:p>
    <w:p>
      <w:r>
        <w:t>Pour chaque courbe, position et longueur de foyer, Python calcule la température des gaz, le facteur de forme, la chaleur spécifique, les flux et l’incrément de température par pas de 5 s.</w:t>
      </w:r>
    </w:p>
    <w:p>
      <w:pPr>
        <w:pStyle w:val="Heading1"/>
      </w:pPr>
      <w:r>
        <w:t>7. Résultats</w:t>
      </w:r>
    </w:p>
    <w:p>
      <w:pPr>
        <w:jc w:val="center"/>
      </w:pPr>
      <w:r>
        <w:drawing>
          <wp:inline xmlns:a="http://schemas.openxmlformats.org/drawingml/2006/main" xmlns:pic="http://schemas.openxmlformats.org/drawingml/2006/picture">
            <wp:extent cx="5580000" cy="3050633"/>
            <wp:docPr id="8" name="Picture 8"/>
            <wp:cNvGraphicFramePr>
              <a:graphicFrameLocks noChangeAspect="1"/>
            </wp:cNvGraphicFramePr>
            <a:graphic>
              <a:graphicData uri="http://schemas.openxmlformats.org/drawingml/2006/picture">
                <pic:pic>
                  <pic:nvPicPr>
                    <pic:cNvPr id="0" name="suspente.png"/>
                    <pic:cNvPicPr/>
                  </pic:nvPicPr>
                  <pic:blipFill>
                    <a:blip r:embed="rId16"/>
                    <a:stretch>
                      <a:fillRect/>
                    </a:stretch>
                  </pic:blipFill>
                  <pic:spPr>
                    <a:xfrm>
                      <a:off x="0" y="0"/>
                      <a:ext cx="5580000" cy="3050633"/>
                    </a:xfrm>
                    <a:prstGeom prst="rect"/>
                  </pic:spPr>
                </pic:pic>
              </a:graphicData>
            </a:graphic>
          </wp:inline>
        </w:drawing>
      </w:r>
    </w:p>
    <w:p>
      <w:pPr>
        <w:pStyle w:val="Caption"/>
        <w:jc w:val="center"/>
      </w:pPr>
      <w:r>
        <w:t>Figure 9 - Échauffement - Suspente secondaire - foyer 20 m.</w:t>
      </w:r>
    </w:p>
    <w:p>
      <w:pPr>
        <w:jc w:val="center"/>
      </w:pPr>
      <w:r>
        <w:drawing>
          <wp:inline xmlns:a="http://schemas.openxmlformats.org/drawingml/2006/main" xmlns:pic="http://schemas.openxmlformats.org/drawingml/2006/picture">
            <wp:extent cx="5580000" cy="3050633"/>
            <wp:docPr id="9" name="Picture 9"/>
            <wp:cNvGraphicFramePr>
              <a:graphicFrameLocks noChangeAspect="1"/>
            </wp:cNvGraphicFramePr>
            <a:graphic>
              <a:graphicData uri="http://schemas.openxmlformats.org/drawingml/2006/picture">
                <pic:pic>
                  <pic:nvPicPr>
                    <pic:cNvPr id="0" name="cable.png"/>
                    <pic:cNvPicPr/>
                  </pic:nvPicPr>
                  <pic:blipFill>
                    <a:blip r:embed="rId17"/>
                    <a:stretch>
                      <a:fillRect/>
                    </a:stretch>
                  </pic:blipFill>
                  <pic:spPr>
                    <a:xfrm>
                      <a:off x="0" y="0"/>
                      <a:ext cx="5580000" cy="3050633"/>
                    </a:xfrm>
                    <a:prstGeom prst="rect"/>
                  </pic:spPr>
                </pic:pic>
              </a:graphicData>
            </a:graphic>
          </wp:inline>
        </w:drawing>
      </w:r>
    </w:p>
    <w:p>
      <w:pPr>
        <w:pStyle w:val="Caption"/>
        <w:jc w:val="center"/>
      </w:pPr>
      <w:r>
        <w:t>Figure 10 - Échauffement - Câble principal clos - foyer 20 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5"/>
              </w:rPr>
              <w:t>Temps (min)</w:t>
            </w:r>
          </w:p>
        </w:tc>
        <w:tc>
          <w:tcPr>
            <w:tcW w:type="dxa" w:w="2880"/>
          </w:tcPr>
          <w:p>
            <w:r>
              <w:rPr>
                <w:sz w:val="15"/>
              </w:rPr>
              <w:t>Suspente (°C)</w:t>
            </w:r>
          </w:p>
        </w:tc>
        <w:tc>
          <w:tcPr>
            <w:tcW w:type="dxa" w:w="2880"/>
          </w:tcPr>
          <w:p>
            <w:r>
              <w:rPr>
                <w:sz w:val="15"/>
              </w:rPr>
              <w:t>Câble principal (°C)</w:t>
            </w:r>
          </w:p>
        </w:tc>
      </w:tr>
      <w:tr>
        <w:tc>
          <w:tcPr>
            <w:tcW w:type="dxa" w:w="2880"/>
          </w:tcPr>
          <w:p>
            <w:r>
              <w:rPr>
                <w:sz w:val="15"/>
              </w:rPr>
              <w:t>15.0</w:t>
            </w:r>
          </w:p>
        </w:tc>
        <w:tc>
          <w:tcPr>
            <w:tcW w:type="dxa" w:w="2880"/>
          </w:tcPr>
          <w:p>
            <w:r>
              <w:rPr>
                <w:sz w:val="15"/>
              </w:rPr>
              <w:t>516.8</w:t>
            </w:r>
          </w:p>
        </w:tc>
        <w:tc>
          <w:tcPr>
            <w:tcW w:type="dxa" w:w="2880"/>
          </w:tcPr>
          <w:p>
            <w:r>
              <w:rPr>
                <w:sz w:val="15"/>
              </w:rPr>
              <w:t>231.8</w:t>
            </w:r>
          </w:p>
        </w:tc>
      </w:tr>
      <w:tr>
        <w:tc>
          <w:tcPr>
            <w:tcW w:type="dxa" w:w="2880"/>
          </w:tcPr>
          <w:p>
            <w:r>
              <w:rPr>
                <w:sz w:val="15"/>
              </w:rPr>
              <w:t>30.0</w:t>
            </w:r>
          </w:p>
        </w:tc>
        <w:tc>
          <w:tcPr>
            <w:tcW w:type="dxa" w:w="2880"/>
          </w:tcPr>
          <w:p>
            <w:r>
              <w:rPr>
                <w:sz w:val="15"/>
              </w:rPr>
              <w:t>742.1</w:t>
            </w:r>
          </w:p>
        </w:tc>
        <w:tc>
          <w:tcPr>
            <w:tcW w:type="dxa" w:w="2880"/>
          </w:tcPr>
          <w:p>
            <w:r>
              <w:rPr>
                <w:sz w:val="15"/>
              </w:rPr>
              <w:t>492.9</w:t>
            </w:r>
          </w:p>
        </w:tc>
      </w:tr>
      <w:tr>
        <w:tc>
          <w:tcPr>
            <w:tcW w:type="dxa" w:w="2880"/>
          </w:tcPr>
          <w:p>
            <w:r>
              <w:rPr>
                <w:sz w:val="15"/>
              </w:rPr>
              <w:t>60.0</w:t>
            </w:r>
          </w:p>
        </w:tc>
        <w:tc>
          <w:tcPr>
            <w:tcW w:type="dxa" w:w="2880"/>
          </w:tcPr>
          <w:p>
            <w:r>
              <w:rPr>
                <w:sz w:val="15"/>
              </w:rPr>
              <w:t>935.8</w:t>
            </w:r>
          </w:p>
        </w:tc>
        <w:tc>
          <w:tcPr>
            <w:tcW w:type="dxa" w:w="2880"/>
          </w:tcPr>
          <w:p>
            <w:r>
              <w:rPr>
                <w:sz w:val="15"/>
              </w:rPr>
              <w:t>764.8</w:t>
            </w:r>
          </w:p>
        </w:tc>
      </w:tr>
      <w:tr>
        <w:tc>
          <w:tcPr>
            <w:tcW w:type="dxa" w:w="2880"/>
          </w:tcPr>
          <w:p>
            <w:r>
              <w:rPr>
                <w:sz w:val="15"/>
              </w:rPr>
              <w:t>90.0</w:t>
            </w:r>
          </w:p>
        </w:tc>
        <w:tc>
          <w:tcPr>
            <w:tcW w:type="dxa" w:w="2880"/>
          </w:tcPr>
          <w:p>
            <w:r>
              <w:rPr>
                <w:sz w:val="15"/>
              </w:rPr>
              <w:t>1000.7</w:t>
            </w:r>
          </w:p>
        </w:tc>
        <w:tc>
          <w:tcPr>
            <w:tcW w:type="dxa" w:w="2880"/>
          </w:tcPr>
          <w:p>
            <w:r>
              <w:rPr>
                <w:sz w:val="15"/>
              </w:rPr>
              <w:t>969.3</w:t>
            </w:r>
          </w:p>
        </w:tc>
      </w:tr>
      <w:tr>
        <w:tc>
          <w:tcPr>
            <w:tcW w:type="dxa" w:w="2880"/>
          </w:tcPr>
          <w:p>
            <w:r>
              <w:rPr>
                <w:sz w:val="15"/>
              </w:rPr>
              <w:t>120.0</w:t>
            </w:r>
          </w:p>
        </w:tc>
        <w:tc>
          <w:tcPr>
            <w:tcW w:type="dxa" w:w="2880"/>
          </w:tcPr>
          <w:p>
            <w:r>
              <w:rPr>
                <w:sz w:val="15"/>
              </w:rPr>
              <w:t>1045.5</w:t>
            </w:r>
          </w:p>
        </w:tc>
        <w:tc>
          <w:tcPr>
            <w:tcW w:type="dxa" w:w="2880"/>
          </w:tcPr>
          <w:p>
            <w:r>
              <w:rPr>
                <w:sz w:val="15"/>
              </w:rPr>
              <w:t>1034.8</w:t>
            </w:r>
          </w:p>
        </w:tc>
      </w:tr>
    </w:tbl>
    <w:p>
      <w:pPr>
        <w:pStyle w:val="Heading1"/>
      </w:pPr>
      <w:r>
        <w:t>8. Impact structurel</w:t>
      </w:r>
    </w:p>
    <w:p>
      <w:r>
        <w:t>La première vérification utilise les valeurs fournies : câble principal Ft,Rd = 11 897 kN et NQP = 3 300 kN ; suspente secondaire Ft,Rd = 541 kN et NQP = 115 kN. Pour chaque température, la résistance à chaud est estimée par Ft,Rd,θ = ky,θ × Ft,Rd et le ratio par ηfi = NQP / Ft,Rd,θ. Cette approche suppose que Ft,Rd fourni constitue la résistance de référence à 20 °C et que le coefficient ky,θ de la NF EN 1993-1-2 est applicable à l’acier de l’organe. Le module réduit est Eθ = kE,θ × 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3"/>
              </w:rPr>
              <w:t>Feu</w:t>
            </w:r>
          </w:p>
        </w:tc>
        <w:tc>
          <w:tcPr>
            <w:tcW w:type="dxa" w:w="960"/>
          </w:tcPr>
          <w:p>
            <w:r>
              <w:rPr>
                <w:sz w:val="13"/>
              </w:rPr>
              <w:t>t (min)</w:t>
            </w:r>
          </w:p>
        </w:tc>
        <w:tc>
          <w:tcPr>
            <w:tcW w:type="dxa" w:w="960"/>
          </w:tcPr>
          <w:p>
            <w:r>
              <w:rPr>
                <w:sz w:val="13"/>
              </w:rPr>
              <w:t>Organe</w:t>
            </w:r>
          </w:p>
        </w:tc>
        <w:tc>
          <w:tcPr>
            <w:tcW w:type="dxa" w:w="960"/>
          </w:tcPr>
          <w:p>
            <w:r>
              <w:rPr>
                <w:sz w:val="13"/>
              </w:rPr>
              <w:t>θ (°C)</w:t>
            </w:r>
          </w:p>
        </w:tc>
        <w:tc>
          <w:tcPr>
            <w:tcW w:type="dxa" w:w="960"/>
          </w:tcPr>
          <w:p>
            <w:r>
              <w:rPr>
                <w:sz w:val="13"/>
              </w:rPr>
              <w:t>ky,θ</w:t>
            </w:r>
          </w:p>
        </w:tc>
        <w:tc>
          <w:tcPr>
            <w:tcW w:type="dxa" w:w="960"/>
          </w:tcPr>
          <w:p>
            <w:r>
              <w:rPr>
                <w:sz w:val="13"/>
              </w:rPr>
              <w:t>Eθ (GPa)</w:t>
            </w:r>
          </w:p>
        </w:tc>
        <w:tc>
          <w:tcPr>
            <w:tcW w:type="dxa" w:w="960"/>
          </w:tcPr>
          <w:p>
            <w:r>
              <w:rPr>
                <w:sz w:val="13"/>
              </w:rPr>
              <w:t>Ft,Rd,θ (kN)</w:t>
            </w:r>
          </w:p>
        </w:tc>
        <w:tc>
          <w:tcPr>
            <w:tcW w:type="dxa" w:w="960"/>
          </w:tcPr>
          <w:p>
            <w:r>
              <w:rPr>
                <w:sz w:val="13"/>
              </w:rPr>
              <w:t>ηfi</w:t>
            </w:r>
          </w:p>
        </w:tc>
        <w:tc>
          <w:tcPr>
            <w:tcW w:type="dxa" w:w="960"/>
          </w:tcPr>
          <w:p>
            <w:r>
              <w:rPr>
                <w:sz w:val="13"/>
              </w:rPr>
              <w:t>Statut</w:t>
            </w:r>
          </w:p>
        </w:tc>
      </w:tr>
      <w:tr>
        <w:tc>
          <w:tcPr>
            <w:tcW w:type="dxa" w:w="960"/>
          </w:tcPr>
          <w:p>
            <w:r>
              <w:rPr>
                <w:sz w:val="13"/>
              </w:rPr>
              <w:t>ISO 834</w:t>
            </w:r>
          </w:p>
        </w:tc>
        <w:tc>
          <w:tcPr>
            <w:tcW w:type="dxa" w:w="960"/>
          </w:tcPr>
          <w:p>
            <w:r>
              <w:rPr>
                <w:sz w:val="13"/>
              </w:rPr>
              <w:t>15</w:t>
            </w:r>
          </w:p>
        </w:tc>
        <w:tc>
          <w:tcPr>
            <w:tcW w:type="dxa" w:w="960"/>
          </w:tcPr>
          <w:p>
            <w:r>
              <w:rPr>
                <w:sz w:val="13"/>
              </w:rPr>
              <w:t>Suspente secondaire</w:t>
            </w:r>
          </w:p>
        </w:tc>
        <w:tc>
          <w:tcPr>
            <w:tcW w:type="dxa" w:w="960"/>
          </w:tcPr>
          <w:p>
            <w:r>
              <w:rPr>
                <w:sz w:val="13"/>
              </w:rPr>
              <w:t>516.8</w:t>
            </w:r>
          </w:p>
        </w:tc>
        <w:tc>
          <w:tcPr>
            <w:tcW w:type="dxa" w:w="960"/>
          </w:tcPr>
          <w:p>
            <w:r>
              <w:rPr>
                <w:sz w:val="13"/>
              </w:rPr>
              <w:t>0.728</w:t>
            </w:r>
          </w:p>
        </w:tc>
        <w:tc>
          <w:tcPr>
            <w:tcW w:type="dxa" w:w="960"/>
          </w:tcPr>
          <w:p>
            <w:r>
              <w:rPr>
                <w:sz w:val="13"/>
              </w:rPr>
              <w:t>113.0</w:t>
            </w:r>
          </w:p>
        </w:tc>
        <w:tc>
          <w:tcPr>
            <w:tcW w:type="dxa" w:w="960"/>
          </w:tcPr>
          <w:p>
            <w:r>
              <w:rPr>
                <w:sz w:val="13"/>
              </w:rPr>
              <w:t>393.7</w:t>
            </w:r>
          </w:p>
        </w:tc>
        <w:tc>
          <w:tcPr>
            <w:tcW w:type="dxa" w:w="960"/>
          </w:tcPr>
          <w:p>
            <w:r>
              <w:rPr>
                <w:sz w:val="13"/>
              </w:rPr>
              <w:t>0.292</w:t>
            </w:r>
          </w:p>
        </w:tc>
        <w:tc>
          <w:tcPr>
            <w:tcW w:type="dxa" w:w="960"/>
          </w:tcPr>
          <w:p>
            <w:r>
              <w:rPr>
                <w:sz w:val="13"/>
              </w:rPr>
              <w:t>Justifié</w:t>
            </w:r>
          </w:p>
        </w:tc>
      </w:tr>
      <w:tr>
        <w:tc>
          <w:tcPr>
            <w:tcW w:type="dxa" w:w="960"/>
          </w:tcPr>
          <w:p>
            <w:r>
              <w:rPr>
                <w:sz w:val="13"/>
              </w:rPr>
              <w:t>ISO 834</w:t>
            </w:r>
          </w:p>
        </w:tc>
        <w:tc>
          <w:tcPr>
            <w:tcW w:type="dxa" w:w="960"/>
          </w:tcPr>
          <w:p>
            <w:r>
              <w:rPr>
                <w:sz w:val="13"/>
              </w:rPr>
              <w:t>30</w:t>
            </w:r>
          </w:p>
        </w:tc>
        <w:tc>
          <w:tcPr>
            <w:tcW w:type="dxa" w:w="960"/>
          </w:tcPr>
          <w:p>
            <w:r>
              <w:rPr>
                <w:sz w:val="13"/>
              </w:rPr>
              <w:t>Suspente secondaire</w:t>
            </w:r>
          </w:p>
        </w:tc>
        <w:tc>
          <w:tcPr>
            <w:tcW w:type="dxa" w:w="960"/>
          </w:tcPr>
          <w:p>
            <w:r>
              <w:rPr>
                <w:sz w:val="13"/>
              </w:rPr>
              <w:t>742.1</w:t>
            </w:r>
          </w:p>
        </w:tc>
        <w:tc>
          <w:tcPr>
            <w:tcW w:type="dxa" w:w="960"/>
          </w:tcPr>
          <w:p>
            <w:r>
              <w:rPr>
                <w:sz w:val="13"/>
              </w:rPr>
              <w:t>0.179</w:t>
            </w:r>
          </w:p>
        </w:tc>
        <w:tc>
          <w:tcPr>
            <w:tcW w:type="dxa" w:w="960"/>
          </w:tcPr>
          <w:p>
            <w:r>
              <w:rPr>
                <w:sz w:val="13"/>
              </w:rPr>
              <w:t>23.2</w:t>
            </w:r>
          </w:p>
        </w:tc>
        <w:tc>
          <w:tcPr>
            <w:tcW w:type="dxa" w:w="960"/>
          </w:tcPr>
          <w:p>
            <w:r>
              <w:rPr>
                <w:sz w:val="13"/>
              </w:rPr>
              <w:t>97.1</w:t>
            </w:r>
          </w:p>
        </w:tc>
        <w:tc>
          <w:tcPr>
            <w:tcW w:type="dxa" w:w="960"/>
          </w:tcPr>
          <w:p>
            <w:r>
              <w:rPr>
                <w:sz w:val="13"/>
              </w:rPr>
              <w:t>1.184</w:t>
            </w:r>
          </w:p>
        </w:tc>
        <w:tc>
          <w:tcPr>
            <w:tcW w:type="dxa" w:w="960"/>
          </w:tcPr>
          <w:p>
            <w:r>
              <w:rPr>
                <w:sz w:val="13"/>
              </w:rPr>
              <w:t>Non justifié</w:t>
            </w:r>
          </w:p>
        </w:tc>
      </w:tr>
      <w:tr>
        <w:tc>
          <w:tcPr>
            <w:tcW w:type="dxa" w:w="960"/>
          </w:tcPr>
          <w:p>
            <w:r>
              <w:rPr>
                <w:sz w:val="13"/>
              </w:rPr>
              <w:t>ISO 834</w:t>
            </w:r>
          </w:p>
        </w:tc>
        <w:tc>
          <w:tcPr>
            <w:tcW w:type="dxa" w:w="960"/>
          </w:tcPr>
          <w:p>
            <w:r>
              <w:rPr>
                <w:sz w:val="13"/>
              </w:rPr>
              <w:t>60</w:t>
            </w:r>
          </w:p>
        </w:tc>
        <w:tc>
          <w:tcPr>
            <w:tcW w:type="dxa" w:w="960"/>
          </w:tcPr>
          <w:p>
            <w:r>
              <w:rPr>
                <w:sz w:val="13"/>
              </w:rPr>
              <w:t>Suspente secondaire</w:t>
            </w:r>
          </w:p>
        </w:tc>
        <w:tc>
          <w:tcPr>
            <w:tcW w:type="dxa" w:w="960"/>
          </w:tcPr>
          <w:p>
            <w:r>
              <w:rPr>
                <w:sz w:val="13"/>
              </w:rPr>
              <w:t>935.8</w:t>
            </w:r>
          </w:p>
        </w:tc>
        <w:tc>
          <w:tcPr>
            <w:tcW w:type="dxa" w:w="960"/>
          </w:tcPr>
          <w:p>
            <w:r>
              <w:rPr>
                <w:sz w:val="13"/>
              </w:rPr>
              <w:t>0.053</w:t>
            </w:r>
          </w:p>
        </w:tc>
        <w:tc>
          <w:tcPr>
            <w:tcW w:type="dxa" w:w="960"/>
          </w:tcPr>
          <w:p>
            <w:r>
              <w:rPr>
                <w:sz w:val="13"/>
              </w:rPr>
              <w:t>12.2</w:t>
            </w:r>
          </w:p>
        </w:tc>
        <w:tc>
          <w:tcPr>
            <w:tcW w:type="dxa" w:w="960"/>
          </w:tcPr>
          <w:p>
            <w:r>
              <w:rPr>
                <w:sz w:val="13"/>
              </w:rPr>
              <w:t>28.6</w:t>
            </w:r>
          </w:p>
        </w:tc>
        <w:tc>
          <w:tcPr>
            <w:tcW w:type="dxa" w:w="960"/>
          </w:tcPr>
          <w:p>
            <w:r>
              <w:rPr>
                <w:sz w:val="13"/>
              </w:rPr>
              <w:t>4.022</w:t>
            </w:r>
          </w:p>
        </w:tc>
        <w:tc>
          <w:tcPr>
            <w:tcW w:type="dxa" w:w="960"/>
          </w:tcPr>
          <w:p>
            <w:r>
              <w:rPr>
                <w:sz w:val="13"/>
              </w:rPr>
              <w:t>Non justifié</w:t>
            </w:r>
          </w:p>
        </w:tc>
      </w:tr>
      <w:tr>
        <w:tc>
          <w:tcPr>
            <w:tcW w:type="dxa" w:w="960"/>
          </w:tcPr>
          <w:p>
            <w:r>
              <w:rPr>
                <w:sz w:val="13"/>
              </w:rPr>
              <w:t>ISO 834</w:t>
            </w:r>
          </w:p>
        </w:tc>
        <w:tc>
          <w:tcPr>
            <w:tcW w:type="dxa" w:w="960"/>
          </w:tcPr>
          <w:p>
            <w:r>
              <w:rPr>
                <w:sz w:val="13"/>
              </w:rPr>
              <w:t>90</w:t>
            </w:r>
          </w:p>
        </w:tc>
        <w:tc>
          <w:tcPr>
            <w:tcW w:type="dxa" w:w="960"/>
          </w:tcPr>
          <w:p>
            <w:r>
              <w:rPr>
                <w:sz w:val="13"/>
              </w:rPr>
              <w:t>Suspente secondaire</w:t>
            </w:r>
          </w:p>
        </w:tc>
        <w:tc>
          <w:tcPr>
            <w:tcW w:type="dxa" w:w="960"/>
          </w:tcPr>
          <w:p>
            <w:r>
              <w:rPr>
                <w:sz w:val="13"/>
              </w:rPr>
              <w:t>1000.7</w:t>
            </w:r>
          </w:p>
        </w:tc>
        <w:tc>
          <w:tcPr>
            <w:tcW w:type="dxa" w:w="960"/>
          </w:tcPr>
          <w:p>
            <w:r>
              <w:rPr>
                <w:sz w:val="13"/>
              </w:rPr>
              <w:t>0.04</w:t>
            </w:r>
          </w:p>
        </w:tc>
        <w:tc>
          <w:tcPr>
            <w:tcW w:type="dxa" w:w="960"/>
          </w:tcPr>
          <w:p>
            <w:r>
              <w:rPr>
                <w:sz w:val="13"/>
              </w:rPr>
              <w:t>9.2</w:t>
            </w:r>
          </w:p>
        </w:tc>
        <w:tc>
          <w:tcPr>
            <w:tcW w:type="dxa" w:w="960"/>
          </w:tcPr>
          <w:p>
            <w:r>
              <w:rPr>
                <w:sz w:val="13"/>
              </w:rPr>
              <w:t>21.6</w:t>
            </w:r>
          </w:p>
        </w:tc>
        <w:tc>
          <w:tcPr>
            <w:tcW w:type="dxa" w:w="960"/>
          </w:tcPr>
          <w:p>
            <w:r>
              <w:rPr>
                <w:sz w:val="13"/>
              </w:rPr>
              <w:t>5.333</w:t>
            </w:r>
          </w:p>
        </w:tc>
        <w:tc>
          <w:tcPr>
            <w:tcW w:type="dxa" w:w="960"/>
          </w:tcPr>
          <w:p>
            <w:r>
              <w:rPr>
                <w:sz w:val="13"/>
              </w:rPr>
              <w:t>Non justifié</w:t>
            </w:r>
          </w:p>
        </w:tc>
      </w:tr>
      <w:tr>
        <w:tc>
          <w:tcPr>
            <w:tcW w:type="dxa" w:w="960"/>
          </w:tcPr>
          <w:p>
            <w:r>
              <w:rPr>
                <w:sz w:val="13"/>
              </w:rPr>
              <w:t>ISO 834</w:t>
            </w:r>
          </w:p>
        </w:tc>
        <w:tc>
          <w:tcPr>
            <w:tcW w:type="dxa" w:w="960"/>
          </w:tcPr>
          <w:p>
            <w:r>
              <w:rPr>
                <w:sz w:val="13"/>
              </w:rPr>
              <w:t>120</w:t>
            </w:r>
          </w:p>
        </w:tc>
        <w:tc>
          <w:tcPr>
            <w:tcW w:type="dxa" w:w="960"/>
          </w:tcPr>
          <w:p>
            <w:r>
              <w:rPr>
                <w:sz w:val="13"/>
              </w:rPr>
              <w:t>Suspente secondaire</w:t>
            </w:r>
          </w:p>
        </w:tc>
        <w:tc>
          <w:tcPr>
            <w:tcW w:type="dxa" w:w="960"/>
          </w:tcPr>
          <w:p>
            <w:r>
              <w:rPr>
                <w:sz w:val="13"/>
              </w:rPr>
              <w:t>1045.5</w:t>
            </w:r>
          </w:p>
        </w:tc>
        <w:tc>
          <w:tcPr>
            <w:tcW w:type="dxa" w:w="960"/>
          </w:tcPr>
          <w:p>
            <w:r>
              <w:rPr>
                <w:sz w:val="13"/>
              </w:rPr>
              <w:t>0.031</w:t>
            </w:r>
          </w:p>
        </w:tc>
        <w:tc>
          <w:tcPr>
            <w:tcW w:type="dxa" w:w="960"/>
          </w:tcPr>
          <w:p>
            <w:r>
              <w:rPr>
                <w:sz w:val="13"/>
              </w:rPr>
              <w:t>7.1</w:t>
            </w:r>
          </w:p>
        </w:tc>
        <w:tc>
          <w:tcPr>
            <w:tcW w:type="dxa" w:w="960"/>
          </w:tcPr>
          <w:p>
            <w:r>
              <w:rPr>
                <w:sz w:val="13"/>
              </w:rPr>
              <w:t>16.7</w:t>
            </w:r>
          </w:p>
        </w:tc>
        <w:tc>
          <w:tcPr>
            <w:tcW w:type="dxa" w:w="960"/>
          </w:tcPr>
          <w:p>
            <w:r>
              <w:rPr>
                <w:sz w:val="13"/>
              </w:rPr>
              <w:t>6.879</w:t>
            </w:r>
          </w:p>
        </w:tc>
        <w:tc>
          <w:tcPr>
            <w:tcW w:type="dxa" w:w="960"/>
          </w:tcPr>
          <w:p>
            <w:r>
              <w:rPr>
                <w:sz w:val="13"/>
              </w:rPr>
              <w:t>Non justifié</w:t>
            </w:r>
          </w:p>
        </w:tc>
      </w:tr>
      <w:tr>
        <w:tc>
          <w:tcPr>
            <w:tcW w:type="dxa" w:w="960"/>
          </w:tcPr>
          <w:p>
            <w:r>
              <w:rPr>
                <w:sz w:val="13"/>
              </w:rPr>
              <w:t>ISO 834</w:t>
            </w:r>
          </w:p>
        </w:tc>
        <w:tc>
          <w:tcPr>
            <w:tcW w:type="dxa" w:w="960"/>
          </w:tcPr>
          <w:p>
            <w:r>
              <w:rPr>
                <w:sz w:val="13"/>
              </w:rPr>
              <w:t>15</w:t>
            </w:r>
          </w:p>
        </w:tc>
        <w:tc>
          <w:tcPr>
            <w:tcW w:type="dxa" w:w="960"/>
          </w:tcPr>
          <w:p>
            <w:r>
              <w:rPr>
                <w:sz w:val="13"/>
              </w:rPr>
              <w:t>Câble principal clos</w:t>
            </w:r>
          </w:p>
        </w:tc>
        <w:tc>
          <w:tcPr>
            <w:tcW w:type="dxa" w:w="960"/>
          </w:tcPr>
          <w:p>
            <w:r>
              <w:rPr>
                <w:sz w:val="13"/>
              </w:rPr>
              <w:t>231.8</w:t>
            </w:r>
          </w:p>
        </w:tc>
        <w:tc>
          <w:tcPr>
            <w:tcW w:type="dxa" w:w="960"/>
          </w:tcPr>
          <w:p>
            <w:r>
              <w:rPr>
                <w:sz w:val="13"/>
              </w:rPr>
              <w:t>1.0</w:t>
            </w:r>
          </w:p>
        </w:tc>
        <w:tc>
          <w:tcPr>
            <w:tcW w:type="dxa" w:w="960"/>
          </w:tcPr>
          <w:p>
            <w:r>
              <w:rPr>
                <w:sz w:val="13"/>
              </w:rPr>
              <w:t>138.9</w:t>
            </w:r>
          </w:p>
        </w:tc>
        <w:tc>
          <w:tcPr>
            <w:tcW w:type="dxa" w:w="960"/>
          </w:tcPr>
          <w:p>
            <w:r>
              <w:rPr>
                <w:sz w:val="13"/>
              </w:rPr>
              <w:t>11897.0</w:t>
            </w:r>
          </w:p>
        </w:tc>
        <w:tc>
          <w:tcPr>
            <w:tcW w:type="dxa" w:w="960"/>
          </w:tcPr>
          <w:p>
            <w:r>
              <w:rPr>
                <w:sz w:val="13"/>
              </w:rPr>
              <w:t>0.277</w:t>
            </w:r>
          </w:p>
        </w:tc>
        <w:tc>
          <w:tcPr>
            <w:tcW w:type="dxa" w:w="960"/>
          </w:tcPr>
          <w:p>
            <w:r>
              <w:rPr>
                <w:sz w:val="13"/>
              </w:rPr>
              <w:t>Justifié</w:t>
            </w:r>
          </w:p>
        </w:tc>
      </w:tr>
      <w:tr>
        <w:tc>
          <w:tcPr>
            <w:tcW w:type="dxa" w:w="960"/>
          </w:tcPr>
          <w:p>
            <w:r>
              <w:rPr>
                <w:sz w:val="13"/>
              </w:rPr>
              <w:t>ISO 834</w:t>
            </w:r>
          </w:p>
        </w:tc>
        <w:tc>
          <w:tcPr>
            <w:tcW w:type="dxa" w:w="960"/>
          </w:tcPr>
          <w:p>
            <w:r>
              <w:rPr>
                <w:sz w:val="13"/>
              </w:rPr>
              <w:t>30</w:t>
            </w:r>
          </w:p>
        </w:tc>
        <w:tc>
          <w:tcPr>
            <w:tcW w:type="dxa" w:w="960"/>
          </w:tcPr>
          <w:p>
            <w:r>
              <w:rPr>
                <w:sz w:val="13"/>
              </w:rPr>
              <w:t>Câble principal clos</w:t>
            </w:r>
          </w:p>
        </w:tc>
        <w:tc>
          <w:tcPr>
            <w:tcW w:type="dxa" w:w="960"/>
          </w:tcPr>
          <w:p>
            <w:r>
              <w:rPr>
                <w:sz w:val="13"/>
              </w:rPr>
              <w:t>492.9</w:t>
            </w:r>
          </w:p>
        </w:tc>
        <w:tc>
          <w:tcPr>
            <w:tcW w:type="dxa" w:w="960"/>
          </w:tcPr>
          <w:p>
            <w:r>
              <w:rPr>
                <w:sz w:val="13"/>
              </w:rPr>
              <w:t>0.796</w:t>
            </w:r>
          </w:p>
        </w:tc>
        <w:tc>
          <w:tcPr>
            <w:tcW w:type="dxa" w:w="960"/>
          </w:tcPr>
          <w:p>
            <w:r>
              <w:rPr>
                <w:sz w:val="13"/>
              </w:rPr>
              <w:t>97.1</w:t>
            </w:r>
          </w:p>
        </w:tc>
        <w:tc>
          <w:tcPr>
            <w:tcW w:type="dxa" w:w="960"/>
          </w:tcPr>
          <w:p>
            <w:r>
              <w:rPr>
                <w:sz w:val="13"/>
              </w:rPr>
              <w:t>9466.3</w:t>
            </w:r>
          </w:p>
        </w:tc>
        <w:tc>
          <w:tcPr>
            <w:tcW w:type="dxa" w:w="960"/>
          </w:tcPr>
          <w:p>
            <w:r>
              <w:rPr>
                <w:sz w:val="13"/>
              </w:rPr>
              <w:t>0.349</w:t>
            </w:r>
          </w:p>
        </w:tc>
        <w:tc>
          <w:tcPr>
            <w:tcW w:type="dxa" w:w="960"/>
          </w:tcPr>
          <w:p>
            <w:r>
              <w:rPr>
                <w:sz w:val="13"/>
              </w:rPr>
              <w:t>Justifié</w:t>
            </w:r>
          </w:p>
        </w:tc>
      </w:tr>
      <w:tr>
        <w:tc>
          <w:tcPr>
            <w:tcW w:type="dxa" w:w="960"/>
          </w:tcPr>
          <w:p>
            <w:r>
              <w:rPr>
                <w:sz w:val="13"/>
              </w:rPr>
              <w:t>ISO 834</w:t>
            </w:r>
          </w:p>
        </w:tc>
        <w:tc>
          <w:tcPr>
            <w:tcW w:type="dxa" w:w="960"/>
          </w:tcPr>
          <w:p>
            <w:r>
              <w:rPr>
                <w:sz w:val="13"/>
              </w:rPr>
              <w:t>60</w:t>
            </w:r>
          </w:p>
        </w:tc>
        <w:tc>
          <w:tcPr>
            <w:tcW w:type="dxa" w:w="960"/>
          </w:tcPr>
          <w:p>
            <w:r>
              <w:rPr>
                <w:sz w:val="13"/>
              </w:rPr>
              <w:t>Câble principal clos</w:t>
            </w:r>
          </w:p>
        </w:tc>
        <w:tc>
          <w:tcPr>
            <w:tcW w:type="dxa" w:w="960"/>
          </w:tcPr>
          <w:p>
            <w:r>
              <w:rPr>
                <w:sz w:val="13"/>
              </w:rPr>
              <w:t>764.8</w:t>
            </w:r>
          </w:p>
        </w:tc>
        <w:tc>
          <w:tcPr>
            <w:tcW w:type="dxa" w:w="960"/>
          </w:tcPr>
          <w:p>
            <w:r>
              <w:rPr>
                <w:sz w:val="13"/>
              </w:rPr>
              <w:t>0.152</w:t>
            </w:r>
          </w:p>
        </w:tc>
        <w:tc>
          <w:tcPr>
            <w:tcW w:type="dxa" w:w="960"/>
          </w:tcPr>
          <w:p>
            <w:r>
              <w:rPr>
                <w:sz w:val="13"/>
              </w:rPr>
              <w:t>16.7</w:t>
            </w:r>
          </w:p>
        </w:tc>
        <w:tc>
          <w:tcPr>
            <w:tcW w:type="dxa" w:w="960"/>
          </w:tcPr>
          <w:p>
            <w:r>
              <w:rPr>
                <w:sz w:val="13"/>
              </w:rPr>
              <w:t>1811.5</w:t>
            </w:r>
          </w:p>
        </w:tc>
        <w:tc>
          <w:tcPr>
            <w:tcW w:type="dxa" w:w="960"/>
          </w:tcPr>
          <w:p>
            <w:r>
              <w:rPr>
                <w:sz w:val="13"/>
              </w:rPr>
              <w:t>1.822</w:t>
            </w:r>
          </w:p>
        </w:tc>
        <w:tc>
          <w:tcPr>
            <w:tcW w:type="dxa" w:w="960"/>
          </w:tcPr>
          <w:p>
            <w:r>
              <w:rPr>
                <w:sz w:val="13"/>
              </w:rPr>
              <w:t>Non justifié</w:t>
            </w:r>
          </w:p>
        </w:tc>
      </w:tr>
      <w:tr>
        <w:tc>
          <w:tcPr>
            <w:tcW w:type="dxa" w:w="960"/>
          </w:tcPr>
          <w:p>
            <w:r>
              <w:rPr>
                <w:sz w:val="13"/>
              </w:rPr>
              <w:t>ISO 834</w:t>
            </w:r>
          </w:p>
        </w:tc>
        <w:tc>
          <w:tcPr>
            <w:tcW w:type="dxa" w:w="960"/>
          </w:tcPr>
          <w:p>
            <w:r>
              <w:rPr>
                <w:sz w:val="13"/>
              </w:rPr>
              <w:t>90</w:t>
            </w:r>
          </w:p>
        </w:tc>
        <w:tc>
          <w:tcPr>
            <w:tcW w:type="dxa" w:w="960"/>
          </w:tcPr>
          <w:p>
            <w:r>
              <w:rPr>
                <w:sz w:val="13"/>
              </w:rPr>
              <w:t>Câble principal clos</w:t>
            </w:r>
          </w:p>
        </w:tc>
        <w:tc>
          <w:tcPr>
            <w:tcW w:type="dxa" w:w="960"/>
          </w:tcPr>
          <w:p>
            <w:r>
              <w:rPr>
                <w:sz w:val="13"/>
              </w:rPr>
              <w:t>969.3</w:t>
            </w:r>
          </w:p>
        </w:tc>
        <w:tc>
          <w:tcPr>
            <w:tcW w:type="dxa" w:w="960"/>
          </w:tcPr>
          <w:p>
            <w:r>
              <w:rPr>
                <w:sz w:val="13"/>
              </w:rPr>
              <w:t>0.046</w:t>
            </w:r>
          </w:p>
        </w:tc>
        <w:tc>
          <w:tcPr>
            <w:tcW w:type="dxa" w:w="960"/>
          </w:tcPr>
          <w:p>
            <w:r>
              <w:rPr>
                <w:sz w:val="13"/>
              </w:rPr>
              <w:t>8.3</w:t>
            </w:r>
          </w:p>
        </w:tc>
        <w:tc>
          <w:tcPr>
            <w:tcW w:type="dxa" w:w="960"/>
          </w:tcPr>
          <w:p>
            <w:r>
              <w:rPr>
                <w:sz w:val="13"/>
              </w:rPr>
              <w:t>549.0</w:t>
            </w:r>
          </w:p>
        </w:tc>
        <w:tc>
          <w:tcPr>
            <w:tcW w:type="dxa" w:w="960"/>
          </w:tcPr>
          <w:p>
            <w:r>
              <w:rPr>
                <w:sz w:val="13"/>
              </w:rPr>
              <w:t>6.011</w:t>
            </w:r>
          </w:p>
        </w:tc>
        <w:tc>
          <w:tcPr>
            <w:tcW w:type="dxa" w:w="960"/>
          </w:tcPr>
          <w:p>
            <w:r>
              <w:rPr>
                <w:sz w:val="13"/>
              </w:rPr>
              <w:t>Non justifié</w:t>
            </w:r>
          </w:p>
        </w:tc>
      </w:tr>
      <w:tr>
        <w:tc>
          <w:tcPr>
            <w:tcW w:type="dxa" w:w="960"/>
          </w:tcPr>
          <w:p>
            <w:r>
              <w:rPr>
                <w:sz w:val="13"/>
              </w:rPr>
              <w:t>ISO 834</w:t>
            </w:r>
          </w:p>
        </w:tc>
        <w:tc>
          <w:tcPr>
            <w:tcW w:type="dxa" w:w="960"/>
          </w:tcPr>
          <w:p>
            <w:r>
              <w:rPr>
                <w:sz w:val="13"/>
              </w:rPr>
              <w:t>120</w:t>
            </w:r>
          </w:p>
        </w:tc>
        <w:tc>
          <w:tcPr>
            <w:tcW w:type="dxa" w:w="960"/>
          </w:tcPr>
          <w:p>
            <w:r>
              <w:rPr>
                <w:sz w:val="13"/>
              </w:rPr>
              <w:t>Câble principal clos</w:t>
            </w:r>
          </w:p>
        </w:tc>
        <w:tc>
          <w:tcPr>
            <w:tcW w:type="dxa" w:w="960"/>
          </w:tcPr>
          <w:p>
            <w:r>
              <w:rPr>
                <w:sz w:val="13"/>
              </w:rPr>
              <w:t>1034.8</w:t>
            </w:r>
          </w:p>
        </w:tc>
        <w:tc>
          <w:tcPr>
            <w:tcW w:type="dxa" w:w="960"/>
          </w:tcPr>
          <w:p>
            <w:r>
              <w:rPr>
                <w:sz w:val="13"/>
              </w:rPr>
              <w:t>0.033</w:t>
            </w:r>
          </w:p>
        </w:tc>
        <w:tc>
          <w:tcPr>
            <w:tcW w:type="dxa" w:w="960"/>
          </w:tcPr>
          <w:p>
            <w:r>
              <w:rPr>
                <w:sz w:val="13"/>
              </w:rPr>
              <w:t>5.9</w:t>
            </w:r>
          </w:p>
        </w:tc>
        <w:tc>
          <w:tcPr>
            <w:tcW w:type="dxa" w:w="960"/>
          </w:tcPr>
          <w:p>
            <w:r>
              <w:rPr>
                <w:sz w:val="13"/>
              </w:rPr>
              <w:t>393.1</w:t>
            </w:r>
          </w:p>
        </w:tc>
        <w:tc>
          <w:tcPr>
            <w:tcW w:type="dxa" w:w="960"/>
          </w:tcPr>
          <w:p>
            <w:r>
              <w:rPr>
                <w:sz w:val="13"/>
              </w:rPr>
              <w:t>8.395</w:t>
            </w:r>
          </w:p>
        </w:tc>
        <w:tc>
          <w:tcPr>
            <w:tcW w:type="dxa" w:w="960"/>
          </w:tcPr>
          <w:p>
            <w:r>
              <w:rPr>
                <w:sz w:val="13"/>
              </w:rPr>
              <w:t>Non justifié</w:t>
            </w:r>
          </w:p>
        </w:tc>
      </w:tr>
      <w:tr>
        <w:tc>
          <w:tcPr>
            <w:tcW w:type="dxa" w:w="960"/>
          </w:tcPr>
          <w:p>
            <w:r>
              <w:rPr>
                <w:sz w:val="13"/>
              </w:rPr>
              <w:t>Feu extérieur</w:t>
            </w:r>
          </w:p>
        </w:tc>
        <w:tc>
          <w:tcPr>
            <w:tcW w:type="dxa" w:w="960"/>
          </w:tcPr>
          <w:p>
            <w:r>
              <w:rPr>
                <w:sz w:val="13"/>
              </w:rPr>
              <w:t>15</w:t>
            </w:r>
          </w:p>
        </w:tc>
        <w:tc>
          <w:tcPr>
            <w:tcW w:type="dxa" w:w="960"/>
          </w:tcPr>
          <w:p>
            <w:r>
              <w:rPr>
                <w:sz w:val="13"/>
              </w:rPr>
              <w:t>Suspente secondaire</w:t>
            </w:r>
          </w:p>
        </w:tc>
        <w:tc>
          <w:tcPr>
            <w:tcW w:type="dxa" w:w="960"/>
          </w:tcPr>
          <w:p>
            <w:r>
              <w:rPr>
                <w:sz w:val="13"/>
              </w:rPr>
              <w:t>491.7</w:t>
            </w:r>
          </w:p>
        </w:tc>
        <w:tc>
          <w:tcPr>
            <w:tcW w:type="dxa" w:w="960"/>
          </w:tcPr>
          <w:p>
            <w:r>
              <w:rPr>
                <w:sz w:val="13"/>
              </w:rPr>
              <w:t>0.798</w:t>
            </w:r>
          </w:p>
        </w:tc>
        <w:tc>
          <w:tcPr>
            <w:tcW w:type="dxa" w:w="960"/>
          </w:tcPr>
          <w:p>
            <w:r>
              <w:rPr>
                <w:sz w:val="13"/>
              </w:rPr>
              <w:t>124.7</w:t>
            </w:r>
          </w:p>
        </w:tc>
        <w:tc>
          <w:tcPr>
            <w:tcW w:type="dxa" w:w="960"/>
          </w:tcPr>
          <w:p>
            <w:r>
              <w:rPr>
                <w:sz w:val="13"/>
              </w:rPr>
              <w:t>431.8</w:t>
            </w:r>
          </w:p>
        </w:tc>
        <w:tc>
          <w:tcPr>
            <w:tcW w:type="dxa" w:w="960"/>
          </w:tcPr>
          <w:p>
            <w:r>
              <w:rPr>
                <w:sz w:val="13"/>
              </w:rPr>
              <w:t>0.266</w:t>
            </w:r>
          </w:p>
        </w:tc>
        <w:tc>
          <w:tcPr>
            <w:tcW w:type="dxa" w:w="960"/>
          </w:tcPr>
          <w:p>
            <w:r>
              <w:rPr>
                <w:sz w:val="13"/>
              </w:rPr>
              <w:t>Justifié</w:t>
            </w:r>
          </w:p>
        </w:tc>
      </w:tr>
      <w:tr>
        <w:tc>
          <w:tcPr>
            <w:tcW w:type="dxa" w:w="960"/>
          </w:tcPr>
          <w:p>
            <w:r>
              <w:rPr>
                <w:sz w:val="13"/>
              </w:rPr>
              <w:t>Feu extérieur</w:t>
            </w:r>
          </w:p>
        </w:tc>
        <w:tc>
          <w:tcPr>
            <w:tcW w:type="dxa" w:w="960"/>
          </w:tcPr>
          <w:p>
            <w:r>
              <w:rPr>
                <w:sz w:val="13"/>
              </w:rPr>
              <w:t>30</w:t>
            </w:r>
          </w:p>
        </w:tc>
        <w:tc>
          <w:tcPr>
            <w:tcW w:type="dxa" w:w="960"/>
          </w:tcPr>
          <w:p>
            <w:r>
              <w:rPr>
                <w:sz w:val="13"/>
              </w:rPr>
              <w:t>Suspente secondaire</w:t>
            </w:r>
          </w:p>
        </w:tc>
        <w:tc>
          <w:tcPr>
            <w:tcW w:type="dxa" w:w="960"/>
          </w:tcPr>
          <w:p>
            <w:r>
              <w:rPr>
                <w:sz w:val="13"/>
              </w:rPr>
              <w:t>648.4</w:t>
            </w:r>
          </w:p>
        </w:tc>
        <w:tc>
          <w:tcPr>
            <w:tcW w:type="dxa" w:w="960"/>
          </w:tcPr>
          <w:p>
            <w:r>
              <w:rPr>
                <w:sz w:val="13"/>
              </w:rPr>
              <w:t>0.354</w:t>
            </w:r>
          </w:p>
        </w:tc>
        <w:tc>
          <w:tcPr>
            <w:tcW w:type="dxa" w:w="960"/>
          </w:tcPr>
          <w:p>
            <w:r>
              <w:rPr>
                <w:sz w:val="13"/>
              </w:rPr>
              <w:t>45.7</w:t>
            </w:r>
          </w:p>
        </w:tc>
        <w:tc>
          <w:tcPr>
            <w:tcW w:type="dxa" w:w="960"/>
          </w:tcPr>
          <w:p>
            <w:r>
              <w:rPr>
                <w:sz w:val="13"/>
              </w:rPr>
              <w:t>191.4</w:t>
            </w:r>
          </w:p>
        </w:tc>
        <w:tc>
          <w:tcPr>
            <w:tcW w:type="dxa" w:w="960"/>
          </w:tcPr>
          <w:p>
            <w:r>
              <w:rPr>
                <w:sz w:val="13"/>
              </w:rPr>
              <w:t>0.601</w:t>
            </w:r>
          </w:p>
        </w:tc>
        <w:tc>
          <w:tcPr>
            <w:tcW w:type="dxa" w:w="960"/>
          </w:tcPr>
          <w:p>
            <w:r>
              <w:rPr>
                <w:sz w:val="13"/>
              </w:rPr>
              <w:t>Justifié</w:t>
            </w:r>
          </w:p>
        </w:tc>
      </w:tr>
      <w:tr>
        <w:tc>
          <w:tcPr>
            <w:tcW w:type="dxa" w:w="960"/>
          </w:tcPr>
          <w:p>
            <w:r>
              <w:rPr>
                <w:sz w:val="13"/>
              </w:rPr>
              <w:t>Feu extérieur</w:t>
            </w:r>
          </w:p>
        </w:tc>
        <w:tc>
          <w:tcPr>
            <w:tcW w:type="dxa" w:w="960"/>
          </w:tcPr>
          <w:p>
            <w:r>
              <w:rPr>
                <w:sz w:val="13"/>
              </w:rPr>
              <w:t>60</w:t>
            </w:r>
          </w:p>
        </w:tc>
        <w:tc>
          <w:tcPr>
            <w:tcW w:type="dxa" w:w="960"/>
          </w:tcPr>
          <w:p>
            <w:r>
              <w:rPr>
                <w:sz w:val="13"/>
              </w:rPr>
              <w:t>Suspente secondaire</w:t>
            </w:r>
          </w:p>
        </w:tc>
        <w:tc>
          <w:tcPr>
            <w:tcW w:type="dxa" w:w="960"/>
          </w:tcPr>
          <w:p>
            <w:r>
              <w:rPr>
                <w:sz w:val="13"/>
              </w:rPr>
              <w:t>679.0</w:t>
            </w:r>
          </w:p>
        </w:tc>
        <w:tc>
          <w:tcPr>
            <w:tcW w:type="dxa" w:w="960"/>
          </w:tcPr>
          <w:p>
            <w:r>
              <w:rPr>
                <w:sz w:val="13"/>
              </w:rPr>
              <w:t>0.28</w:t>
            </w:r>
          </w:p>
        </w:tc>
        <w:tc>
          <w:tcPr>
            <w:tcW w:type="dxa" w:w="960"/>
          </w:tcPr>
          <w:p>
            <w:r>
              <w:rPr>
                <w:sz w:val="13"/>
              </w:rPr>
              <w:t>34.4</w:t>
            </w:r>
          </w:p>
        </w:tc>
        <w:tc>
          <w:tcPr>
            <w:tcW w:type="dxa" w:w="960"/>
          </w:tcPr>
          <w:p>
            <w:r>
              <w:rPr>
                <w:sz w:val="13"/>
              </w:rPr>
              <w:t>151.7</w:t>
            </w:r>
          </w:p>
        </w:tc>
        <w:tc>
          <w:tcPr>
            <w:tcW w:type="dxa" w:w="960"/>
          </w:tcPr>
          <w:p>
            <w:r>
              <w:rPr>
                <w:sz w:val="13"/>
              </w:rPr>
              <w:t>0.758</w:t>
            </w:r>
          </w:p>
        </w:tc>
        <w:tc>
          <w:tcPr>
            <w:tcW w:type="dxa" w:w="960"/>
          </w:tcPr>
          <w:p>
            <w:r>
              <w:rPr>
                <w:sz w:val="13"/>
              </w:rPr>
              <w:t>Justifié</w:t>
            </w:r>
          </w:p>
        </w:tc>
      </w:tr>
      <w:tr>
        <w:tc>
          <w:tcPr>
            <w:tcW w:type="dxa" w:w="960"/>
          </w:tcPr>
          <w:p>
            <w:r>
              <w:rPr>
                <w:sz w:val="13"/>
              </w:rPr>
              <w:t>Feu extérieur</w:t>
            </w:r>
          </w:p>
        </w:tc>
        <w:tc>
          <w:tcPr>
            <w:tcW w:type="dxa" w:w="960"/>
          </w:tcPr>
          <w:p>
            <w:r>
              <w:rPr>
                <w:sz w:val="13"/>
              </w:rPr>
              <w:t>90</w:t>
            </w:r>
          </w:p>
        </w:tc>
        <w:tc>
          <w:tcPr>
            <w:tcW w:type="dxa" w:w="960"/>
          </w:tcPr>
          <w:p>
            <w:r>
              <w:rPr>
                <w:sz w:val="13"/>
              </w:rPr>
              <w:t>Suspente secondaire</w:t>
            </w:r>
          </w:p>
        </w:tc>
        <w:tc>
          <w:tcPr>
            <w:tcW w:type="dxa" w:w="960"/>
          </w:tcPr>
          <w:p>
            <w:r>
              <w:rPr>
                <w:sz w:val="13"/>
              </w:rPr>
              <w:t>680.0</w:t>
            </w:r>
          </w:p>
        </w:tc>
        <w:tc>
          <w:tcPr>
            <w:tcW w:type="dxa" w:w="960"/>
          </w:tcPr>
          <w:p>
            <w:r>
              <w:rPr>
                <w:sz w:val="13"/>
              </w:rPr>
              <w:t>0.278</w:t>
            </w:r>
          </w:p>
        </w:tc>
        <w:tc>
          <w:tcPr>
            <w:tcW w:type="dxa" w:w="960"/>
          </w:tcPr>
          <w:p>
            <w:r>
              <w:rPr>
                <w:sz w:val="13"/>
              </w:rPr>
              <w:t>34.0</w:t>
            </w:r>
          </w:p>
        </w:tc>
        <w:tc>
          <w:tcPr>
            <w:tcW w:type="dxa" w:w="960"/>
          </w:tcPr>
          <w:p>
            <w:r>
              <w:rPr>
                <w:sz w:val="13"/>
              </w:rPr>
              <w:t>150.4</w:t>
            </w:r>
          </w:p>
        </w:tc>
        <w:tc>
          <w:tcPr>
            <w:tcW w:type="dxa" w:w="960"/>
          </w:tcPr>
          <w:p>
            <w:r>
              <w:rPr>
                <w:sz w:val="13"/>
              </w:rPr>
              <w:t>0.764</w:t>
            </w:r>
          </w:p>
        </w:tc>
        <w:tc>
          <w:tcPr>
            <w:tcW w:type="dxa" w:w="960"/>
          </w:tcPr>
          <w:p>
            <w:r>
              <w:rPr>
                <w:sz w:val="13"/>
              </w:rPr>
              <w:t>Justifié</w:t>
            </w:r>
          </w:p>
        </w:tc>
      </w:tr>
      <w:tr>
        <w:tc>
          <w:tcPr>
            <w:tcW w:type="dxa" w:w="960"/>
          </w:tcPr>
          <w:p>
            <w:r>
              <w:rPr>
                <w:sz w:val="13"/>
              </w:rPr>
              <w:t>Feu extérieur</w:t>
            </w:r>
          </w:p>
        </w:tc>
        <w:tc>
          <w:tcPr>
            <w:tcW w:type="dxa" w:w="960"/>
          </w:tcPr>
          <w:p>
            <w:r>
              <w:rPr>
                <w:sz w:val="13"/>
              </w:rPr>
              <w:t>120</w:t>
            </w:r>
          </w:p>
        </w:tc>
        <w:tc>
          <w:tcPr>
            <w:tcW w:type="dxa" w:w="960"/>
          </w:tcPr>
          <w:p>
            <w:r>
              <w:rPr>
                <w:sz w:val="13"/>
              </w:rPr>
              <w:t>Suspente secondaire</w:t>
            </w:r>
          </w:p>
        </w:tc>
        <w:tc>
          <w:tcPr>
            <w:tcW w:type="dxa" w:w="960"/>
          </w:tcPr>
          <w:p>
            <w:r>
              <w:rPr>
                <w:sz w:val="13"/>
              </w:rPr>
              <w:t>680.0</w:t>
            </w:r>
          </w:p>
        </w:tc>
        <w:tc>
          <w:tcPr>
            <w:tcW w:type="dxa" w:w="960"/>
          </w:tcPr>
          <w:p>
            <w:r>
              <w:rPr>
                <w:sz w:val="13"/>
              </w:rPr>
              <w:t>0.278</w:t>
            </w:r>
          </w:p>
        </w:tc>
        <w:tc>
          <w:tcPr>
            <w:tcW w:type="dxa" w:w="960"/>
          </w:tcPr>
          <w:p>
            <w:r>
              <w:rPr>
                <w:sz w:val="13"/>
              </w:rPr>
              <w:t>34.0</w:t>
            </w:r>
          </w:p>
        </w:tc>
        <w:tc>
          <w:tcPr>
            <w:tcW w:type="dxa" w:w="960"/>
          </w:tcPr>
          <w:p>
            <w:r>
              <w:rPr>
                <w:sz w:val="13"/>
              </w:rPr>
              <w:t>150.4</w:t>
            </w:r>
          </w:p>
        </w:tc>
        <w:tc>
          <w:tcPr>
            <w:tcW w:type="dxa" w:w="960"/>
          </w:tcPr>
          <w:p>
            <w:r>
              <w:rPr>
                <w:sz w:val="13"/>
              </w:rPr>
              <w:t>0.765</w:t>
            </w:r>
          </w:p>
        </w:tc>
        <w:tc>
          <w:tcPr>
            <w:tcW w:type="dxa" w:w="960"/>
          </w:tcPr>
          <w:p>
            <w:r>
              <w:rPr>
                <w:sz w:val="13"/>
              </w:rPr>
              <w:t>Justifié</w:t>
            </w:r>
          </w:p>
        </w:tc>
      </w:tr>
      <w:tr>
        <w:tc>
          <w:tcPr>
            <w:tcW w:type="dxa" w:w="960"/>
          </w:tcPr>
          <w:p>
            <w:r>
              <w:rPr>
                <w:sz w:val="13"/>
              </w:rPr>
              <w:t>Feu extérieur</w:t>
            </w:r>
          </w:p>
        </w:tc>
        <w:tc>
          <w:tcPr>
            <w:tcW w:type="dxa" w:w="960"/>
          </w:tcPr>
          <w:p>
            <w:r>
              <w:rPr>
                <w:sz w:val="13"/>
              </w:rPr>
              <w:t>15</w:t>
            </w:r>
          </w:p>
        </w:tc>
        <w:tc>
          <w:tcPr>
            <w:tcW w:type="dxa" w:w="960"/>
          </w:tcPr>
          <w:p>
            <w:r>
              <w:rPr>
                <w:sz w:val="13"/>
              </w:rPr>
              <w:t>Câble principal clos</w:t>
            </w:r>
          </w:p>
        </w:tc>
        <w:tc>
          <w:tcPr>
            <w:tcW w:type="dxa" w:w="960"/>
          </w:tcPr>
          <w:p>
            <w:r>
              <w:rPr>
                <w:sz w:val="13"/>
              </w:rPr>
              <w:t>221.6</w:t>
            </w:r>
          </w:p>
        </w:tc>
        <w:tc>
          <w:tcPr>
            <w:tcW w:type="dxa" w:w="960"/>
          </w:tcPr>
          <w:p>
            <w:r>
              <w:rPr>
                <w:sz w:val="13"/>
              </w:rPr>
              <w:t>1.0</w:t>
            </w:r>
          </w:p>
        </w:tc>
        <w:tc>
          <w:tcPr>
            <w:tcW w:type="dxa" w:w="960"/>
          </w:tcPr>
          <w:p>
            <w:r>
              <w:rPr>
                <w:sz w:val="13"/>
              </w:rPr>
              <w:t>140.5</w:t>
            </w:r>
          </w:p>
        </w:tc>
        <w:tc>
          <w:tcPr>
            <w:tcW w:type="dxa" w:w="960"/>
          </w:tcPr>
          <w:p>
            <w:r>
              <w:rPr>
                <w:sz w:val="13"/>
              </w:rPr>
              <w:t>11897.0</w:t>
            </w:r>
          </w:p>
        </w:tc>
        <w:tc>
          <w:tcPr>
            <w:tcW w:type="dxa" w:w="960"/>
          </w:tcPr>
          <w:p>
            <w:r>
              <w:rPr>
                <w:sz w:val="13"/>
              </w:rPr>
              <w:t>0.277</w:t>
            </w:r>
          </w:p>
        </w:tc>
        <w:tc>
          <w:tcPr>
            <w:tcW w:type="dxa" w:w="960"/>
          </w:tcPr>
          <w:p>
            <w:r>
              <w:rPr>
                <w:sz w:val="13"/>
              </w:rPr>
              <w:t>Justifié</w:t>
            </w:r>
          </w:p>
        </w:tc>
      </w:tr>
      <w:tr>
        <w:tc>
          <w:tcPr>
            <w:tcW w:type="dxa" w:w="960"/>
          </w:tcPr>
          <w:p>
            <w:r>
              <w:rPr>
                <w:sz w:val="13"/>
              </w:rPr>
              <w:t>Feu extérieur</w:t>
            </w:r>
          </w:p>
        </w:tc>
        <w:tc>
          <w:tcPr>
            <w:tcW w:type="dxa" w:w="960"/>
          </w:tcPr>
          <w:p>
            <w:r>
              <w:rPr>
                <w:sz w:val="13"/>
              </w:rPr>
              <w:t>30</w:t>
            </w:r>
          </w:p>
        </w:tc>
        <w:tc>
          <w:tcPr>
            <w:tcW w:type="dxa" w:w="960"/>
          </w:tcPr>
          <w:p>
            <w:r>
              <w:rPr>
                <w:sz w:val="13"/>
              </w:rPr>
              <w:t>Câble principal clos</w:t>
            </w:r>
          </w:p>
        </w:tc>
        <w:tc>
          <w:tcPr>
            <w:tcW w:type="dxa" w:w="960"/>
          </w:tcPr>
          <w:p>
            <w:r>
              <w:rPr>
                <w:sz w:val="13"/>
              </w:rPr>
              <w:t>402.9</w:t>
            </w:r>
          </w:p>
        </w:tc>
        <w:tc>
          <w:tcPr>
            <w:tcW w:type="dxa" w:w="960"/>
          </w:tcPr>
          <w:p>
            <w:r>
              <w:rPr>
                <w:sz w:val="13"/>
              </w:rPr>
              <w:t>0.994</w:t>
            </w:r>
          </w:p>
        </w:tc>
        <w:tc>
          <w:tcPr>
            <w:tcW w:type="dxa" w:w="960"/>
          </w:tcPr>
          <w:p>
            <w:r>
              <w:rPr>
                <w:sz w:val="13"/>
              </w:rPr>
              <w:t>111.5</w:t>
            </w:r>
          </w:p>
        </w:tc>
        <w:tc>
          <w:tcPr>
            <w:tcW w:type="dxa" w:w="960"/>
          </w:tcPr>
          <w:p>
            <w:r>
              <w:rPr>
                <w:sz w:val="13"/>
              </w:rPr>
              <w:t>11821.1</w:t>
            </w:r>
          </w:p>
        </w:tc>
        <w:tc>
          <w:tcPr>
            <w:tcW w:type="dxa" w:w="960"/>
          </w:tcPr>
          <w:p>
            <w:r>
              <w:rPr>
                <w:sz w:val="13"/>
              </w:rPr>
              <w:t>0.279</w:t>
            </w:r>
          </w:p>
        </w:tc>
        <w:tc>
          <w:tcPr>
            <w:tcW w:type="dxa" w:w="960"/>
          </w:tcPr>
          <w:p>
            <w:r>
              <w:rPr>
                <w:sz w:val="13"/>
              </w:rPr>
              <w:t>Justifié</w:t>
            </w:r>
          </w:p>
        </w:tc>
      </w:tr>
      <w:tr>
        <w:tc>
          <w:tcPr>
            <w:tcW w:type="dxa" w:w="960"/>
          </w:tcPr>
          <w:p>
            <w:r>
              <w:rPr>
                <w:sz w:val="13"/>
              </w:rPr>
              <w:t>Feu extérieur</w:t>
            </w:r>
          </w:p>
        </w:tc>
        <w:tc>
          <w:tcPr>
            <w:tcW w:type="dxa" w:w="960"/>
          </w:tcPr>
          <w:p>
            <w:r>
              <w:rPr>
                <w:sz w:val="13"/>
              </w:rPr>
              <w:t>60</w:t>
            </w:r>
          </w:p>
        </w:tc>
        <w:tc>
          <w:tcPr>
            <w:tcW w:type="dxa" w:w="960"/>
          </w:tcPr>
          <w:p>
            <w:r>
              <w:rPr>
                <w:sz w:val="13"/>
              </w:rPr>
              <w:t>Câble principal clos</w:t>
            </w:r>
          </w:p>
        </w:tc>
        <w:tc>
          <w:tcPr>
            <w:tcW w:type="dxa" w:w="960"/>
          </w:tcPr>
          <w:p>
            <w:r>
              <w:rPr>
                <w:sz w:val="13"/>
              </w:rPr>
              <w:t>584.6</w:t>
            </w:r>
          </w:p>
        </w:tc>
        <w:tc>
          <w:tcPr>
            <w:tcW w:type="dxa" w:w="960"/>
          </w:tcPr>
          <w:p>
            <w:r>
              <w:rPr>
                <w:sz w:val="13"/>
              </w:rPr>
              <w:t>0.518</w:t>
            </w:r>
          </w:p>
        </w:tc>
        <w:tc>
          <w:tcPr>
            <w:tcW w:type="dxa" w:w="960"/>
          </w:tcPr>
          <w:p>
            <w:r>
              <w:rPr>
                <w:sz w:val="13"/>
              </w:rPr>
              <w:t>56.7</w:t>
            </w:r>
          </w:p>
        </w:tc>
        <w:tc>
          <w:tcPr>
            <w:tcW w:type="dxa" w:w="960"/>
          </w:tcPr>
          <w:p>
            <w:r>
              <w:rPr>
                <w:sz w:val="13"/>
              </w:rPr>
              <w:t>6158.7</w:t>
            </w:r>
          </w:p>
        </w:tc>
        <w:tc>
          <w:tcPr>
            <w:tcW w:type="dxa" w:w="960"/>
          </w:tcPr>
          <w:p>
            <w:r>
              <w:rPr>
                <w:sz w:val="13"/>
              </w:rPr>
              <w:t>0.536</w:t>
            </w:r>
          </w:p>
        </w:tc>
        <w:tc>
          <w:tcPr>
            <w:tcW w:type="dxa" w:w="960"/>
          </w:tcPr>
          <w:p>
            <w:r>
              <w:rPr>
                <w:sz w:val="13"/>
              </w:rPr>
              <w:t>Justifié</w:t>
            </w:r>
          </w:p>
        </w:tc>
      </w:tr>
      <w:tr>
        <w:tc>
          <w:tcPr>
            <w:tcW w:type="dxa" w:w="960"/>
          </w:tcPr>
          <w:p>
            <w:r>
              <w:rPr>
                <w:sz w:val="13"/>
              </w:rPr>
              <w:t>Feu extérieur</w:t>
            </w:r>
          </w:p>
        </w:tc>
        <w:tc>
          <w:tcPr>
            <w:tcW w:type="dxa" w:w="960"/>
          </w:tcPr>
          <w:p>
            <w:r>
              <w:rPr>
                <w:sz w:val="13"/>
              </w:rPr>
              <w:t>90</w:t>
            </w:r>
          </w:p>
        </w:tc>
        <w:tc>
          <w:tcPr>
            <w:tcW w:type="dxa" w:w="960"/>
          </w:tcPr>
          <w:p>
            <w:r>
              <w:rPr>
                <w:sz w:val="13"/>
              </w:rPr>
              <w:t>Câble principal clos</w:t>
            </w:r>
          </w:p>
        </w:tc>
        <w:tc>
          <w:tcPr>
            <w:tcW w:type="dxa" w:w="960"/>
          </w:tcPr>
          <w:p>
            <w:r>
              <w:rPr>
                <w:sz w:val="13"/>
              </w:rPr>
              <w:t>647.1</w:t>
            </w:r>
          </w:p>
        </w:tc>
        <w:tc>
          <w:tcPr>
            <w:tcW w:type="dxa" w:w="960"/>
          </w:tcPr>
          <w:p>
            <w:r>
              <w:rPr>
                <w:sz w:val="13"/>
              </w:rPr>
              <w:t>0.357</w:t>
            </w:r>
          </w:p>
        </w:tc>
        <w:tc>
          <w:tcPr>
            <w:tcW w:type="dxa" w:w="960"/>
          </w:tcPr>
          <w:p>
            <w:r>
              <w:rPr>
                <w:sz w:val="13"/>
              </w:rPr>
              <w:t>36.0</w:t>
            </w:r>
          </w:p>
        </w:tc>
        <w:tc>
          <w:tcPr>
            <w:tcW w:type="dxa" w:w="960"/>
          </w:tcPr>
          <w:p>
            <w:r>
              <w:rPr>
                <w:sz w:val="13"/>
              </w:rPr>
              <w:t>4247.2</w:t>
            </w:r>
          </w:p>
        </w:tc>
        <w:tc>
          <w:tcPr>
            <w:tcW w:type="dxa" w:w="960"/>
          </w:tcPr>
          <w:p>
            <w:r>
              <w:rPr>
                <w:sz w:val="13"/>
              </w:rPr>
              <w:t>0.777</w:t>
            </w:r>
          </w:p>
        </w:tc>
        <w:tc>
          <w:tcPr>
            <w:tcW w:type="dxa" w:w="960"/>
          </w:tcPr>
          <w:p>
            <w:r>
              <w:rPr>
                <w:sz w:val="13"/>
              </w:rPr>
              <w:t>Justifié</w:t>
            </w:r>
          </w:p>
        </w:tc>
      </w:tr>
      <w:tr>
        <w:tc>
          <w:tcPr>
            <w:tcW w:type="dxa" w:w="960"/>
          </w:tcPr>
          <w:p>
            <w:r>
              <w:rPr>
                <w:sz w:val="13"/>
              </w:rPr>
              <w:t>Feu extérieur</w:t>
            </w:r>
          </w:p>
        </w:tc>
        <w:tc>
          <w:tcPr>
            <w:tcW w:type="dxa" w:w="960"/>
          </w:tcPr>
          <w:p>
            <w:r>
              <w:rPr>
                <w:sz w:val="13"/>
              </w:rPr>
              <w:t>120</w:t>
            </w:r>
          </w:p>
        </w:tc>
        <w:tc>
          <w:tcPr>
            <w:tcW w:type="dxa" w:w="960"/>
          </w:tcPr>
          <w:p>
            <w:r>
              <w:rPr>
                <w:sz w:val="13"/>
              </w:rPr>
              <w:t>Câble principal clos</w:t>
            </w:r>
          </w:p>
        </w:tc>
        <w:tc>
          <w:tcPr>
            <w:tcW w:type="dxa" w:w="960"/>
          </w:tcPr>
          <w:p>
            <w:r>
              <w:rPr>
                <w:sz w:val="13"/>
              </w:rPr>
              <w:t>668.4</w:t>
            </w:r>
          </w:p>
        </w:tc>
        <w:tc>
          <w:tcPr>
            <w:tcW w:type="dxa" w:w="960"/>
          </w:tcPr>
          <w:p>
            <w:r>
              <w:rPr>
                <w:sz w:val="13"/>
              </w:rPr>
              <w:t>0.306</w:t>
            </w:r>
          </w:p>
        </w:tc>
        <w:tc>
          <w:tcPr>
            <w:tcW w:type="dxa" w:w="960"/>
          </w:tcPr>
          <w:p>
            <w:r>
              <w:rPr>
                <w:sz w:val="13"/>
              </w:rPr>
              <w:t>29.9</w:t>
            </w:r>
          </w:p>
        </w:tc>
        <w:tc>
          <w:tcPr>
            <w:tcW w:type="dxa" w:w="960"/>
          </w:tcPr>
          <w:p>
            <w:r>
              <w:rPr>
                <w:sz w:val="13"/>
              </w:rPr>
              <w:t>3638.0</w:t>
            </w:r>
          </w:p>
        </w:tc>
        <w:tc>
          <w:tcPr>
            <w:tcW w:type="dxa" w:w="960"/>
          </w:tcPr>
          <w:p>
            <w:r>
              <w:rPr>
                <w:sz w:val="13"/>
              </w:rPr>
              <w:t>0.907</w:t>
            </w:r>
          </w:p>
        </w:tc>
        <w:tc>
          <w:tcPr>
            <w:tcW w:type="dxa" w:w="960"/>
          </w:tcPr>
          <w:p>
            <w:r>
              <w:rPr>
                <w:sz w:val="13"/>
              </w:rPr>
              <w:t>Justifié</w:t>
            </w:r>
          </w:p>
        </w:tc>
      </w:tr>
    </w:tbl>
    <w:p>
      <w:r>
        <w:t>Temps maximal évalué par organe et par feu, sur le pas de calcul de 5 s : Suspente secondaire - ISO 834 : 25.0 min ; Câble principal clos - ISO 834 : 44.6 min ; Suspente secondaire - Feu extérieur : 120.0 min ; Câble principal clos - Feu extérieur : 120.0 min.</w:t>
      </w:r>
    </w:p>
    <w:p>
      <w:pPr>
        <w:pStyle w:val="Heading1"/>
      </w:pPr>
      <w:r>
        <w:t>9. Portée et limites</w:t>
      </w:r>
    </w:p>
    <w:p>
      <w:r>
        <w:t>L’approche est enveloppe et ne crédite pas complètement les masquages. Pour les suspentes, le bec de tablier peut créer un masque partiel, mais un rayonnement latéral demeure possible. Le scénario ne couvre pas un feu de citerne, car la courbe HC n’est pas étudiée.</w:t>
      </w:r>
    </w:p>
    <w:p>
      <w:r>
        <w:br w:type="page"/>
      </w:r>
    </w:p>
    <w:p>
      <w:pPr>
        <w:pStyle w:val="Heading1"/>
      </w:pPr>
      <w:r>
        <w:t>Annexe B - Courbes de tous les cas étudiés</w:t>
      </w:r>
    </w:p>
    <w:p>
      <w:pPr>
        <w:jc w:val="center"/>
      </w:pPr>
      <w:r>
        <w:drawing>
          <wp:inline xmlns:a="http://schemas.openxmlformats.org/drawingml/2006/main" xmlns:pic="http://schemas.openxmlformats.org/drawingml/2006/picture">
            <wp:extent cx="5400000" cy="2952225"/>
            <wp:docPr id="10" name="Picture 10"/>
            <wp:cNvGraphicFramePr>
              <a:graphicFrameLocks noChangeAspect="1"/>
            </wp:cNvGraphicFramePr>
            <a:graphic>
              <a:graphicData uri="http://schemas.openxmlformats.org/drawingml/2006/picture">
                <pic:pic>
                  <pic:nvPicPr>
                    <pic:cNvPr id="0" name="B_ISO 834_hanger.png"/>
                    <pic:cNvPicPr/>
                  </pic:nvPicPr>
                  <pic:blipFill>
                    <a:blip r:embed="rId18"/>
                    <a:stretch>
                      <a:fillRect/>
                    </a:stretch>
                  </pic:blipFill>
                  <pic:spPr>
                    <a:xfrm>
                      <a:off x="0" y="0"/>
                      <a:ext cx="5400000" cy="2952225"/>
                    </a:xfrm>
                    <a:prstGeom prst="rect"/>
                  </pic:spPr>
                </pic:pic>
              </a:graphicData>
            </a:graphic>
          </wp:inline>
        </w:drawing>
      </w:r>
    </w:p>
    <w:p>
      <w:pPr>
        <w:pStyle w:val="Caption"/>
        <w:jc w:val="center"/>
      </w:pPr>
      <w:r>
        <w:t>ISO 834 - Suspente secondaire : cas et enveloppe maximale.</w:t>
      </w:r>
    </w:p>
    <w:p>
      <w:pPr>
        <w:jc w:val="center"/>
      </w:pPr>
      <w:r>
        <w:drawing>
          <wp:inline xmlns:a="http://schemas.openxmlformats.org/drawingml/2006/main" xmlns:pic="http://schemas.openxmlformats.org/drawingml/2006/picture">
            <wp:extent cx="5400000" cy="2952225"/>
            <wp:docPr id="11" name="Picture 11"/>
            <wp:cNvGraphicFramePr>
              <a:graphicFrameLocks noChangeAspect="1"/>
            </wp:cNvGraphicFramePr>
            <a:graphic>
              <a:graphicData uri="http://schemas.openxmlformats.org/drawingml/2006/picture">
                <pic:pic>
                  <pic:nvPicPr>
                    <pic:cNvPr id="0" name="B_ISO 834_cable.png"/>
                    <pic:cNvPicPr/>
                  </pic:nvPicPr>
                  <pic:blipFill>
                    <a:blip r:embed="rId19"/>
                    <a:stretch>
                      <a:fillRect/>
                    </a:stretch>
                  </pic:blipFill>
                  <pic:spPr>
                    <a:xfrm>
                      <a:off x="0" y="0"/>
                      <a:ext cx="5400000" cy="2952225"/>
                    </a:xfrm>
                    <a:prstGeom prst="rect"/>
                  </pic:spPr>
                </pic:pic>
              </a:graphicData>
            </a:graphic>
          </wp:inline>
        </w:drawing>
      </w:r>
    </w:p>
    <w:p>
      <w:pPr>
        <w:pStyle w:val="Caption"/>
        <w:jc w:val="center"/>
      </w:pPr>
      <w:r>
        <w:t>ISO 834 - Câble principal clos : cas et enveloppe maximale.</w:t>
      </w:r>
    </w:p>
    <w:p>
      <w:pPr>
        <w:jc w:val="center"/>
      </w:pPr>
      <w:r>
        <w:drawing>
          <wp:inline xmlns:a="http://schemas.openxmlformats.org/drawingml/2006/main" xmlns:pic="http://schemas.openxmlformats.org/drawingml/2006/picture">
            <wp:extent cx="5400000" cy="2952225"/>
            <wp:docPr id="12" name="Picture 12"/>
            <wp:cNvGraphicFramePr>
              <a:graphicFrameLocks noChangeAspect="1"/>
            </wp:cNvGraphicFramePr>
            <a:graphic>
              <a:graphicData uri="http://schemas.openxmlformats.org/drawingml/2006/picture">
                <pic:pic>
                  <pic:nvPicPr>
                    <pic:cNvPr id="0" name="B_Feu extérieur_hanger.png"/>
                    <pic:cNvPicPr/>
                  </pic:nvPicPr>
                  <pic:blipFill>
                    <a:blip r:embed="rId20"/>
                    <a:stretch>
                      <a:fillRect/>
                    </a:stretch>
                  </pic:blipFill>
                  <pic:spPr>
                    <a:xfrm>
                      <a:off x="0" y="0"/>
                      <a:ext cx="5400000" cy="2952225"/>
                    </a:xfrm>
                    <a:prstGeom prst="rect"/>
                  </pic:spPr>
                </pic:pic>
              </a:graphicData>
            </a:graphic>
          </wp:inline>
        </w:drawing>
      </w:r>
    </w:p>
    <w:p>
      <w:pPr>
        <w:pStyle w:val="Caption"/>
        <w:jc w:val="center"/>
      </w:pPr>
      <w:r>
        <w:t>Feu extérieur - Suspente secondaire : cas et enveloppe maximale.</w:t>
      </w:r>
    </w:p>
    <w:p>
      <w:pPr>
        <w:jc w:val="center"/>
      </w:pPr>
      <w:r>
        <w:drawing>
          <wp:inline xmlns:a="http://schemas.openxmlformats.org/drawingml/2006/main" xmlns:pic="http://schemas.openxmlformats.org/drawingml/2006/picture">
            <wp:extent cx="5400000" cy="2952225"/>
            <wp:docPr id="13" name="Picture 13"/>
            <wp:cNvGraphicFramePr>
              <a:graphicFrameLocks noChangeAspect="1"/>
            </wp:cNvGraphicFramePr>
            <a:graphic>
              <a:graphicData uri="http://schemas.openxmlformats.org/drawingml/2006/picture">
                <pic:pic>
                  <pic:nvPicPr>
                    <pic:cNvPr id="0" name="B_Feu extérieur_cable.png"/>
                    <pic:cNvPicPr/>
                  </pic:nvPicPr>
                  <pic:blipFill>
                    <a:blip r:embed="rId21"/>
                    <a:stretch>
                      <a:fillRect/>
                    </a:stretch>
                  </pic:blipFill>
                  <pic:spPr>
                    <a:xfrm>
                      <a:off x="0" y="0"/>
                      <a:ext cx="5400000" cy="2952225"/>
                    </a:xfrm>
                    <a:prstGeom prst="rect"/>
                  </pic:spPr>
                </pic:pic>
              </a:graphicData>
            </a:graphic>
          </wp:inline>
        </w:drawing>
      </w:r>
    </w:p>
    <w:p>
      <w:pPr>
        <w:pStyle w:val="Caption"/>
        <w:jc w:val="center"/>
      </w:pPr>
      <w:r>
        <w:t>Feu extérieur - Câble principal clos : cas et enveloppe maximale.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2026-09-02T09:16:49Z</dcterms:created>
  <dcterms:modified xsi:type="dcterms:W3CDTF">2026-09-02T09:16:49Z</dcterms:modified>
  <cp:category/>
</cp:coreProperties>
</file>