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ANALYSE THERMIQUE D’UN INCENDIE SOUS LA PASSERELLE</w:t>
      </w:r>
    </w:p>
    <w:p>
      <w:pPr>
        <w:jc w:val="center"/>
      </w:pPr>
      <w:r>
        <w:rPr>
          <w:b/>
        </w:rPr>
        <w:t>Passerelle Gerland - La Saulaie | Modèle Python V1.4 consolidé</w:t>
      </w:r>
    </w:p>
    <w:p>
      <w:r>
        <w:t>Document de travail pour validation du modèle thermique. Les coefficients d’exposition et le facteur de massiveté de l’intrados restent provisoires.</w:t>
      </w:r>
    </w:p>
    <w:p>
      <w:r>
        <w:br w:type="page"/>
      </w:r>
    </w:p>
    <w:p>
      <w:pPr>
        <w:pStyle w:val="Heading1"/>
      </w:pPr>
      <w:r>
        <w:t>1. Objet et périmètre</w:t>
      </w:r>
    </w:p>
    <w:p>
      <w:r>
        <w:t>Le calcul évalue l’évolution de la température de l’intrados métallique, des suspentes secondaires et du câble principal. Deux courbes de feu sont calculées séparément puis comparées. Les résultats ne constituent pas encore une vérification structurelle.</w:t>
      </w:r>
    </w:p>
    <w:p>
      <w:pPr>
        <w:pStyle w:val="Heading1"/>
      </w:pPr>
      <w:r>
        <w:t>2. Données du projet et géométrie</w:t>
      </w:r>
    </w:p>
    <w:tbl>
      <w:tblPr>
        <w:tblStyle w:val="TableGrid"/>
        <w:tblW w:type="auto" w:w="0"/>
        <w:jc w:val="center"/>
        <w:tblLook w:firstColumn="1" w:firstRow="1" w:lastColumn="0" w:lastRow="0" w:noHBand="0" w:noVBand="1" w:val="04A0"/>
      </w:tblPr>
      <w:tblGrid>
        <w:gridCol w:w="4986"/>
        <w:gridCol w:w="4986"/>
      </w:tblGrid>
      <w:tr>
        <w:tc>
          <w:tcPr>
            <w:tcW w:type="dxa" w:w="4986"/>
            <w:shd w:fill="1F4E78"/>
          </w:tcPr>
          <w:p>
            <w:r>
              <w:rPr>
                <w:b/>
                <w:color w:val="FFFFFF"/>
                <w:sz w:val="17"/>
              </w:rPr>
              <w:t>Paramètre</w:t>
            </w:r>
          </w:p>
        </w:tc>
        <w:tc>
          <w:tcPr>
            <w:tcW w:type="dxa" w:w="4986"/>
            <w:shd w:fill="1F4E78"/>
          </w:tcPr>
          <w:p>
            <w:r>
              <w:rPr>
                <w:b/>
                <w:color w:val="FFFFFF"/>
                <w:sz w:val="17"/>
              </w:rPr>
              <w:t>Valeur</w:t>
            </w:r>
          </w:p>
        </w:tc>
      </w:tr>
      <w:tr>
        <w:tc>
          <w:tcPr>
            <w:tcW w:type="dxa" w:w="4986"/>
            <w:vAlign w:val="center"/>
          </w:tcPr>
          <w:p>
            <w:r>
              <w:rPr>
                <w:sz w:val="17"/>
              </w:rPr>
              <w:t>M7</w:t>
            </w:r>
          </w:p>
        </w:tc>
        <w:tc>
          <w:tcPr>
            <w:tcW w:type="dxa" w:w="4986"/>
            <w:vAlign w:val="center"/>
          </w:tcPr>
          <w:p>
            <w:r>
              <w:rPr>
                <w:sz w:val="17"/>
              </w:rPr>
              <w:t>2 × 3 voies ; largeur simplifiée 13 + 2 + 12 m</w:t>
            </w:r>
          </w:p>
        </w:tc>
      </w:tr>
      <w:tr>
        <w:tc>
          <w:tcPr>
            <w:tcW w:type="dxa" w:w="4986"/>
            <w:vAlign w:val="center"/>
          </w:tcPr>
          <w:p>
            <w:r>
              <w:rPr>
                <w:sz w:val="17"/>
              </w:rPr>
              <w:t>Tablier</w:t>
            </w:r>
          </w:p>
        </w:tc>
        <w:tc>
          <w:tcPr>
            <w:tcW w:type="dxa" w:w="4986"/>
            <w:vAlign w:val="center"/>
          </w:tcPr>
          <w:p>
            <w:r>
              <w:rPr>
                <w:sz w:val="17"/>
              </w:rPr>
              <w:t>largeur totale 7,40 m</w:t>
            </w:r>
          </w:p>
        </w:tc>
      </w:tr>
      <w:tr>
        <w:tc>
          <w:tcPr>
            <w:tcW w:type="dxa" w:w="4986"/>
            <w:vAlign w:val="center"/>
          </w:tcPr>
          <w:p>
            <w:r>
              <w:rPr>
                <w:sz w:val="17"/>
              </w:rPr>
              <w:t>Intrados minimal</w:t>
            </w:r>
          </w:p>
        </w:tc>
        <w:tc>
          <w:tcPr>
            <w:tcW w:type="dxa" w:w="4986"/>
            <w:vAlign w:val="center"/>
          </w:tcPr>
          <w:p>
            <w:r>
              <w:rPr>
                <w:sz w:val="17"/>
              </w:rPr>
              <w:t>6,125 / 6,900 / 7,250 m</w:t>
            </w:r>
          </w:p>
        </w:tc>
      </w:tr>
      <w:tr>
        <w:tc>
          <w:tcPr>
            <w:tcW w:type="dxa" w:w="4986"/>
            <w:vAlign w:val="center"/>
          </w:tcPr>
          <w:p>
            <w:r>
              <w:rPr>
                <w:sz w:val="17"/>
              </w:rPr>
              <w:t>Câble principal</w:t>
            </w:r>
          </w:p>
        </w:tc>
        <w:tc>
          <w:tcPr>
            <w:tcW w:type="dxa" w:w="4986"/>
            <w:vAlign w:val="center"/>
          </w:tcPr>
          <w:p>
            <w:r>
              <w:rPr>
                <w:sz w:val="17"/>
              </w:rPr>
              <w:t>câble clos Ø132 mm ; acier nu</w:t>
            </w:r>
          </w:p>
        </w:tc>
      </w:tr>
      <w:tr>
        <w:tc>
          <w:tcPr>
            <w:tcW w:type="dxa" w:w="4986"/>
            <w:vAlign w:val="center"/>
          </w:tcPr>
          <w:p>
            <w:r>
              <w:rPr>
                <w:sz w:val="17"/>
              </w:rPr>
              <w:t>Suspentes</w:t>
            </w:r>
          </w:p>
        </w:tc>
        <w:tc>
          <w:tcPr>
            <w:tcW w:type="dxa" w:w="4986"/>
            <w:vAlign w:val="center"/>
          </w:tcPr>
          <w:p>
            <w:r>
              <w:rPr>
                <w:sz w:val="17"/>
              </w:rPr>
              <w:t>ronds Ø42 mm ; entraxe 6,25 m</w:t>
            </w:r>
          </w:p>
        </w:tc>
      </w:tr>
      <w:tr>
        <w:tc>
          <w:tcPr>
            <w:tcW w:type="dxa" w:w="4986"/>
            <w:vAlign w:val="center"/>
          </w:tcPr>
          <w:p>
            <w:r>
              <w:rPr>
                <w:sz w:val="17"/>
              </w:rPr>
              <w:t>Position basse des suspentes</w:t>
            </w:r>
          </w:p>
        </w:tc>
        <w:tc>
          <w:tcPr>
            <w:tcW w:type="dxa" w:w="4986"/>
            <w:vAlign w:val="center"/>
          </w:tcPr>
          <w:p>
            <w:r>
              <w:rPr>
                <w:sz w:val="17"/>
              </w:rPr>
              <w:t>0,82 m au-dessus du point bas de l’intrados</w:t>
            </w:r>
          </w:p>
        </w:tc>
      </w:tr>
    </w:tbl>
    <w:p>
      <w:r>
        <w:t>Le profil transversal de l’intrados est approché par deux segments symétriques à partir de l’axe du tablier : une remontée de 0,19 m à 1,91 m de l’axe, puis une remontée totale de 0,61 m au bord du tablier, à 3,70 m de l’axe. La naissance inférieure des suspentes est située à 0,82 m au-dessus du point bas de l’intrados.</w:t>
      </w:r>
    </w:p>
    <w:p>
      <w:pPr>
        <w:pStyle w:val="Heading1"/>
      </w:pPr>
      <w:r>
        <w:t>3. Choix des paramètres et hypothèses</w:t>
      </w:r>
    </w:p>
    <w:p>
      <w:r>
        <w:t>Les positions de foyer sont introduites comme suit : F1 correspond à un foyer placé dans la zone ouest du franchissement, F2 à un foyer placé à l’axe de la M7 et F3 à un foyer placé dans la zone est. Ces repères sont utilisés dans les tableaux et graphiques suivants.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8"/>
          </w:tcPr>
          <w:p>
            <w:r>
              <w:rPr>
                <w:b/>
                <w:color w:val="FFFFFF"/>
                <w:sz w:val="17"/>
              </w:rPr>
              <w:t>Famille</w:t>
            </w:r>
          </w:p>
        </w:tc>
        <w:tc>
          <w:tcPr>
            <w:tcW w:type="dxa" w:w="3324"/>
            <w:shd w:fill="1F4E78"/>
          </w:tcPr>
          <w:p>
            <w:r>
              <w:rPr>
                <w:b/>
                <w:color w:val="FFFFFF"/>
                <w:sz w:val="17"/>
              </w:rPr>
              <w:t>Hypothèse retenue</w:t>
            </w:r>
          </w:p>
        </w:tc>
        <w:tc>
          <w:tcPr>
            <w:tcW w:type="dxa" w:w="3324"/>
            <w:shd w:fill="1F4E78"/>
          </w:tcPr>
          <w:p>
            <w:r>
              <w:rPr>
                <w:b/>
                <w:color w:val="FFFFFF"/>
                <w:sz w:val="17"/>
              </w:rPr>
              <w:t>Statut</w:t>
            </w:r>
          </w:p>
        </w:tc>
      </w:tr>
      <w:tr>
        <w:tc>
          <w:tcPr>
            <w:tcW w:type="dxa" w:w="3324"/>
            <w:vAlign w:val="center"/>
          </w:tcPr>
          <w:p>
            <w:r>
              <w:rPr>
                <w:sz w:val="17"/>
              </w:rPr>
              <w:t>Courbes de feu</w:t>
            </w:r>
          </w:p>
        </w:tc>
        <w:tc>
          <w:tcPr>
            <w:tcW w:type="dxa" w:w="3324"/>
            <w:vAlign w:val="center"/>
          </w:tcPr>
          <w:p>
            <w:r>
              <w:rPr>
                <w:sz w:val="17"/>
              </w:rPr>
              <w:t>ISO 834 et feu extérieur CEREMA</w:t>
            </w:r>
          </w:p>
        </w:tc>
        <w:tc>
          <w:tcPr>
            <w:tcW w:type="dxa" w:w="3324"/>
            <w:vAlign w:val="center"/>
          </w:tcPr>
          <w:p>
            <w:r>
              <w:rPr>
                <w:sz w:val="17"/>
              </w:rPr>
              <w:t>Calculs séparés, puis enveloppe</w:t>
            </w:r>
          </w:p>
        </w:tc>
      </w:tr>
      <w:tr>
        <w:tc>
          <w:tcPr>
            <w:tcW w:type="dxa" w:w="3324"/>
            <w:vAlign w:val="center"/>
          </w:tcPr>
          <w:p>
            <w:r>
              <w:rPr>
                <w:sz w:val="17"/>
              </w:rPr>
              <w:t>Durée</w:t>
            </w:r>
          </w:p>
        </w:tc>
        <w:tc>
          <w:tcPr>
            <w:tcW w:type="dxa" w:w="3324"/>
            <w:vAlign w:val="center"/>
          </w:tcPr>
          <w:p>
            <w:r>
              <w:rPr>
                <w:sz w:val="17"/>
              </w:rPr>
              <w:t>120 min ; lectures à 15, 30, 60, 90 et 120 min</w:t>
            </w:r>
          </w:p>
        </w:tc>
        <w:tc>
          <w:tcPr>
            <w:tcW w:type="dxa" w:w="3324"/>
            <w:vAlign w:val="center"/>
          </w:tcPr>
          <w:p>
            <w:r>
              <w:rPr>
                <w:sz w:val="17"/>
              </w:rPr>
              <w:t>Retenu</w:t>
            </w:r>
          </w:p>
        </w:tc>
      </w:tr>
      <w:tr>
        <w:tc>
          <w:tcPr>
            <w:tcW w:type="dxa" w:w="3324"/>
            <w:vAlign w:val="center"/>
          </w:tcPr>
          <w:p>
            <w:r>
              <w:rPr>
                <w:sz w:val="17"/>
              </w:rPr>
              <w:t>Camion</w:t>
            </w:r>
          </w:p>
        </w:tc>
        <w:tc>
          <w:tcPr>
            <w:tcW w:type="dxa" w:w="3324"/>
            <w:vAlign w:val="center"/>
          </w:tcPr>
          <w:p>
            <w:r>
              <w:rPr>
                <w:sz w:val="17"/>
              </w:rPr>
              <w:t>16 × 2,5 × 4 m</w:t>
            </w:r>
          </w:p>
        </w:tc>
        <w:tc>
          <w:tcPr>
            <w:tcW w:type="dxa" w:w="3324"/>
            <w:vAlign w:val="center"/>
          </w:tcPr>
          <w:p>
            <w:r>
              <w:rPr>
                <w:sz w:val="17"/>
              </w:rPr>
              <w:t>Hypothèse V1.4</w:t>
            </w:r>
          </w:p>
        </w:tc>
      </w:tr>
      <w:tr>
        <w:tc>
          <w:tcPr>
            <w:tcW w:type="dxa" w:w="3324"/>
            <w:vAlign w:val="center"/>
          </w:tcPr>
          <w:p>
            <w:r>
              <w:rPr>
                <w:sz w:val="17"/>
              </w:rPr>
              <w:t>Positions</w:t>
            </w:r>
          </w:p>
        </w:tc>
        <w:tc>
          <w:tcPr>
            <w:tcW w:type="dxa" w:w="3324"/>
            <w:vAlign w:val="center"/>
          </w:tcPr>
          <w:p>
            <w:r>
              <w:rPr>
                <w:sz w:val="17"/>
              </w:rPr>
              <w:t>F1 ouest ; F2 axe M7 ; F3 est</w:t>
            </w:r>
          </w:p>
        </w:tc>
        <w:tc>
          <w:tcPr>
            <w:tcW w:type="dxa" w:w="3324"/>
            <w:vAlign w:val="center"/>
          </w:tcPr>
          <w:p>
            <w:r>
              <w:rPr>
                <w:sz w:val="17"/>
              </w:rPr>
              <w:t>Repères introduits</w:t>
            </w:r>
          </w:p>
        </w:tc>
      </w:tr>
      <w:tr>
        <w:tc>
          <w:tcPr>
            <w:tcW w:type="dxa" w:w="3324"/>
            <w:vAlign w:val="center"/>
          </w:tcPr>
          <w:p>
            <w:r>
              <w:rPr>
                <w:sz w:val="17"/>
              </w:rPr>
              <w:t>Enveloppes de flamme</w:t>
            </w:r>
          </w:p>
        </w:tc>
        <w:tc>
          <w:tcPr>
            <w:tcW w:type="dxa" w:w="3324"/>
            <w:vAlign w:val="center"/>
          </w:tcPr>
          <w:p>
            <w:r>
              <w:rPr>
                <w:sz w:val="17"/>
              </w:rPr>
              <w:t>10, 12 et 15 m</w:t>
            </w:r>
          </w:p>
        </w:tc>
        <w:tc>
          <w:tcPr>
            <w:tcW w:type="dxa" w:w="3324"/>
            <w:vAlign w:val="center"/>
          </w:tcPr>
          <w:p>
            <w:r>
              <w:rPr>
                <w:sz w:val="17"/>
              </w:rPr>
              <w:t>Analyse de sensibilité</w:t>
            </w:r>
          </w:p>
        </w:tc>
      </w:tr>
      <w:tr>
        <w:tc>
          <w:tcPr>
            <w:tcW w:type="dxa" w:w="3324"/>
            <w:vAlign w:val="center"/>
          </w:tcPr>
          <w:p>
            <w:r>
              <w:rPr>
                <w:sz w:val="17"/>
              </w:rPr>
              <w:t>Câble principal</w:t>
            </w:r>
          </w:p>
        </w:tc>
        <w:tc>
          <w:tcPr>
            <w:tcW w:type="dxa" w:w="3324"/>
            <w:vAlign w:val="center"/>
          </w:tcPr>
          <w:p>
            <w:r>
              <w:rPr>
                <w:sz w:val="17"/>
              </w:rPr>
              <w:t>Ø132 mm, câble clos acier nu</w:t>
            </w:r>
          </w:p>
        </w:tc>
        <w:tc>
          <w:tcPr>
            <w:tcW w:type="dxa" w:w="3324"/>
            <w:vAlign w:val="center"/>
          </w:tcPr>
          <w:p>
            <w:r>
              <w:rPr>
                <w:sz w:val="17"/>
              </w:rPr>
              <w:t>Donnée projet</w:t>
            </w:r>
          </w:p>
        </w:tc>
      </w:tr>
      <w:tr>
        <w:tc>
          <w:tcPr>
            <w:tcW w:type="dxa" w:w="3324"/>
            <w:vAlign w:val="center"/>
          </w:tcPr>
          <w:p>
            <w:r>
              <w:rPr>
                <w:sz w:val="17"/>
              </w:rPr>
              <w:t>PEHD</w:t>
            </w:r>
          </w:p>
        </w:tc>
        <w:tc>
          <w:tcPr>
            <w:tcW w:type="dxa" w:w="3324"/>
            <w:vAlign w:val="center"/>
          </w:tcPr>
          <w:p>
            <w:r>
              <w:rPr>
                <w:sz w:val="17"/>
              </w:rPr>
              <w:t>Variante non activée</w:t>
            </w:r>
          </w:p>
        </w:tc>
        <w:tc>
          <w:tcPr>
            <w:tcW w:type="dxa" w:w="3324"/>
            <w:vAlign w:val="center"/>
          </w:tcPr>
          <w:p>
            <w:r>
              <w:rPr>
                <w:sz w:val="17"/>
              </w:rPr>
              <w:t>Étape ultérieure</w:t>
            </w:r>
          </w:p>
        </w:tc>
      </w:tr>
      <w:tr>
        <w:tc>
          <w:tcPr>
            <w:tcW w:type="dxa" w:w="3324"/>
            <w:vAlign w:val="center"/>
          </w:tcPr>
          <w:p>
            <w:r>
              <w:rPr>
                <w:sz w:val="17"/>
              </w:rPr>
              <w:t>Modèle thermique</w:t>
            </w:r>
          </w:p>
        </w:tc>
        <w:tc>
          <w:tcPr>
            <w:tcW w:type="dxa" w:w="3324"/>
            <w:vAlign w:val="center"/>
          </w:tcPr>
          <w:p>
            <w:r>
              <w:rPr>
                <w:sz w:val="17"/>
              </w:rPr>
              <w:t>Température uniforme par élément</w:t>
            </w:r>
          </w:p>
        </w:tc>
        <w:tc>
          <w:tcPr>
            <w:tcW w:type="dxa" w:w="3324"/>
            <w:vAlign w:val="center"/>
          </w:tcPr>
          <w:p>
            <w:r>
              <w:rPr>
                <w:sz w:val="17"/>
              </w:rPr>
              <w:t>V1.4</w:t>
            </w:r>
          </w:p>
        </w:tc>
      </w:tr>
      <w:tr>
        <w:tc>
          <w:tcPr>
            <w:tcW w:type="dxa" w:w="3324"/>
            <w:vAlign w:val="center"/>
          </w:tcPr>
          <w:p>
            <w:r>
              <w:rPr>
                <w:sz w:val="17"/>
              </w:rPr>
              <w:t>Exposition spatiale</w:t>
            </w:r>
          </w:p>
        </w:tc>
        <w:tc>
          <w:tcPr>
            <w:tcW w:type="dxa" w:w="3324"/>
            <w:vAlign w:val="center"/>
          </w:tcPr>
          <w:p>
            <w:r>
              <w:rPr>
                <w:sz w:val="17"/>
              </w:rPr>
              <w:t>Coefficients directs ou masqués</w:t>
            </w:r>
          </w:p>
        </w:tc>
        <w:tc>
          <w:tcPr>
            <w:tcW w:type="dxa" w:w="3324"/>
            <w:vAlign w:val="center"/>
          </w:tcPr>
          <w:p>
            <w:r>
              <w:rPr>
                <w:sz w:val="17"/>
              </w:rPr>
              <w:t>Provisoire</w:t>
            </w:r>
          </w:p>
        </w:tc>
      </w:tr>
    </w:tbl>
    <w:p>
      <w:pPr>
        <w:pStyle w:val="Heading1"/>
      </w:pPr>
      <w:r>
        <w:t>4. Scénarios de feu</w:t>
      </w:r>
    </w:p>
    <w:p>
      <w:r>
        <w:t>Les deux lois sont évaluées de 0 à 120 minutes. La variable t est exprimée en minutes et la température en degrés Celsius.</w:t>
      </w:r>
    </w:p>
    <w:p>
      <w:pPr>
        <w:jc w:val="center"/>
      </w:pPr>
      <w:r>
        <w:drawing>
          <wp:inline xmlns:a="http://schemas.openxmlformats.org/drawingml/2006/main" xmlns:pic="http://schemas.openxmlformats.org/drawingml/2006/picture">
            <wp:extent cx="5580000" cy="1354481"/>
            <wp:docPr id="1" name="Picture 1"/>
            <wp:cNvGraphicFramePr>
              <a:graphicFrameLocks noChangeAspect="1"/>
            </wp:cNvGraphicFramePr>
            <a:graphic>
              <a:graphicData uri="http://schemas.openxmlformats.org/drawingml/2006/picture">
                <pic:pic>
                  <pic:nvPicPr>
                    <pic:cNvPr id="0" name="00_formules_feu.png"/>
                    <pic:cNvPicPr/>
                  </pic:nvPicPr>
                  <pic:blipFill>
                    <a:blip r:embed="rId9"/>
                    <a:stretch>
                      <a:fillRect/>
                    </a:stretch>
                  </pic:blipFill>
                  <pic:spPr>
                    <a:xfrm>
                      <a:off x="0" y="0"/>
                      <a:ext cx="5580000" cy="1354481"/>
                    </a:xfrm>
                    <a:prstGeom prst="rect"/>
                  </pic:spPr>
                </pic:pic>
              </a:graphicData>
            </a:graphic>
          </wp:inline>
        </w:drawing>
      </w:r>
    </w:p>
    <w:p>
      <w:pPr>
        <w:pStyle w:val="Caption"/>
        <w:jc w:val="center"/>
      </w:pPr>
      <w:r>
        <w:t>Figure 1 - Formules des courbes de feu.</w:t>
      </w:r>
    </w:p>
    <w:p>
      <w:pPr>
        <w:jc w:val="center"/>
      </w:pPr>
      <w:r>
        <w:drawing>
          <wp:inline xmlns:a="http://schemas.openxmlformats.org/drawingml/2006/main" xmlns:pic="http://schemas.openxmlformats.org/drawingml/2006/picture">
            <wp:extent cx="5580000" cy="3022043"/>
            <wp:docPr id="2" name="Picture 2"/>
            <wp:cNvGraphicFramePr>
              <a:graphicFrameLocks noChangeAspect="1"/>
            </wp:cNvGraphicFramePr>
            <a:graphic>
              <a:graphicData uri="http://schemas.openxmlformats.org/drawingml/2006/picture">
                <pic:pic>
                  <pic:nvPicPr>
                    <pic:cNvPr id="0" name="01_courbes_feu.png"/>
                    <pic:cNvPicPr/>
                  </pic:nvPicPr>
                  <pic:blipFill>
                    <a:blip r:embed="rId10"/>
                    <a:stretch>
                      <a:fillRect/>
                    </a:stretch>
                  </pic:blipFill>
                  <pic:spPr>
                    <a:xfrm>
                      <a:off x="0" y="0"/>
                      <a:ext cx="5580000" cy="3022043"/>
                    </a:xfrm>
                    <a:prstGeom prst="rect"/>
                  </pic:spPr>
                </pic:pic>
              </a:graphicData>
            </a:graphic>
          </wp:inline>
        </w:drawing>
      </w:r>
    </w:p>
    <w:p>
      <w:pPr>
        <w:pStyle w:val="Caption"/>
        <w:jc w:val="center"/>
      </w:pPr>
      <w:r>
        <w:t>Figure 2 - Comparaison des températures nominales des gaz.</w:t>
      </w:r>
    </w:p>
    <w:p>
      <w:pPr>
        <w:pStyle w:val="Heading1"/>
      </w:pPr>
      <w:r>
        <w:t>5. Principes et résultats thermiques</w:t>
      </w:r>
    </w:p>
    <w:p>
      <w:r>
        <w:t>Le modèle capacitif suppose une température uniforme dans chaque section. À chaque pas de 5 s, le bilan énergétique combine convection et rayonnement. Les indices et exposants des expressions suivantes sont rendus sous forme mathématique.</w:t>
      </w:r>
    </w:p>
    <w:p>
      <w:pPr>
        <w:jc w:val="center"/>
      </w:pPr>
      <w:r>
        <w:drawing>
          <wp:inline xmlns:a="http://schemas.openxmlformats.org/drawingml/2006/main" xmlns:pic="http://schemas.openxmlformats.org/drawingml/2006/picture">
            <wp:extent cx="5580000" cy="1701784"/>
            <wp:docPr id="3" name="Picture 3"/>
            <wp:cNvGraphicFramePr>
              <a:graphicFrameLocks noChangeAspect="1"/>
            </wp:cNvGraphicFramePr>
            <a:graphic>
              <a:graphicData uri="http://schemas.openxmlformats.org/drawingml/2006/picture">
                <pic:pic>
                  <pic:nvPicPr>
                    <pic:cNvPr id="0" name="02_formules_thermiques.png"/>
                    <pic:cNvPicPr/>
                  </pic:nvPicPr>
                  <pic:blipFill>
                    <a:blip r:embed="rId11"/>
                    <a:stretch>
                      <a:fillRect/>
                    </a:stretch>
                  </pic:blipFill>
                  <pic:spPr>
                    <a:xfrm>
                      <a:off x="0" y="0"/>
                      <a:ext cx="5580000" cy="1701784"/>
                    </a:xfrm>
                    <a:prstGeom prst="rect"/>
                  </pic:spPr>
                </pic:pic>
              </a:graphicData>
            </a:graphic>
          </wp:inline>
        </w:drawing>
      </w:r>
    </w:p>
    <w:p>
      <w:pPr>
        <w:pStyle w:val="Caption"/>
        <w:jc w:val="center"/>
      </w:pPr>
      <w:r>
        <w:t>Figure 3 - Formulation des flux thermiques et du facteur de section.</w:t>
      </w:r>
    </w:p>
    <w:tbl>
      <w:tblPr>
        <w:tblStyle w:val="TableGrid"/>
        <w:tblW w:type="auto" w:w="0"/>
        <w:jc w:val="center"/>
        <w:tblLook w:firstColumn="1" w:firstRow="1" w:lastColumn="0" w:lastRow="0" w:noHBand="0" w:noVBand="1" w:val="04A0"/>
      </w:tblPr>
      <w:tblGrid>
        <w:gridCol w:w="4986"/>
        <w:gridCol w:w="4986"/>
      </w:tblGrid>
      <w:tr>
        <w:tc>
          <w:tcPr>
            <w:tcW w:type="dxa" w:w="4986"/>
            <w:shd w:fill="1F4E78"/>
          </w:tcPr>
          <w:p>
            <w:r>
              <w:rPr>
                <w:b/>
                <w:color w:val="FFFFFF"/>
                <w:sz w:val="17"/>
              </w:rPr>
              <w:t>Grandeur</w:t>
            </w:r>
          </w:p>
        </w:tc>
        <w:tc>
          <w:tcPr>
            <w:tcW w:type="dxa" w:w="4986"/>
            <w:shd w:fill="1F4E78"/>
          </w:tcPr>
          <w:p>
            <w:r>
              <w:rPr>
                <w:b/>
                <w:color w:val="FFFFFF"/>
                <w:sz w:val="17"/>
              </w:rPr>
              <w:t>Valeur</w:t>
            </w:r>
          </w:p>
        </w:tc>
      </w:tr>
      <w:tr>
        <w:tc>
          <w:tcPr>
            <w:tcW w:type="dxa" w:w="4986"/>
            <w:vAlign w:val="center"/>
          </w:tcPr>
          <w:p>
            <w:r>
              <w:rPr>
                <w:sz w:val="17"/>
              </w:rPr>
              <w:t>ρ acier</w:t>
            </w:r>
          </w:p>
        </w:tc>
        <w:tc>
          <w:tcPr>
            <w:tcW w:type="dxa" w:w="4986"/>
            <w:vAlign w:val="center"/>
          </w:tcPr>
          <w:p>
            <w:r>
              <w:rPr>
                <w:sz w:val="17"/>
              </w:rPr>
              <w:t>7 850 kg/m³</w:t>
            </w:r>
          </w:p>
        </w:tc>
      </w:tr>
      <w:tr>
        <w:tc>
          <w:tcPr>
            <w:tcW w:type="dxa" w:w="4986"/>
            <w:vAlign w:val="center"/>
          </w:tcPr>
          <w:p>
            <w:r>
              <w:rPr>
                <w:sz w:val="17"/>
              </w:rPr>
              <w:t>α_c</w:t>
            </w:r>
          </w:p>
        </w:tc>
        <w:tc>
          <w:tcPr>
            <w:tcW w:type="dxa" w:w="4986"/>
            <w:vAlign w:val="center"/>
          </w:tcPr>
          <w:p>
            <w:r>
              <w:rPr>
                <w:sz w:val="17"/>
              </w:rPr>
              <w:t>25 W/(m²·K)</w:t>
            </w:r>
          </w:p>
        </w:tc>
      </w:tr>
      <w:tr>
        <w:tc>
          <w:tcPr>
            <w:tcW w:type="dxa" w:w="4986"/>
            <w:vAlign w:val="center"/>
          </w:tcPr>
          <w:p>
            <w:r>
              <w:rPr>
                <w:sz w:val="17"/>
              </w:rPr>
              <w:t>ε_m / ε_f</w:t>
            </w:r>
          </w:p>
        </w:tc>
        <w:tc>
          <w:tcPr>
            <w:tcW w:type="dxa" w:w="4986"/>
            <w:vAlign w:val="center"/>
          </w:tcPr>
          <w:p>
            <w:r>
              <w:rPr>
                <w:sz w:val="17"/>
              </w:rPr>
              <w:t>0,70 / 1,00</w:t>
            </w:r>
          </w:p>
        </w:tc>
      </w:tr>
      <w:tr>
        <w:tc>
          <w:tcPr>
            <w:tcW w:type="dxa" w:w="4986"/>
            <w:vAlign w:val="center"/>
          </w:tcPr>
          <w:p>
            <w:r>
              <w:rPr>
                <w:sz w:val="17"/>
              </w:rPr>
              <w:t>σ</w:t>
            </w:r>
          </w:p>
        </w:tc>
        <w:tc>
          <w:tcPr>
            <w:tcW w:type="dxa" w:w="4986"/>
            <w:vAlign w:val="center"/>
          </w:tcPr>
          <w:p>
            <w:r>
              <w:rPr>
                <w:sz w:val="17"/>
              </w:rPr>
              <w:t>5,670374419 × 10⁻⁸ W/(m²·K⁴)</w:t>
            </w:r>
          </w:p>
        </w:tc>
      </w:tr>
      <w:tr>
        <w:tc>
          <w:tcPr>
            <w:tcW w:type="dxa" w:w="4986"/>
            <w:vAlign w:val="center"/>
          </w:tcPr>
          <w:p>
            <w:r>
              <w:rPr>
                <w:sz w:val="17"/>
              </w:rPr>
              <w:t>A_m/V suspente</w:t>
            </w:r>
          </w:p>
        </w:tc>
        <w:tc>
          <w:tcPr>
            <w:tcW w:type="dxa" w:w="4986"/>
            <w:vAlign w:val="center"/>
          </w:tcPr>
          <w:p>
            <w:r>
              <w:rPr>
                <w:sz w:val="17"/>
              </w:rPr>
              <w:t>95,238 m⁻¹</w:t>
            </w:r>
          </w:p>
        </w:tc>
      </w:tr>
      <w:tr>
        <w:tc>
          <w:tcPr>
            <w:tcW w:type="dxa" w:w="4986"/>
            <w:vAlign w:val="center"/>
          </w:tcPr>
          <w:p>
            <w:r>
              <w:rPr>
                <w:sz w:val="17"/>
              </w:rPr>
              <w:t>A_m/V câble</w:t>
            </w:r>
          </w:p>
        </w:tc>
        <w:tc>
          <w:tcPr>
            <w:tcW w:type="dxa" w:w="4986"/>
            <w:vAlign w:val="center"/>
          </w:tcPr>
          <w:p>
            <w:r>
              <w:rPr>
                <w:sz w:val="17"/>
              </w:rPr>
              <w:t>30,303 m⁻¹</w:t>
            </w:r>
          </w:p>
        </w:tc>
      </w:tr>
      <w:tr>
        <w:tc>
          <w:tcPr>
            <w:tcW w:type="dxa" w:w="4986"/>
            <w:vAlign w:val="center"/>
          </w:tcPr>
          <w:p>
            <w:r>
              <w:rPr>
                <w:sz w:val="17"/>
              </w:rPr>
              <w:t>A_m/V intrados</w:t>
            </w:r>
          </w:p>
        </w:tc>
        <w:tc>
          <w:tcPr>
            <w:tcW w:type="dxa" w:w="4986"/>
            <w:vAlign w:val="center"/>
          </w:tcPr>
          <w:p>
            <w:r>
              <w:rPr>
                <w:sz w:val="17"/>
              </w:rPr>
              <w:t>100 m⁻¹, provisoire</w:t>
            </w:r>
          </w:p>
        </w:tc>
      </w:tr>
      <w:tr>
        <w:tc>
          <w:tcPr>
            <w:tcW w:type="dxa" w:w="4986"/>
            <w:vAlign w:val="center"/>
          </w:tcPr>
          <w:p>
            <w:r>
              <w:rPr>
                <w:sz w:val="17"/>
              </w:rPr>
              <w:t>Pas temporel</w:t>
            </w:r>
          </w:p>
        </w:tc>
        <w:tc>
          <w:tcPr>
            <w:tcW w:type="dxa" w:w="4986"/>
            <w:vAlign w:val="center"/>
          </w:tcPr>
          <w:p>
            <w:r>
              <w:rPr>
                <w:sz w:val="17"/>
              </w:rPr>
              <w:t>5 s</w:t>
            </w:r>
          </w:p>
        </w:tc>
      </w:tr>
    </w:tbl>
    <w:p>
      <w:pPr>
        <w:pStyle w:val="Heading2"/>
      </w:pPr>
      <w:r>
        <w:t>5.1 Échauffement de la suspente secondaire</w:t>
      </w:r>
    </w:p>
    <w:p>
      <w:pPr>
        <w:jc w:val="center"/>
      </w:pPr>
      <w:r>
        <w:drawing>
          <wp:inline xmlns:a="http://schemas.openxmlformats.org/drawingml/2006/main" xmlns:pic="http://schemas.openxmlformats.org/drawingml/2006/picture">
            <wp:extent cx="5580000" cy="3042077"/>
            <wp:docPr id="4" name="Picture 4"/>
            <wp:cNvGraphicFramePr>
              <a:graphicFrameLocks noChangeAspect="1"/>
            </wp:cNvGraphicFramePr>
            <a:graphic>
              <a:graphicData uri="http://schemas.openxmlformats.org/drawingml/2006/picture">
                <pic:pic>
                  <pic:nvPicPr>
                    <pic:cNvPr id="0" name="03_suspentes_H15.png"/>
                    <pic:cNvPicPr/>
                  </pic:nvPicPr>
                  <pic:blipFill>
                    <a:blip r:embed="rId12"/>
                    <a:stretch>
                      <a:fillRect/>
                    </a:stretch>
                  </pic:blipFill>
                  <pic:spPr>
                    <a:xfrm>
                      <a:off x="0" y="0"/>
                      <a:ext cx="5580000" cy="3042077"/>
                    </a:xfrm>
                    <a:prstGeom prst="rect"/>
                  </pic:spPr>
                </pic:pic>
              </a:graphicData>
            </a:graphic>
          </wp:inline>
        </w:drawing>
      </w:r>
    </w:p>
    <w:p>
      <w:pPr>
        <w:pStyle w:val="Caption"/>
        <w:jc w:val="center"/>
      </w:pPr>
      <w:r>
        <w:t>Figure 4 - Échauffement de la suspente secondaire pour H = 15 m : six courbes correspondant aux deux feux et aux positions F1, F2 et F3.</w:t>
      </w:r>
    </w:p>
    <w:p>
      <w:pPr>
        <w:pStyle w:val="Heading2"/>
      </w:pPr>
      <w:r>
        <w:t>5.2 Échauffement du câble principal clos</w:t>
      </w:r>
    </w:p>
    <w:p>
      <w:pPr>
        <w:jc w:val="center"/>
      </w:pPr>
      <w:r>
        <w:drawing>
          <wp:inline xmlns:a="http://schemas.openxmlformats.org/drawingml/2006/main" xmlns:pic="http://schemas.openxmlformats.org/drawingml/2006/picture">
            <wp:extent cx="5580000" cy="3042077"/>
            <wp:docPr id="5" name="Picture 5"/>
            <wp:cNvGraphicFramePr>
              <a:graphicFrameLocks noChangeAspect="1"/>
            </wp:cNvGraphicFramePr>
            <a:graphic>
              <a:graphicData uri="http://schemas.openxmlformats.org/drawingml/2006/picture">
                <pic:pic>
                  <pic:nvPicPr>
                    <pic:cNvPr id="0" name="04_cables_H15.png"/>
                    <pic:cNvPicPr/>
                  </pic:nvPicPr>
                  <pic:blipFill>
                    <a:blip r:embed="rId13"/>
                    <a:stretch>
                      <a:fillRect/>
                    </a:stretch>
                  </pic:blipFill>
                  <pic:spPr>
                    <a:xfrm>
                      <a:off x="0" y="0"/>
                      <a:ext cx="5580000" cy="3042077"/>
                    </a:xfrm>
                    <a:prstGeom prst="rect"/>
                  </pic:spPr>
                </pic:pic>
              </a:graphicData>
            </a:graphic>
          </wp:inline>
        </w:drawing>
      </w:r>
    </w:p>
    <w:p>
      <w:pPr>
        <w:pStyle w:val="Caption"/>
        <w:jc w:val="center"/>
      </w:pPr>
      <w:r>
        <w:t>Figure 5 - Échauffement du câble principal clos pour H = 15 m : six courbes correspondant aux deux feux et aux positions F1, F2 et F3.</w:t>
      </w:r>
    </w:p>
    <w:p>
      <w:pPr>
        <w:pStyle w:val="Heading1"/>
      </w:pPr>
      <w:r>
        <w:t>6. Synthèse des 18 cas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8"/>
          </w:tcPr>
          <w:p>
            <w:r>
              <w:rPr>
                <w:b/>
                <w:color w:val="FFFFFF"/>
                <w:sz w:val="15"/>
              </w:rPr>
              <w:t>Cas</w:t>
            </w:r>
          </w:p>
        </w:tc>
        <w:tc>
          <w:tcPr>
            <w:tcW w:type="dxa" w:w="2493"/>
            <w:shd w:fill="1F4E78"/>
          </w:tcPr>
          <w:p>
            <w:r>
              <w:rPr>
                <w:b/>
                <w:color w:val="FFFFFF"/>
                <w:sz w:val="15"/>
              </w:rPr>
              <w:t>Tmax intrados (°C)</w:t>
            </w:r>
          </w:p>
        </w:tc>
        <w:tc>
          <w:tcPr>
            <w:tcW w:type="dxa" w:w="2493"/>
            <w:shd w:fill="1F4E78"/>
          </w:tcPr>
          <w:p>
            <w:r>
              <w:rPr>
                <w:b/>
                <w:color w:val="FFFFFF"/>
                <w:sz w:val="15"/>
              </w:rPr>
              <w:t>Tmax suspente (°C)</w:t>
            </w:r>
          </w:p>
        </w:tc>
        <w:tc>
          <w:tcPr>
            <w:tcW w:type="dxa" w:w="2493"/>
            <w:shd w:fill="1F4E78"/>
          </w:tcPr>
          <w:p>
            <w:r>
              <w:rPr>
                <w:b/>
                <w:color w:val="FFFFFF"/>
                <w:sz w:val="15"/>
              </w:rPr>
              <w:t>Tmax câble (°C)</w:t>
            </w:r>
          </w:p>
        </w:tc>
      </w:tr>
      <w:tr>
        <w:tc>
          <w:tcPr>
            <w:tcW w:type="dxa" w:w="2493"/>
            <w:vAlign w:val="center"/>
          </w:tcPr>
          <w:p>
            <w:r>
              <w:rPr>
                <w:sz w:val="15"/>
              </w:rPr>
              <w:t>ISO834_F1_H10</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1024.6</w:t>
            </w:r>
          </w:p>
        </w:tc>
      </w:tr>
      <w:tr>
        <w:tc>
          <w:tcPr>
            <w:tcW w:type="dxa" w:w="2493"/>
            <w:vAlign w:val="center"/>
          </w:tcPr>
          <w:p>
            <w:r>
              <w:rPr>
                <w:sz w:val="15"/>
              </w:rPr>
              <w:t>ISO834_F1_H12</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1024.6</w:t>
            </w:r>
          </w:p>
        </w:tc>
      </w:tr>
      <w:tr>
        <w:tc>
          <w:tcPr>
            <w:tcW w:type="dxa" w:w="2493"/>
            <w:vAlign w:val="center"/>
          </w:tcPr>
          <w:p>
            <w:r>
              <w:rPr>
                <w:sz w:val="15"/>
              </w:rPr>
              <w:t>ISO834_F1_H15</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1024.6</w:t>
            </w:r>
          </w:p>
        </w:tc>
      </w:tr>
      <w:tr>
        <w:tc>
          <w:tcPr>
            <w:tcW w:type="dxa" w:w="2493"/>
            <w:vAlign w:val="center"/>
          </w:tcPr>
          <w:p>
            <w:r>
              <w:rPr>
                <w:sz w:val="15"/>
              </w:rPr>
              <w:t>ISO834_F2_H10</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1024.6</w:t>
            </w:r>
          </w:p>
        </w:tc>
      </w:tr>
      <w:tr>
        <w:tc>
          <w:tcPr>
            <w:tcW w:type="dxa" w:w="2493"/>
            <w:vAlign w:val="center"/>
          </w:tcPr>
          <w:p>
            <w:r>
              <w:rPr>
                <w:sz w:val="15"/>
              </w:rPr>
              <w:t>ISO834_F2_H12</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1024.6</w:t>
            </w:r>
          </w:p>
        </w:tc>
      </w:tr>
      <w:tr>
        <w:tc>
          <w:tcPr>
            <w:tcW w:type="dxa" w:w="2493"/>
            <w:vAlign w:val="center"/>
          </w:tcPr>
          <w:p>
            <w:r>
              <w:rPr>
                <w:sz w:val="15"/>
              </w:rPr>
              <w:t>ISO834_F2_H15</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1024.6</w:t>
            </w:r>
          </w:p>
        </w:tc>
      </w:tr>
      <w:tr>
        <w:tc>
          <w:tcPr>
            <w:tcW w:type="dxa" w:w="2493"/>
            <w:vAlign w:val="center"/>
          </w:tcPr>
          <w:p>
            <w:r>
              <w:rPr>
                <w:sz w:val="15"/>
              </w:rPr>
              <w:t>ISO834_F3_H10</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720.3</w:t>
            </w:r>
          </w:p>
        </w:tc>
      </w:tr>
      <w:tr>
        <w:tc>
          <w:tcPr>
            <w:tcW w:type="dxa" w:w="2493"/>
            <w:vAlign w:val="center"/>
          </w:tcPr>
          <w:p>
            <w:r>
              <w:rPr>
                <w:sz w:val="15"/>
              </w:rPr>
              <w:t>ISO834_F3_H12</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1024.6</w:t>
            </w:r>
          </w:p>
        </w:tc>
      </w:tr>
      <w:tr>
        <w:tc>
          <w:tcPr>
            <w:tcW w:type="dxa" w:w="2493"/>
            <w:vAlign w:val="center"/>
          </w:tcPr>
          <w:p>
            <w:r>
              <w:rPr>
                <w:sz w:val="15"/>
              </w:rPr>
              <w:t>ISO834_F3_H15</w:t>
            </w:r>
          </w:p>
        </w:tc>
        <w:tc>
          <w:tcPr>
            <w:tcW w:type="dxa" w:w="2493"/>
            <w:vAlign w:val="center"/>
          </w:tcPr>
          <w:p>
            <w:r>
              <w:rPr>
                <w:sz w:val="15"/>
              </w:rPr>
              <w:t>1046.3</w:t>
            </w:r>
          </w:p>
        </w:tc>
        <w:tc>
          <w:tcPr>
            <w:tcW w:type="dxa" w:w="2493"/>
            <w:vAlign w:val="center"/>
          </w:tcPr>
          <w:p>
            <w:r>
              <w:rPr>
                <w:sz w:val="15"/>
              </w:rPr>
              <w:t>1045.6</w:t>
            </w:r>
          </w:p>
        </w:tc>
        <w:tc>
          <w:tcPr>
            <w:tcW w:type="dxa" w:w="2493"/>
            <w:vAlign w:val="center"/>
          </w:tcPr>
          <w:p>
            <w:r>
              <w:rPr>
                <w:sz w:val="15"/>
              </w:rPr>
              <w:t>1024.6</w:t>
            </w:r>
          </w:p>
        </w:tc>
      </w:tr>
      <w:tr>
        <w:tc>
          <w:tcPr>
            <w:tcW w:type="dxa" w:w="2493"/>
            <w:vAlign w:val="center"/>
          </w:tcPr>
          <w:p>
            <w:r>
              <w:rPr>
                <w:sz w:val="15"/>
              </w:rPr>
              <w:t>CEREMA_EXT_F1_H10</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647.7</w:t>
            </w:r>
          </w:p>
        </w:tc>
      </w:tr>
      <w:tr>
        <w:tc>
          <w:tcPr>
            <w:tcW w:type="dxa" w:w="2493"/>
            <w:vAlign w:val="center"/>
          </w:tcPr>
          <w:p>
            <w:r>
              <w:rPr>
                <w:sz w:val="15"/>
              </w:rPr>
              <w:t>CEREMA_EXT_F1_H12</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647.7</w:t>
            </w:r>
          </w:p>
        </w:tc>
      </w:tr>
      <w:tr>
        <w:tc>
          <w:tcPr>
            <w:tcW w:type="dxa" w:w="2493"/>
            <w:vAlign w:val="center"/>
          </w:tcPr>
          <w:p>
            <w:r>
              <w:rPr>
                <w:sz w:val="15"/>
              </w:rPr>
              <w:t>CEREMA_EXT_F1_H15</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647.7</w:t>
            </w:r>
          </w:p>
        </w:tc>
      </w:tr>
      <w:tr>
        <w:tc>
          <w:tcPr>
            <w:tcW w:type="dxa" w:w="2493"/>
            <w:vAlign w:val="center"/>
          </w:tcPr>
          <w:p>
            <w:r>
              <w:rPr>
                <w:sz w:val="15"/>
              </w:rPr>
              <w:t>CEREMA_EXT_F2_H10</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647.7</w:t>
            </w:r>
          </w:p>
        </w:tc>
      </w:tr>
      <w:tr>
        <w:tc>
          <w:tcPr>
            <w:tcW w:type="dxa" w:w="2493"/>
            <w:vAlign w:val="center"/>
          </w:tcPr>
          <w:p>
            <w:r>
              <w:rPr>
                <w:sz w:val="15"/>
              </w:rPr>
              <w:t>CEREMA_EXT_F2_H12</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647.7</w:t>
            </w:r>
          </w:p>
        </w:tc>
      </w:tr>
      <w:tr>
        <w:tc>
          <w:tcPr>
            <w:tcW w:type="dxa" w:w="2493"/>
            <w:vAlign w:val="center"/>
          </w:tcPr>
          <w:p>
            <w:r>
              <w:rPr>
                <w:sz w:val="15"/>
              </w:rPr>
              <w:t>CEREMA_EXT_F2_H15</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647.7</w:t>
            </w:r>
          </w:p>
        </w:tc>
      </w:tr>
      <w:tr>
        <w:tc>
          <w:tcPr>
            <w:tcW w:type="dxa" w:w="2493"/>
            <w:vAlign w:val="center"/>
          </w:tcPr>
          <w:p>
            <w:r>
              <w:rPr>
                <w:sz w:val="15"/>
              </w:rPr>
              <w:t>CEREMA_EXT_F3_H10</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403.4</w:t>
            </w:r>
          </w:p>
        </w:tc>
      </w:tr>
      <w:tr>
        <w:tc>
          <w:tcPr>
            <w:tcW w:type="dxa" w:w="2493"/>
            <w:vAlign w:val="center"/>
          </w:tcPr>
          <w:p>
            <w:r>
              <w:rPr>
                <w:sz w:val="15"/>
              </w:rPr>
              <w:t>CEREMA_EXT_F3_H12</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647.7</w:t>
            </w:r>
          </w:p>
        </w:tc>
      </w:tr>
      <w:tr>
        <w:tc>
          <w:tcPr>
            <w:tcW w:type="dxa" w:w="2493"/>
            <w:vAlign w:val="center"/>
          </w:tcPr>
          <w:p>
            <w:r>
              <w:rPr>
                <w:sz w:val="15"/>
              </w:rPr>
              <w:t>CEREMA_EXT_F3_H15</w:t>
            </w:r>
          </w:p>
        </w:tc>
        <w:tc>
          <w:tcPr>
            <w:tcW w:type="dxa" w:w="2493"/>
            <w:vAlign w:val="center"/>
          </w:tcPr>
          <w:p>
            <w:r>
              <w:rPr>
                <w:sz w:val="15"/>
              </w:rPr>
              <w:t>680.0</w:t>
            </w:r>
          </w:p>
        </w:tc>
        <w:tc>
          <w:tcPr>
            <w:tcW w:type="dxa" w:w="2493"/>
            <w:vAlign w:val="center"/>
          </w:tcPr>
          <w:p>
            <w:r>
              <w:rPr>
                <w:sz w:val="15"/>
              </w:rPr>
              <w:t>680.0</w:t>
            </w:r>
          </w:p>
        </w:tc>
        <w:tc>
          <w:tcPr>
            <w:tcW w:type="dxa" w:w="2493"/>
            <w:vAlign w:val="center"/>
          </w:tcPr>
          <w:p>
            <w:r>
              <w:rPr>
                <w:sz w:val="15"/>
              </w:rPr>
              <w:t>647.7</w:t>
            </w:r>
          </w:p>
        </w:tc>
      </w:tr>
    </w:tbl>
    <w:p>
      <w:pPr>
        <w:pStyle w:val="Heading1"/>
      </w:pPr>
      <w:r>
        <w:t>7. Cas le plus défavorable à 30 minutes</w:t>
      </w:r>
    </w:p>
    <w:p>
      <w:r>
        <w:t>Le cas retenu est ISO834_F1_H10 pour l’élément intrados. À 30 min, la température calculée est 767.48 °C.</w:t>
      </w:r>
    </w:p>
    <w:tbl>
      <w:tblPr>
        <w:tblStyle w:val="TableGrid"/>
        <w:tblW w:type="auto" w:w="0"/>
        <w:jc w:val="center"/>
        <w:tblLook w:firstColumn="1" w:firstRow="1" w:lastColumn="0" w:lastRow="0" w:noHBand="0" w:noVBand="1" w:val="04A0"/>
      </w:tblPr>
      <w:tblGrid>
        <w:gridCol w:w="4986"/>
        <w:gridCol w:w="4986"/>
      </w:tblGrid>
      <w:tr>
        <w:tc>
          <w:tcPr>
            <w:tcW w:type="dxa" w:w="4986"/>
            <w:shd w:fill="1F4E78"/>
          </w:tcPr>
          <w:p>
            <w:r>
              <w:rPr>
                <w:b/>
                <w:color w:val="FFFFFF"/>
                <w:sz w:val="17"/>
              </w:rPr>
              <w:t>Donnée</w:t>
            </w:r>
          </w:p>
        </w:tc>
        <w:tc>
          <w:tcPr>
            <w:tcW w:type="dxa" w:w="4986"/>
            <w:shd w:fill="1F4E78"/>
          </w:tcPr>
          <w:p>
            <w:r>
              <w:rPr>
                <w:b/>
                <w:color w:val="FFFFFF"/>
                <w:sz w:val="17"/>
              </w:rPr>
              <w:t>Valeur</w:t>
            </w:r>
          </w:p>
        </w:tc>
      </w:tr>
      <w:tr>
        <w:tc>
          <w:tcPr>
            <w:tcW w:type="dxa" w:w="4986"/>
            <w:vAlign w:val="center"/>
          </w:tcPr>
          <w:p>
            <w:r>
              <w:rPr>
                <w:sz w:val="17"/>
              </w:rPr>
              <w:t>Courbe de feu</w:t>
            </w:r>
          </w:p>
        </w:tc>
        <w:tc>
          <w:tcPr>
            <w:tcW w:type="dxa" w:w="4986"/>
            <w:vAlign w:val="center"/>
          </w:tcPr>
          <w:p>
            <w:r>
              <w:rPr>
                <w:sz w:val="17"/>
              </w:rPr>
              <w:t>ISO 834</w:t>
            </w:r>
          </w:p>
        </w:tc>
      </w:tr>
      <w:tr>
        <w:tc>
          <w:tcPr>
            <w:tcW w:type="dxa" w:w="4986"/>
            <w:vAlign w:val="center"/>
          </w:tcPr>
          <w:p>
            <w:r>
              <w:rPr>
                <w:sz w:val="17"/>
              </w:rPr>
              <w:t>Position du camion</w:t>
            </w:r>
          </w:p>
        </w:tc>
        <w:tc>
          <w:tcPr>
            <w:tcW w:type="dxa" w:w="4986"/>
            <w:vAlign w:val="center"/>
          </w:tcPr>
          <w:p>
            <w:r>
              <w:rPr>
                <w:sz w:val="17"/>
              </w:rPr>
              <w:t>foyer en zone ouest</w:t>
            </w:r>
          </w:p>
        </w:tc>
      </w:tr>
      <w:tr>
        <w:tc>
          <w:tcPr>
            <w:tcW w:type="dxa" w:w="4986"/>
            <w:vAlign w:val="center"/>
          </w:tcPr>
          <w:p>
            <w:r>
              <w:rPr>
                <w:sz w:val="17"/>
              </w:rPr>
              <w:t>Hauteur d’enveloppe</w:t>
            </w:r>
          </w:p>
        </w:tc>
        <w:tc>
          <w:tcPr>
            <w:tcW w:type="dxa" w:w="4986"/>
            <w:vAlign w:val="center"/>
          </w:tcPr>
          <w:p>
            <w:r>
              <w:rPr>
                <w:sz w:val="17"/>
              </w:rPr>
              <w:t>10.00 m</w:t>
            </w:r>
          </w:p>
        </w:tc>
      </w:tr>
      <w:tr>
        <w:tc>
          <w:tcPr>
            <w:tcW w:type="dxa" w:w="4986"/>
            <w:vAlign w:val="center"/>
          </w:tcPr>
          <w:p>
            <w:r>
              <w:rPr>
                <w:sz w:val="17"/>
              </w:rPr>
              <w:t>Élément</w:t>
            </w:r>
          </w:p>
        </w:tc>
        <w:tc>
          <w:tcPr>
            <w:tcW w:type="dxa" w:w="4986"/>
            <w:vAlign w:val="center"/>
          </w:tcPr>
          <w:p>
            <w:r>
              <w:rPr>
                <w:sz w:val="17"/>
              </w:rPr>
              <w:t>intrados</w:t>
            </w:r>
          </w:p>
        </w:tc>
      </w:tr>
      <w:tr>
        <w:tc>
          <w:tcPr>
            <w:tcW w:type="dxa" w:w="4986"/>
            <w:vAlign w:val="center"/>
          </w:tcPr>
          <w:p>
            <w:r>
              <w:rPr>
                <w:sz w:val="17"/>
              </w:rPr>
              <w:t>A_m/V</w:t>
            </w:r>
          </w:p>
        </w:tc>
        <w:tc>
          <w:tcPr>
            <w:tcW w:type="dxa" w:w="4986"/>
            <w:vAlign w:val="center"/>
          </w:tcPr>
          <w:p>
            <w:r>
              <w:rPr>
                <w:sz w:val="17"/>
              </w:rPr>
              <w:t>100.000 m⁻¹</w:t>
            </w:r>
          </w:p>
        </w:tc>
      </w:tr>
      <w:tr>
        <w:tc>
          <w:tcPr>
            <w:tcW w:type="dxa" w:w="4986"/>
            <w:vAlign w:val="center"/>
          </w:tcPr>
          <w:p>
            <w:r>
              <w:rPr>
                <w:sz w:val="17"/>
              </w:rPr>
              <w:t>f_rad</w:t>
            </w:r>
          </w:p>
        </w:tc>
        <w:tc>
          <w:tcPr>
            <w:tcW w:type="dxa" w:w="4986"/>
            <w:vAlign w:val="center"/>
          </w:tcPr>
          <w:p>
            <w:r>
              <w:rPr>
                <w:sz w:val="17"/>
              </w:rPr>
              <w:t>1.000</w:t>
            </w:r>
          </w:p>
        </w:tc>
      </w:tr>
      <w:tr>
        <w:tc>
          <w:tcPr>
            <w:tcW w:type="dxa" w:w="4986"/>
            <w:vAlign w:val="center"/>
          </w:tcPr>
          <w:p>
            <w:r>
              <w:rPr>
                <w:sz w:val="17"/>
              </w:rPr>
              <w:t>f_conv</w:t>
            </w:r>
          </w:p>
        </w:tc>
        <w:tc>
          <w:tcPr>
            <w:tcW w:type="dxa" w:w="4986"/>
            <w:vAlign w:val="center"/>
          </w:tcPr>
          <w:p>
            <w:r>
              <w:rPr>
                <w:sz w:val="17"/>
              </w:rPr>
              <w:t>1.000</w:t>
            </w:r>
          </w:p>
        </w:tc>
      </w:tr>
      <w:tr>
        <w:tc>
          <w:tcPr>
            <w:tcW w:type="dxa" w:w="4986"/>
            <w:vAlign w:val="center"/>
          </w:tcPr>
          <w:p>
            <w:r>
              <w:rPr>
                <w:sz w:val="17"/>
              </w:rPr>
              <w:t>Pas</w:t>
            </w:r>
          </w:p>
        </w:tc>
        <w:tc>
          <w:tcPr>
            <w:tcW w:type="dxa" w:w="4986"/>
            <w:vAlign w:val="center"/>
          </w:tcPr>
          <w:p>
            <w:r>
              <w:rPr>
                <w:sz w:val="17"/>
              </w:rPr>
              <w:t>5.0 s</w:t>
            </w:r>
          </w:p>
        </w:tc>
      </w:tr>
      <w:tr>
        <w:tc>
          <w:tcPr>
            <w:tcW w:type="dxa" w:w="4986"/>
            <w:vAlign w:val="center"/>
          </w:tcPr>
          <w:p>
            <w:r>
              <w:rPr>
                <w:sz w:val="17"/>
              </w:rPr>
              <w:t>T_g à 29 min 55 s</w:t>
            </w:r>
          </w:p>
        </w:tc>
        <w:tc>
          <w:tcPr>
            <w:tcW w:type="dxa" w:w="4986"/>
            <w:vAlign w:val="center"/>
          </w:tcPr>
          <w:p>
            <w:r>
              <w:rPr>
                <w:sz w:val="17"/>
              </w:rPr>
              <w:t>841.381 °C</w:t>
            </w:r>
          </w:p>
        </w:tc>
      </w:tr>
      <w:tr>
        <w:tc>
          <w:tcPr>
            <w:tcW w:type="dxa" w:w="4986"/>
            <w:vAlign w:val="center"/>
          </w:tcPr>
          <w:p>
            <w:r>
              <w:rPr>
                <w:sz w:val="17"/>
              </w:rPr>
              <w:t>T_acier à 29 min 55 s</w:t>
            </w:r>
          </w:p>
        </w:tc>
        <w:tc>
          <w:tcPr>
            <w:tcW w:type="dxa" w:w="4986"/>
            <w:vAlign w:val="center"/>
          </w:tcPr>
          <w:p>
            <w:r>
              <w:rPr>
                <w:sz w:val="17"/>
              </w:rPr>
              <w:t>766.457 °C</w:t>
            </w:r>
          </w:p>
        </w:tc>
      </w:tr>
      <w:tr>
        <w:tc>
          <w:tcPr>
            <w:tcW w:type="dxa" w:w="4986"/>
            <w:vAlign w:val="center"/>
          </w:tcPr>
          <w:p>
            <w:r>
              <w:rPr>
                <w:sz w:val="17"/>
              </w:rPr>
              <w:t>c_a</w:t>
            </w:r>
          </w:p>
        </w:tc>
        <w:tc>
          <w:tcPr>
            <w:tcW w:type="dxa" w:w="4986"/>
            <w:vAlign w:val="center"/>
          </w:tcPr>
          <w:p>
            <w:r>
              <w:rPr>
                <w:sz w:val="17"/>
              </w:rPr>
              <w:t>1047.587 J/(kg·K)</w:t>
            </w:r>
          </w:p>
        </w:tc>
      </w:tr>
      <w:tr>
        <w:tc>
          <w:tcPr>
            <w:tcW w:type="dxa" w:w="4986"/>
            <w:vAlign w:val="center"/>
          </w:tcPr>
          <w:p>
            <w:r>
              <w:rPr>
                <w:sz w:val="17"/>
              </w:rPr>
              <w:t>q_conv</w:t>
            </w:r>
          </w:p>
        </w:tc>
        <w:tc>
          <w:tcPr>
            <w:tcW w:type="dxa" w:w="4986"/>
            <w:vAlign w:val="center"/>
          </w:tcPr>
          <w:p>
            <w:r>
              <w:rPr>
                <w:sz w:val="17"/>
              </w:rPr>
              <w:t>1873.108 W/m²</w:t>
            </w:r>
          </w:p>
        </w:tc>
      </w:tr>
      <w:tr>
        <w:tc>
          <w:tcPr>
            <w:tcW w:type="dxa" w:w="4986"/>
            <w:vAlign w:val="center"/>
          </w:tcPr>
          <w:p>
            <w:r>
              <w:rPr>
                <w:sz w:val="17"/>
              </w:rPr>
              <w:t>q_rad</w:t>
            </w:r>
          </w:p>
        </w:tc>
        <w:tc>
          <w:tcPr>
            <w:tcW w:type="dxa" w:w="4986"/>
            <w:vAlign w:val="center"/>
          </w:tcPr>
          <w:p>
            <w:r>
              <w:rPr>
                <w:sz w:val="17"/>
              </w:rPr>
              <w:t>14881.539 W/m²</w:t>
            </w:r>
          </w:p>
        </w:tc>
      </w:tr>
      <w:tr>
        <w:tc>
          <w:tcPr>
            <w:tcW w:type="dxa" w:w="4986"/>
            <w:vAlign w:val="center"/>
          </w:tcPr>
          <w:p>
            <w:r>
              <w:rPr>
                <w:sz w:val="17"/>
              </w:rPr>
              <w:t>q_net</w:t>
            </w:r>
          </w:p>
        </w:tc>
        <w:tc>
          <w:tcPr>
            <w:tcW w:type="dxa" w:w="4986"/>
            <w:vAlign w:val="center"/>
          </w:tcPr>
          <w:p>
            <w:r>
              <w:rPr>
                <w:sz w:val="17"/>
              </w:rPr>
              <w:t>16754.647 W/m²</w:t>
            </w:r>
          </w:p>
        </w:tc>
      </w:tr>
      <w:tr>
        <w:tc>
          <w:tcPr>
            <w:tcW w:type="dxa" w:w="4986"/>
            <w:vAlign w:val="center"/>
          </w:tcPr>
          <w:p>
            <w:r>
              <w:rPr>
                <w:sz w:val="17"/>
              </w:rPr>
              <w:t>ΔT du dernier pas</w:t>
            </w:r>
          </w:p>
        </w:tc>
        <w:tc>
          <w:tcPr>
            <w:tcW w:type="dxa" w:w="4986"/>
            <w:vAlign w:val="center"/>
          </w:tcPr>
          <w:p>
            <w:r>
              <w:rPr>
                <w:sz w:val="17"/>
              </w:rPr>
              <w:t>1.018698 °C</w:t>
            </w:r>
          </w:p>
        </w:tc>
      </w:tr>
      <w:tr>
        <w:tc>
          <w:tcPr>
            <w:tcW w:type="dxa" w:w="4986"/>
            <w:vAlign w:val="center"/>
          </w:tcPr>
          <w:p>
            <w:r>
              <w:rPr>
                <w:sz w:val="17"/>
              </w:rPr>
              <w:t>T_acier à 30 min</w:t>
            </w:r>
          </w:p>
        </w:tc>
        <w:tc>
          <w:tcPr>
            <w:tcW w:type="dxa" w:w="4986"/>
            <w:vAlign w:val="center"/>
          </w:tcPr>
          <w:p>
            <w:r>
              <w:rPr>
                <w:sz w:val="17"/>
              </w:rPr>
              <w:t>767.475 °C</w:t>
            </w:r>
          </w:p>
        </w:tc>
      </w:tr>
    </w:tbl>
    <w:p>
      <w:r>
        <w:t>Vérification du dernier incrément avant 30 min :</w:t>
      </w:r>
    </w:p>
    <w:p>
      <w:r>
        <w:t>ΔT = 100.000 × (1873.108 + 14881.539) × 5.0 / (7 850 × 1047.587) = 1.018698 °C</w:t>
      </w:r>
    </w:p>
    <w:p>
      <w:pPr>
        <w:jc w:val="center"/>
      </w:pPr>
      <w:r>
        <w:drawing>
          <wp:inline xmlns:a="http://schemas.openxmlformats.org/drawingml/2006/main" xmlns:pic="http://schemas.openxmlformats.org/drawingml/2006/picture">
            <wp:extent cx="5580000" cy="3022043"/>
            <wp:docPr id="6" name="Picture 6"/>
            <wp:cNvGraphicFramePr>
              <a:graphicFrameLocks noChangeAspect="1"/>
            </wp:cNvGraphicFramePr>
            <a:graphic>
              <a:graphicData uri="http://schemas.openxmlformats.org/drawingml/2006/picture">
                <pic:pic>
                  <pic:nvPicPr>
                    <pic:cNvPr id="0" name="ISO834_F1_H10.png"/>
                    <pic:cNvPicPr/>
                  </pic:nvPicPr>
                  <pic:blipFill>
                    <a:blip r:embed="rId14"/>
                    <a:stretch>
                      <a:fillRect/>
                    </a:stretch>
                  </pic:blipFill>
                  <pic:spPr>
                    <a:xfrm>
                      <a:off x="0" y="0"/>
                      <a:ext cx="5580000" cy="3022043"/>
                    </a:xfrm>
                    <a:prstGeom prst="rect"/>
                  </pic:spPr>
                </pic:pic>
              </a:graphicData>
            </a:graphic>
          </wp:inline>
        </w:drawing>
      </w:r>
    </w:p>
    <w:p>
      <w:pPr>
        <w:pStyle w:val="Caption"/>
        <w:jc w:val="center"/>
      </w:pPr>
      <w:r>
        <w:t>Figure 6 - Évolution thermique du cas ISO834_F1_H10.</w:t>
      </w:r>
    </w:p>
    <w:p>
      <w:pPr>
        <w:pStyle w:val="Heading1"/>
      </w:pPr>
      <w:r>
        <w:t>8. Conclusions et limites</w:t>
      </w:r>
    </w:p>
    <w:p>
      <w:pPr>
        <w:pStyle w:val="ListBullet"/>
      </w:pPr>
      <w:r>
        <w:t>Les mentions demandées ont été supprimées et les légendes harmonisées.</w:t>
      </w:r>
    </w:p>
    <w:p>
      <w:pPr>
        <w:pStyle w:val="ListBullet"/>
      </w:pPr>
      <w:r>
        <w:t>Les positions F1, F2 et F3 sont introduites avant leur première utilisation.</w:t>
      </w:r>
    </w:p>
    <w:p>
      <w:pPr>
        <w:pStyle w:val="ListBullet"/>
      </w:pPr>
      <w:r>
        <w:t>Les formules sont rendues par Matplotlib en notation mathématique afin de positionner correctement indices et exposants.</w:t>
      </w:r>
    </w:p>
    <w:p>
      <w:pPr>
        <w:pStyle w:val="ListBullet"/>
      </w:pPr>
      <w:r>
        <w:t>Les deux graphiques de familles comportent six courbes pour H = 15 m : deux feux et trois positions.</w:t>
      </w:r>
    </w:p>
    <w:p>
      <w:pPr>
        <w:pStyle w:val="ListBullet"/>
      </w:pPr>
      <w:r>
        <w:t>L’annexe B rassemble les courbes des 18 cas étudiés.</w:t>
      </w:r>
    </w:p>
    <w:p>
      <w:pPr>
        <w:pStyle w:val="ListBullet"/>
      </w:pPr>
      <w:r>
        <w:t>Les coefficients d’exposition et le facteur de massiveté de l’intrados restent à justifier avant dimensionnement.</w:t>
      </w:r>
    </w:p>
    <w:p>
      <w:r>
        <w:br w:type="page"/>
      </w:r>
    </w:p>
    <w:p>
      <w:pPr>
        <w:pStyle w:val="Heading1"/>
      </w:pPr>
      <w:r>
        <w:t>Annexe A - Données détaillées du cas défavorable à 30 minutes</w:t>
      </w:r>
    </w:p>
    <w:tbl>
      <w:tblPr>
        <w:tblStyle w:val="TableGrid"/>
        <w:tblW w:type="auto" w:w="0"/>
        <w:jc w:val="center"/>
        <w:tblLook w:firstColumn="1" w:firstRow="1" w:lastColumn="0" w:lastRow="0" w:noHBand="0" w:noVBand="1" w:val="04A0"/>
      </w:tblPr>
      <w:tblGrid>
        <w:gridCol w:w="4986"/>
        <w:gridCol w:w="4986"/>
      </w:tblGrid>
      <w:tr>
        <w:tc>
          <w:tcPr>
            <w:tcW w:type="dxa" w:w="4986"/>
            <w:shd w:fill="1F4E78"/>
          </w:tcPr>
          <w:p>
            <w:r>
              <w:rPr>
                <w:b/>
                <w:color w:val="FFFFFF"/>
                <w:sz w:val="17"/>
              </w:rPr>
              <w:t>Grandeur</w:t>
            </w:r>
          </w:p>
        </w:tc>
        <w:tc>
          <w:tcPr>
            <w:tcW w:type="dxa" w:w="4986"/>
            <w:shd w:fill="1F4E78"/>
          </w:tcPr>
          <w:p>
            <w:r>
              <w:rPr>
                <w:b/>
                <w:color w:val="FFFFFF"/>
                <w:sz w:val="17"/>
              </w:rPr>
              <w:t>Valeur</w:t>
            </w:r>
          </w:p>
        </w:tc>
      </w:tr>
      <w:tr>
        <w:tc>
          <w:tcPr>
            <w:tcW w:type="dxa" w:w="4986"/>
            <w:vAlign w:val="center"/>
          </w:tcPr>
          <w:p>
            <w:r>
              <w:rPr>
                <w:sz w:val="17"/>
              </w:rPr>
              <w:t>Courbe de feu</w:t>
            </w:r>
          </w:p>
        </w:tc>
        <w:tc>
          <w:tcPr>
            <w:tcW w:type="dxa" w:w="4986"/>
            <w:vAlign w:val="center"/>
          </w:tcPr>
          <w:p>
            <w:r>
              <w:rPr>
                <w:sz w:val="17"/>
              </w:rPr>
              <w:t>ISO 834</w:t>
            </w:r>
          </w:p>
        </w:tc>
      </w:tr>
      <w:tr>
        <w:tc>
          <w:tcPr>
            <w:tcW w:type="dxa" w:w="4986"/>
            <w:vAlign w:val="center"/>
          </w:tcPr>
          <w:p>
            <w:r>
              <w:rPr>
                <w:sz w:val="17"/>
              </w:rPr>
              <w:t>Position du camion</w:t>
            </w:r>
          </w:p>
        </w:tc>
        <w:tc>
          <w:tcPr>
            <w:tcW w:type="dxa" w:w="4986"/>
            <w:vAlign w:val="center"/>
          </w:tcPr>
          <w:p>
            <w:r>
              <w:rPr>
                <w:sz w:val="17"/>
              </w:rPr>
              <w:t>foyer en zone ouest</w:t>
            </w:r>
          </w:p>
        </w:tc>
      </w:tr>
      <w:tr>
        <w:tc>
          <w:tcPr>
            <w:tcW w:type="dxa" w:w="4986"/>
            <w:vAlign w:val="center"/>
          </w:tcPr>
          <w:p>
            <w:r>
              <w:rPr>
                <w:sz w:val="17"/>
              </w:rPr>
              <w:t>Hauteur d’enveloppe</w:t>
            </w:r>
          </w:p>
        </w:tc>
        <w:tc>
          <w:tcPr>
            <w:tcW w:type="dxa" w:w="4986"/>
            <w:vAlign w:val="center"/>
          </w:tcPr>
          <w:p>
            <w:r>
              <w:rPr>
                <w:sz w:val="17"/>
              </w:rPr>
              <w:t>10.00 m</w:t>
            </w:r>
          </w:p>
        </w:tc>
      </w:tr>
      <w:tr>
        <w:tc>
          <w:tcPr>
            <w:tcW w:type="dxa" w:w="4986"/>
            <w:vAlign w:val="center"/>
          </w:tcPr>
          <w:p>
            <w:r>
              <w:rPr>
                <w:sz w:val="17"/>
              </w:rPr>
              <w:t>Élément</w:t>
            </w:r>
          </w:p>
        </w:tc>
        <w:tc>
          <w:tcPr>
            <w:tcW w:type="dxa" w:w="4986"/>
            <w:vAlign w:val="center"/>
          </w:tcPr>
          <w:p>
            <w:r>
              <w:rPr>
                <w:sz w:val="17"/>
              </w:rPr>
              <w:t>intrados</w:t>
            </w:r>
          </w:p>
        </w:tc>
      </w:tr>
      <w:tr>
        <w:tc>
          <w:tcPr>
            <w:tcW w:type="dxa" w:w="4986"/>
            <w:vAlign w:val="center"/>
          </w:tcPr>
          <w:p>
            <w:r>
              <w:rPr>
                <w:sz w:val="17"/>
              </w:rPr>
              <w:t>A_m/V</w:t>
            </w:r>
          </w:p>
        </w:tc>
        <w:tc>
          <w:tcPr>
            <w:tcW w:type="dxa" w:w="4986"/>
            <w:vAlign w:val="center"/>
          </w:tcPr>
          <w:p>
            <w:r>
              <w:rPr>
                <w:sz w:val="17"/>
              </w:rPr>
              <w:t>100.000 m⁻¹</w:t>
            </w:r>
          </w:p>
        </w:tc>
      </w:tr>
      <w:tr>
        <w:tc>
          <w:tcPr>
            <w:tcW w:type="dxa" w:w="4986"/>
            <w:vAlign w:val="center"/>
          </w:tcPr>
          <w:p>
            <w:r>
              <w:rPr>
                <w:sz w:val="17"/>
              </w:rPr>
              <w:t>f_rad</w:t>
            </w:r>
          </w:p>
        </w:tc>
        <w:tc>
          <w:tcPr>
            <w:tcW w:type="dxa" w:w="4986"/>
            <w:vAlign w:val="center"/>
          </w:tcPr>
          <w:p>
            <w:r>
              <w:rPr>
                <w:sz w:val="17"/>
              </w:rPr>
              <w:t>1.000</w:t>
            </w:r>
          </w:p>
        </w:tc>
      </w:tr>
      <w:tr>
        <w:tc>
          <w:tcPr>
            <w:tcW w:type="dxa" w:w="4986"/>
            <w:vAlign w:val="center"/>
          </w:tcPr>
          <w:p>
            <w:r>
              <w:rPr>
                <w:sz w:val="17"/>
              </w:rPr>
              <w:t>f_conv</w:t>
            </w:r>
          </w:p>
        </w:tc>
        <w:tc>
          <w:tcPr>
            <w:tcW w:type="dxa" w:w="4986"/>
            <w:vAlign w:val="center"/>
          </w:tcPr>
          <w:p>
            <w:r>
              <w:rPr>
                <w:sz w:val="17"/>
              </w:rPr>
              <w:t>1.000</w:t>
            </w:r>
          </w:p>
        </w:tc>
      </w:tr>
      <w:tr>
        <w:tc>
          <w:tcPr>
            <w:tcW w:type="dxa" w:w="4986"/>
            <w:vAlign w:val="center"/>
          </w:tcPr>
          <w:p>
            <w:r>
              <w:rPr>
                <w:sz w:val="17"/>
              </w:rPr>
              <w:t>Pas</w:t>
            </w:r>
          </w:p>
        </w:tc>
        <w:tc>
          <w:tcPr>
            <w:tcW w:type="dxa" w:w="4986"/>
            <w:vAlign w:val="center"/>
          </w:tcPr>
          <w:p>
            <w:r>
              <w:rPr>
                <w:sz w:val="17"/>
              </w:rPr>
              <w:t>5.0 s</w:t>
            </w:r>
          </w:p>
        </w:tc>
      </w:tr>
      <w:tr>
        <w:tc>
          <w:tcPr>
            <w:tcW w:type="dxa" w:w="4986"/>
            <w:vAlign w:val="center"/>
          </w:tcPr>
          <w:p>
            <w:r>
              <w:rPr>
                <w:sz w:val="17"/>
              </w:rPr>
              <w:t>T_g à 29 min 55 s</w:t>
            </w:r>
          </w:p>
        </w:tc>
        <w:tc>
          <w:tcPr>
            <w:tcW w:type="dxa" w:w="4986"/>
            <w:vAlign w:val="center"/>
          </w:tcPr>
          <w:p>
            <w:r>
              <w:rPr>
                <w:sz w:val="17"/>
              </w:rPr>
              <w:t>841.381 °C</w:t>
            </w:r>
          </w:p>
        </w:tc>
      </w:tr>
      <w:tr>
        <w:tc>
          <w:tcPr>
            <w:tcW w:type="dxa" w:w="4986"/>
            <w:vAlign w:val="center"/>
          </w:tcPr>
          <w:p>
            <w:r>
              <w:rPr>
                <w:sz w:val="17"/>
              </w:rPr>
              <w:t>T_acier à 29 min 55 s</w:t>
            </w:r>
          </w:p>
        </w:tc>
        <w:tc>
          <w:tcPr>
            <w:tcW w:type="dxa" w:w="4986"/>
            <w:vAlign w:val="center"/>
          </w:tcPr>
          <w:p>
            <w:r>
              <w:rPr>
                <w:sz w:val="17"/>
              </w:rPr>
              <w:t>766.457 °C</w:t>
            </w:r>
          </w:p>
        </w:tc>
      </w:tr>
      <w:tr>
        <w:tc>
          <w:tcPr>
            <w:tcW w:type="dxa" w:w="4986"/>
            <w:vAlign w:val="center"/>
          </w:tcPr>
          <w:p>
            <w:r>
              <w:rPr>
                <w:sz w:val="17"/>
              </w:rPr>
              <w:t>c_a</w:t>
            </w:r>
          </w:p>
        </w:tc>
        <w:tc>
          <w:tcPr>
            <w:tcW w:type="dxa" w:w="4986"/>
            <w:vAlign w:val="center"/>
          </w:tcPr>
          <w:p>
            <w:r>
              <w:rPr>
                <w:sz w:val="17"/>
              </w:rPr>
              <w:t>1047.587 J/(kg·K)</w:t>
            </w:r>
          </w:p>
        </w:tc>
      </w:tr>
      <w:tr>
        <w:tc>
          <w:tcPr>
            <w:tcW w:type="dxa" w:w="4986"/>
            <w:vAlign w:val="center"/>
          </w:tcPr>
          <w:p>
            <w:r>
              <w:rPr>
                <w:sz w:val="17"/>
              </w:rPr>
              <w:t>q_conv</w:t>
            </w:r>
          </w:p>
        </w:tc>
        <w:tc>
          <w:tcPr>
            <w:tcW w:type="dxa" w:w="4986"/>
            <w:vAlign w:val="center"/>
          </w:tcPr>
          <w:p>
            <w:r>
              <w:rPr>
                <w:sz w:val="17"/>
              </w:rPr>
              <w:t>1873.108 W/m²</w:t>
            </w:r>
          </w:p>
        </w:tc>
      </w:tr>
      <w:tr>
        <w:tc>
          <w:tcPr>
            <w:tcW w:type="dxa" w:w="4986"/>
            <w:vAlign w:val="center"/>
          </w:tcPr>
          <w:p>
            <w:r>
              <w:rPr>
                <w:sz w:val="17"/>
              </w:rPr>
              <w:t>q_rad</w:t>
            </w:r>
          </w:p>
        </w:tc>
        <w:tc>
          <w:tcPr>
            <w:tcW w:type="dxa" w:w="4986"/>
            <w:vAlign w:val="center"/>
          </w:tcPr>
          <w:p>
            <w:r>
              <w:rPr>
                <w:sz w:val="17"/>
              </w:rPr>
              <w:t>14881.539 W/m²</w:t>
            </w:r>
          </w:p>
        </w:tc>
      </w:tr>
      <w:tr>
        <w:tc>
          <w:tcPr>
            <w:tcW w:type="dxa" w:w="4986"/>
            <w:vAlign w:val="center"/>
          </w:tcPr>
          <w:p>
            <w:r>
              <w:rPr>
                <w:sz w:val="17"/>
              </w:rPr>
              <w:t>q_net</w:t>
            </w:r>
          </w:p>
        </w:tc>
        <w:tc>
          <w:tcPr>
            <w:tcW w:type="dxa" w:w="4986"/>
            <w:vAlign w:val="center"/>
          </w:tcPr>
          <w:p>
            <w:r>
              <w:rPr>
                <w:sz w:val="17"/>
              </w:rPr>
              <w:t>16754.647 W/m²</w:t>
            </w:r>
          </w:p>
        </w:tc>
      </w:tr>
      <w:tr>
        <w:tc>
          <w:tcPr>
            <w:tcW w:type="dxa" w:w="4986"/>
            <w:vAlign w:val="center"/>
          </w:tcPr>
          <w:p>
            <w:r>
              <w:rPr>
                <w:sz w:val="17"/>
              </w:rPr>
              <w:t>ΔT du dernier pas</w:t>
            </w:r>
          </w:p>
        </w:tc>
        <w:tc>
          <w:tcPr>
            <w:tcW w:type="dxa" w:w="4986"/>
            <w:vAlign w:val="center"/>
          </w:tcPr>
          <w:p>
            <w:r>
              <w:rPr>
                <w:sz w:val="17"/>
              </w:rPr>
              <w:t>1.018698 °C</w:t>
            </w:r>
          </w:p>
        </w:tc>
      </w:tr>
      <w:tr>
        <w:tc>
          <w:tcPr>
            <w:tcW w:type="dxa" w:w="4986"/>
            <w:vAlign w:val="center"/>
          </w:tcPr>
          <w:p>
            <w:r>
              <w:rPr>
                <w:sz w:val="17"/>
              </w:rPr>
              <w:t>T_acier à 30 min</w:t>
            </w:r>
          </w:p>
        </w:tc>
        <w:tc>
          <w:tcPr>
            <w:tcW w:type="dxa" w:w="4986"/>
            <w:vAlign w:val="center"/>
          </w:tcPr>
          <w:p>
            <w:r>
              <w:rPr>
                <w:sz w:val="17"/>
              </w:rPr>
              <w:t>767.475 °C</w:t>
            </w:r>
          </w:p>
        </w:tc>
      </w:tr>
    </w:tbl>
    <w:p>
      <w:r>
        <w:t>ΔT = 100.000 × (1873.108 + 14881.539) × 5.0 / (7 850 × 1047.587) = 1.018698 °C</w:t>
      </w:r>
    </w:p>
    <w:p>
      <w:r>
        <w:br w:type="page"/>
      </w:r>
    </w:p>
    <w:p>
      <w:pPr>
        <w:pStyle w:val="Heading1"/>
      </w:pPr>
      <w:r>
        <w:t>Annexe B - Courbes de tous les cas étudiés</w:t>
      </w:r>
    </w:p>
    <w:p>
      <w:pPr>
        <w:jc w:val="center"/>
      </w:pPr>
      <w:r>
        <w:drawing>
          <wp:inline xmlns:a="http://schemas.openxmlformats.org/drawingml/2006/main" xmlns:pic="http://schemas.openxmlformats.org/drawingml/2006/picture">
            <wp:extent cx="5220000" cy="2827073"/>
            <wp:docPr id="7" name="Picture 7"/>
            <wp:cNvGraphicFramePr>
              <a:graphicFrameLocks noChangeAspect="1"/>
            </wp:cNvGraphicFramePr>
            <a:graphic>
              <a:graphicData uri="http://schemas.openxmlformats.org/drawingml/2006/picture">
                <pic:pic>
                  <pic:nvPicPr>
                    <pic:cNvPr id="0" name="ISO834_F1_H10.png"/>
                    <pic:cNvPicPr/>
                  </pic:nvPicPr>
                  <pic:blipFill>
                    <a:blip r:embed="rId14"/>
                    <a:stretch>
                      <a:fillRect/>
                    </a:stretch>
                  </pic:blipFill>
                  <pic:spPr>
                    <a:xfrm>
                      <a:off x="0" y="0"/>
                      <a:ext cx="5220000" cy="2827073"/>
                    </a:xfrm>
                    <a:prstGeom prst="rect"/>
                  </pic:spPr>
                </pic:pic>
              </a:graphicData>
            </a:graphic>
          </wp:inline>
        </w:drawing>
      </w:r>
    </w:p>
    <w:p>
      <w:pPr>
        <w:pStyle w:val="Caption"/>
        <w:jc w:val="center"/>
      </w:pPr>
      <w:r>
        <w:t>Figure 7 - ISO834_F1_H10 : évolution des températures du gaz, de l’intrados, de la suspente et du câble principal.</w:t>
      </w:r>
    </w:p>
    <w:p>
      <w:pPr>
        <w:jc w:val="center"/>
      </w:pPr>
      <w:r>
        <w:drawing>
          <wp:inline xmlns:a="http://schemas.openxmlformats.org/drawingml/2006/main" xmlns:pic="http://schemas.openxmlformats.org/drawingml/2006/picture">
            <wp:extent cx="5220000" cy="2827073"/>
            <wp:docPr id="8" name="Picture 8"/>
            <wp:cNvGraphicFramePr>
              <a:graphicFrameLocks noChangeAspect="1"/>
            </wp:cNvGraphicFramePr>
            <a:graphic>
              <a:graphicData uri="http://schemas.openxmlformats.org/drawingml/2006/picture">
                <pic:pic>
                  <pic:nvPicPr>
                    <pic:cNvPr id="0" name="ISO834_F1_H12.png"/>
                    <pic:cNvPicPr/>
                  </pic:nvPicPr>
                  <pic:blipFill>
                    <a:blip r:embed="rId15"/>
                    <a:stretch>
                      <a:fillRect/>
                    </a:stretch>
                  </pic:blipFill>
                  <pic:spPr>
                    <a:xfrm>
                      <a:off x="0" y="0"/>
                      <a:ext cx="5220000" cy="2827073"/>
                    </a:xfrm>
                    <a:prstGeom prst="rect"/>
                  </pic:spPr>
                </pic:pic>
              </a:graphicData>
            </a:graphic>
          </wp:inline>
        </w:drawing>
      </w:r>
    </w:p>
    <w:p>
      <w:pPr>
        <w:pStyle w:val="Caption"/>
        <w:jc w:val="center"/>
      </w:pPr>
      <w:r>
        <w:t>Figure 8 - ISO834_F1_H12 : évolution des températures du gaz, de l’intrados, de la suspente et du câble principal.</w:t>
      </w:r>
    </w:p>
    <w:p>
      <w:pPr>
        <w:jc w:val="center"/>
      </w:pPr>
      <w:r>
        <w:drawing>
          <wp:inline xmlns:a="http://schemas.openxmlformats.org/drawingml/2006/main" xmlns:pic="http://schemas.openxmlformats.org/drawingml/2006/picture">
            <wp:extent cx="5220000" cy="2827073"/>
            <wp:docPr id="9" name="Picture 9"/>
            <wp:cNvGraphicFramePr>
              <a:graphicFrameLocks noChangeAspect="1"/>
            </wp:cNvGraphicFramePr>
            <a:graphic>
              <a:graphicData uri="http://schemas.openxmlformats.org/drawingml/2006/picture">
                <pic:pic>
                  <pic:nvPicPr>
                    <pic:cNvPr id="0" name="ISO834_F1_H15.png"/>
                    <pic:cNvPicPr/>
                  </pic:nvPicPr>
                  <pic:blipFill>
                    <a:blip r:embed="rId16"/>
                    <a:stretch>
                      <a:fillRect/>
                    </a:stretch>
                  </pic:blipFill>
                  <pic:spPr>
                    <a:xfrm>
                      <a:off x="0" y="0"/>
                      <a:ext cx="5220000" cy="2827073"/>
                    </a:xfrm>
                    <a:prstGeom prst="rect"/>
                  </pic:spPr>
                </pic:pic>
              </a:graphicData>
            </a:graphic>
          </wp:inline>
        </w:drawing>
      </w:r>
    </w:p>
    <w:p>
      <w:pPr>
        <w:pStyle w:val="Caption"/>
        <w:jc w:val="center"/>
      </w:pPr>
      <w:r>
        <w:t>Figure 9 - ISO834_F1_H15 : évolution des températures du gaz, de l’intrados, de la suspente et du câble principal.</w:t>
      </w:r>
    </w:p>
    <w:p>
      <w:pPr>
        <w:jc w:val="center"/>
      </w:pPr>
      <w:r>
        <w:drawing>
          <wp:inline xmlns:a="http://schemas.openxmlformats.org/drawingml/2006/main" xmlns:pic="http://schemas.openxmlformats.org/drawingml/2006/picture">
            <wp:extent cx="5220000" cy="2827073"/>
            <wp:docPr id="10" name="Picture 10"/>
            <wp:cNvGraphicFramePr>
              <a:graphicFrameLocks noChangeAspect="1"/>
            </wp:cNvGraphicFramePr>
            <a:graphic>
              <a:graphicData uri="http://schemas.openxmlformats.org/drawingml/2006/picture">
                <pic:pic>
                  <pic:nvPicPr>
                    <pic:cNvPr id="0" name="ISO834_F2_H10.png"/>
                    <pic:cNvPicPr/>
                  </pic:nvPicPr>
                  <pic:blipFill>
                    <a:blip r:embed="rId17"/>
                    <a:stretch>
                      <a:fillRect/>
                    </a:stretch>
                  </pic:blipFill>
                  <pic:spPr>
                    <a:xfrm>
                      <a:off x="0" y="0"/>
                      <a:ext cx="5220000" cy="2827073"/>
                    </a:xfrm>
                    <a:prstGeom prst="rect"/>
                  </pic:spPr>
                </pic:pic>
              </a:graphicData>
            </a:graphic>
          </wp:inline>
        </w:drawing>
      </w:r>
    </w:p>
    <w:p>
      <w:pPr>
        <w:pStyle w:val="Caption"/>
        <w:jc w:val="center"/>
      </w:pPr>
      <w:r>
        <w:t>Figure 10 - ISO834_F2_H10 : évolution des températures du gaz, de l’intrados, de la suspente et du câble principal.</w:t>
      </w:r>
    </w:p>
    <w:p>
      <w:pPr>
        <w:jc w:val="center"/>
      </w:pPr>
      <w:r>
        <w:drawing>
          <wp:inline xmlns:a="http://schemas.openxmlformats.org/drawingml/2006/main" xmlns:pic="http://schemas.openxmlformats.org/drawingml/2006/picture">
            <wp:extent cx="5220000" cy="2827073"/>
            <wp:docPr id="11" name="Picture 11"/>
            <wp:cNvGraphicFramePr>
              <a:graphicFrameLocks noChangeAspect="1"/>
            </wp:cNvGraphicFramePr>
            <a:graphic>
              <a:graphicData uri="http://schemas.openxmlformats.org/drawingml/2006/picture">
                <pic:pic>
                  <pic:nvPicPr>
                    <pic:cNvPr id="0" name="ISO834_F2_H12.png"/>
                    <pic:cNvPicPr/>
                  </pic:nvPicPr>
                  <pic:blipFill>
                    <a:blip r:embed="rId18"/>
                    <a:stretch>
                      <a:fillRect/>
                    </a:stretch>
                  </pic:blipFill>
                  <pic:spPr>
                    <a:xfrm>
                      <a:off x="0" y="0"/>
                      <a:ext cx="5220000" cy="2827073"/>
                    </a:xfrm>
                    <a:prstGeom prst="rect"/>
                  </pic:spPr>
                </pic:pic>
              </a:graphicData>
            </a:graphic>
          </wp:inline>
        </w:drawing>
      </w:r>
    </w:p>
    <w:p>
      <w:pPr>
        <w:pStyle w:val="Caption"/>
        <w:jc w:val="center"/>
      </w:pPr>
      <w:r>
        <w:t>Figure 11 - ISO834_F2_H12 : évolution des températures du gaz, de l’intrados, de la suspente et du câble principal.</w:t>
      </w:r>
    </w:p>
    <w:p>
      <w:pPr>
        <w:jc w:val="center"/>
      </w:pPr>
      <w:r>
        <w:drawing>
          <wp:inline xmlns:a="http://schemas.openxmlformats.org/drawingml/2006/main" xmlns:pic="http://schemas.openxmlformats.org/drawingml/2006/picture">
            <wp:extent cx="5220000" cy="2827073"/>
            <wp:docPr id="12" name="Picture 12"/>
            <wp:cNvGraphicFramePr>
              <a:graphicFrameLocks noChangeAspect="1"/>
            </wp:cNvGraphicFramePr>
            <a:graphic>
              <a:graphicData uri="http://schemas.openxmlformats.org/drawingml/2006/picture">
                <pic:pic>
                  <pic:nvPicPr>
                    <pic:cNvPr id="0" name="ISO834_F2_H15.png"/>
                    <pic:cNvPicPr/>
                  </pic:nvPicPr>
                  <pic:blipFill>
                    <a:blip r:embed="rId19"/>
                    <a:stretch>
                      <a:fillRect/>
                    </a:stretch>
                  </pic:blipFill>
                  <pic:spPr>
                    <a:xfrm>
                      <a:off x="0" y="0"/>
                      <a:ext cx="5220000" cy="2827073"/>
                    </a:xfrm>
                    <a:prstGeom prst="rect"/>
                  </pic:spPr>
                </pic:pic>
              </a:graphicData>
            </a:graphic>
          </wp:inline>
        </w:drawing>
      </w:r>
    </w:p>
    <w:p>
      <w:pPr>
        <w:pStyle w:val="Caption"/>
        <w:jc w:val="center"/>
      </w:pPr>
      <w:r>
        <w:t>Figure 12 - ISO834_F2_H15 : évolution des températures du gaz, de l’intrados, de la suspente et du câble principal.</w:t>
      </w:r>
    </w:p>
    <w:p>
      <w:pPr>
        <w:jc w:val="center"/>
      </w:pPr>
      <w:r>
        <w:drawing>
          <wp:inline xmlns:a="http://schemas.openxmlformats.org/drawingml/2006/main" xmlns:pic="http://schemas.openxmlformats.org/drawingml/2006/picture">
            <wp:extent cx="5220000" cy="2827073"/>
            <wp:docPr id="13" name="Picture 13"/>
            <wp:cNvGraphicFramePr>
              <a:graphicFrameLocks noChangeAspect="1"/>
            </wp:cNvGraphicFramePr>
            <a:graphic>
              <a:graphicData uri="http://schemas.openxmlformats.org/drawingml/2006/picture">
                <pic:pic>
                  <pic:nvPicPr>
                    <pic:cNvPr id="0" name="ISO834_F3_H10.png"/>
                    <pic:cNvPicPr/>
                  </pic:nvPicPr>
                  <pic:blipFill>
                    <a:blip r:embed="rId20"/>
                    <a:stretch>
                      <a:fillRect/>
                    </a:stretch>
                  </pic:blipFill>
                  <pic:spPr>
                    <a:xfrm>
                      <a:off x="0" y="0"/>
                      <a:ext cx="5220000" cy="2827073"/>
                    </a:xfrm>
                    <a:prstGeom prst="rect"/>
                  </pic:spPr>
                </pic:pic>
              </a:graphicData>
            </a:graphic>
          </wp:inline>
        </w:drawing>
      </w:r>
    </w:p>
    <w:p>
      <w:pPr>
        <w:pStyle w:val="Caption"/>
        <w:jc w:val="center"/>
      </w:pPr>
      <w:r>
        <w:t>Figure 13 - ISO834_F3_H10 : évolution des températures du gaz, de l’intrados, de la suspente et du câble principal.</w:t>
      </w:r>
    </w:p>
    <w:p>
      <w:pPr>
        <w:jc w:val="center"/>
      </w:pPr>
      <w:r>
        <w:drawing>
          <wp:inline xmlns:a="http://schemas.openxmlformats.org/drawingml/2006/main" xmlns:pic="http://schemas.openxmlformats.org/drawingml/2006/picture">
            <wp:extent cx="5220000" cy="2827073"/>
            <wp:docPr id="14" name="Picture 14"/>
            <wp:cNvGraphicFramePr>
              <a:graphicFrameLocks noChangeAspect="1"/>
            </wp:cNvGraphicFramePr>
            <a:graphic>
              <a:graphicData uri="http://schemas.openxmlformats.org/drawingml/2006/picture">
                <pic:pic>
                  <pic:nvPicPr>
                    <pic:cNvPr id="0" name="ISO834_F3_H12.png"/>
                    <pic:cNvPicPr/>
                  </pic:nvPicPr>
                  <pic:blipFill>
                    <a:blip r:embed="rId21"/>
                    <a:stretch>
                      <a:fillRect/>
                    </a:stretch>
                  </pic:blipFill>
                  <pic:spPr>
                    <a:xfrm>
                      <a:off x="0" y="0"/>
                      <a:ext cx="5220000" cy="2827073"/>
                    </a:xfrm>
                    <a:prstGeom prst="rect"/>
                  </pic:spPr>
                </pic:pic>
              </a:graphicData>
            </a:graphic>
          </wp:inline>
        </w:drawing>
      </w:r>
    </w:p>
    <w:p>
      <w:pPr>
        <w:pStyle w:val="Caption"/>
        <w:jc w:val="center"/>
      </w:pPr>
      <w:r>
        <w:t>Figure 14 - ISO834_F3_H12 : évolution des températures du gaz, de l’intrados, de la suspente et du câble principal.</w:t>
      </w:r>
    </w:p>
    <w:p>
      <w:pPr>
        <w:jc w:val="center"/>
      </w:pPr>
      <w:r>
        <w:drawing>
          <wp:inline xmlns:a="http://schemas.openxmlformats.org/drawingml/2006/main" xmlns:pic="http://schemas.openxmlformats.org/drawingml/2006/picture">
            <wp:extent cx="5220000" cy="2827073"/>
            <wp:docPr id="15" name="Picture 15"/>
            <wp:cNvGraphicFramePr>
              <a:graphicFrameLocks noChangeAspect="1"/>
            </wp:cNvGraphicFramePr>
            <a:graphic>
              <a:graphicData uri="http://schemas.openxmlformats.org/drawingml/2006/picture">
                <pic:pic>
                  <pic:nvPicPr>
                    <pic:cNvPr id="0" name="ISO834_F3_H15.png"/>
                    <pic:cNvPicPr/>
                  </pic:nvPicPr>
                  <pic:blipFill>
                    <a:blip r:embed="rId22"/>
                    <a:stretch>
                      <a:fillRect/>
                    </a:stretch>
                  </pic:blipFill>
                  <pic:spPr>
                    <a:xfrm>
                      <a:off x="0" y="0"/>
                      <a:ext cx="5220000" cy="2827073"/>
                    </a:xfrm>
                    <a:prstGeom prst="rect"/>
                  </pic:spPr>
                </pic:pic>
              </a:graphicData>
            </a:graphic>
          </wp:inline>
        </w:drawing>
      </w:r>
    </w:p>
    <w:p>
      <w:pPr>
        <w:pStyle w:val="Caption"/>
        <w:jc w:val="center"/>
      </w:pPr>
      <w:r>
        <w:t>Figure 15 - ISO834_F3_H15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16" name="Picture 16"/>
            <wp:cNvGraphicFramePr>
              <a:graphicFrameLocks noChangeAspect="1"/>
            </wp:cNvGraphicFramePr>
            <a:graphic>
              <a:graphicData uri="http://schemas.openxmlformats.org/drawingml/2006/picture">
                <pic:pic>
                  <pic:nvPicPr>
                    <pic:cNvPr id="0" name="CEREMA_EXT_F1_H10.png"/>
                    <pic:cNvPicPr/>
                  </pic:nvPicPr>
                  <pic:blipFill>
                    <a:blip r:embed="rId23"/>
                    <a:stretch>
                      <a:fillRect/>
                    </a:stretch>
                  </pic:blipFill>
                  <pic:spPr>
                    <a:xfrm>
                      <a:off x="0" y="0"/>
                      <a:ext cx="5220000" cy="2828925"/>
                    </a:xfrm>
                    <a:prstGeom prst="rect"/>
                  </pic:spPr>
                </pic:pic>
              </a:graphicData>
            </a:graphic>
          </wp:inline>
        </w:drawing>
      </w:r>
    </w:p>
    <w:p>
      <w:pPr>
        <w:pStyle w:val="Caption"/>
        <w:jc w:val="center"/>
      </w:pPr>
      <w:r>
        <w:t>Figure 16 - CEREMA_EXT_F1_H10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17" name="Picture 17"/>
            <wp:cNvGraphicFramePr>
              <a:graphicFrameLocks noChangeAspect="1"/>
            </wp:cNvGraphicFramePr>
            <a:graphic>
              <a:graphicData uri="http://schemas.openxmlformats.org/drawingml/2006/picture">
                <pic:pic>
                  <pic:nvPicPr>
                    <pic:cNvPr id="0" name="CEREMA_EXT_F1_H12.png"/>
                    <pic:cNvPicPr/>
                  </pic:nvPicPr>
                  <pic:blipFill>
                    <a:blip r:embed="rId24"/>
                    <a:stretch>
                      <a:fillRect/>
                    </a:stretch>
                  </pic:blipFill>
                  <pic:spPr>
                    <a:xfrm>
                      <a:off x="0" y="0"/>
                      <a:ext cx="5220000" cy="2828925"/>
                    </a:xfrm>
                    <a:prstGeom prst="rect"/>
                  </pic:spPr>
                </pic:pic>
              </a:graphicData>
            </a:graphic>
          </wp:inline>
        </w:drawing>
      </w:r>
    </w:p>
    <w:p>
      <w:pPr>
        <w:pStyle w:val="Caption"/>
        <w:jc w:val="center"/>
      </w:pPr>
      <w:r>
        <w:t>Figure 17 - CEREMA_EXT_F1_H12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18" name="Picture 18"/>
            <wp:cNvGraphicFramePr>
              <a:graphicFrameLocks noChangeAspect="1"/>
            </wp:cNvGraphicFramePr>
            <a:graphic>
              <a:graphicData uri="http://schemas.openxmlformats.org/drawingml/2006/picture">
                <pic:pic>
                  <pic:nvPicPr>
                    <pic:cNvPr id="0" name="CEREMA_EXT_F1_H15.png"/>
                    <pic:cNvPicPr/>
                  </pic:nvPicPr>
                  <pic:blipFill>
                    <a:blip r:embed="rId25"/>
                    <a:stretch>
                      <a:fillRect/>
                    </a:stretch>
                  </pic:blipFill>
                  <pic:spPr>
                    <a:xfrm>
                      <a:off x="0" y="0"/>
                      <a:ext cx="5220000" cy="2828925"/>
                    </a:xfrm>
                    <a:prstGeom prst="rect"/>
                  </pic:spPr>
                </pic:pic>
              </a:graphicData>
            </a:graphic>
          </wp:inline>
        </w:drawing>
      </w:r>
    </w:p>
    <w:p>
      <w:pPr>
        <w:pStyle w:val="Caption"/>
        <w:jc w:val="center"/>
      </w:pPr>
      <w:r>
        <w:t>Figure 18 - CEREMA_EXT_F1_H15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19" name="Picture 19"/>
            <wp:cNvGraphicFramePr>
              <a:graphicFrameLocks noChangeAspect="1"/>
            </wp:cNvGraphicFramePr>
            <a:graphic>
              <a:graphicData uri="http://schemas.openxmlformats.org/drawingml/2006/picture">
                <pic:pic>
                  <pic:nvPicPr>
                    <pic:cNvPr id="0" name="CEREMA_EXT_F2_H10.png"/>
                    <pic:cNvPicPr/>
                  </pic:nvPicPr>
                  <pic:blipFill>
                    <a:blip r:embed="rId26"/>
                    <a:stretch>
                      <a:fillRect/>
                    </a:stretch>
                  </pic:blipFill>
                  <pic:spPr>
                    <a:xfrm>
                      <a:off x="0" y="0"/>
                      <a:ext cx="5220000" cy="2828925"/>
                    </a:xfrm>
                    <a:prstGeom prst="rect"/>
                  </pic:spPr>
                </pic:pic>
              </a:graphicData>
            </a:graphic>
          </wp:inline>
        </w:drawing>
      </w:r>
    </w:p>
    <w:p>
      <w:pPr>
        <w:pStyle w:val="Caption"/>
        <w:jc w:val="center"/>
      </w:pPr>
      <w:r>
        <w:t>Figure 19 - CEREMA_EXT_F2_H10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20" name="Picture 20"/>
            <wp:cNvGraphicFramePr>
              <a:graphicFrameLocks noChangeAspect="1"/>
            </wp:cNvGraphicFramePr>
            <a:graphic>
              <a:graphicData uri="http://schemas.openxmlformats.org/drawingml/2006/picture">
                <pic:pic>
                  <pic:nvPicPr>
                    <pic:cNvPr id="0" name="CEREMA_EXT_F2_H12.png"/>
                    <pic:cNvPicPr/>
                  </pic:nvPicPr>
                  <pic:blipFill>
                    <a:blip r:embed="rId27"/>
                    <a:stretch>
                      <a:fillRect/>
                    </a:stretch>
                  </pic:blipFill>
                  <pic:spPr>
                    <a:xfrm>
                      <a:off x="0" y="0"/>
                      <a:ext cx="5220000" cy="2828925"/>
                    </a:xfrm>
                    <a:prstGeom prst="rect"/>
                  </pic:spPr>
                </pic:pic>
              </a:graphicData>
            </a:graphic>
          </wp:inline>
        </w:drawing>
      </w:r>
    </w:p>
    <w:p>
      <w:pPr>
        <w:pStyle w:val="Caption"/>
        <w:jc w:val="center"/>
      </w:pPr>
      <w:r>
        <w:t>Figure 20 - CEREMA_EXT_F2_H12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21" name="Picture 21"/>
            <wp:cNvGraphicFramePr>
              <a:graphicFrameLocks noChangeAspect="1"/>
            </wp:cNvGraphicFramePr>
            <a:graphic>
              <a:graphicData uri="http://schemas.openxmlformats.org/drawingml/2006/picture">
                <pic:pic>
                  <pic:nvPicPr>
                    <pic:cNvPr id="0" name="CEREMA_EXT_F2_H15.png"/>
                    <pic:cNvPicPr/>
                  </pic:nvPicPr>
                  <pic:blipFill>
                    <a:blip r:embed="rId28"/>
                    <a:stretch>
                      <a:fillRect/>
                    </a:stretch>
                  </pic:blipFill>
                  <pic:spPr>
                    <a:xfrm>
                      <a:off x="0" y="0"/>
                      <a:ext cx="5220000" cy="2828925"/>
                    </a:xfrm>
                    <a:prstGeom prst="rect"/>
                  </pic:spPr>
                </pic:pic>
              </a:graphicData>
            </a:graphic>
          </wp:inline>
        </w:drawing>
      </w:r>
    </w:p>
    <w:p>
      <w:pPr>
        <w:pStyle w:val="Caption"/>
        <w:jc w:val="center"/>
      </w:pPr>
      <w:r>
        <w:t>Figure 21 - CEREMA_EXT_F2_H15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22" name="Picture 22"/>
            <wp:cNvGraphicFramePr>
              <a:graphicFrameLocks noChangeAspect="1"/>
            </wp:cNvGraphicFramePr>
            <a:graphic>
              <a:graphicData uri="http://schemas.openxmlformats.org/drawingml/2006/picture">
                <pic:pic>
                  <pic:nvPicPr>
                    <pic:cNvPr id="0" name="CEREMA_EXT_F3_H10.png"/>
                    <pic:cNvPicPr/>
                  </pic:nvPicPr>
                  <pic:blipFill>
                    <a:blip r:embed="rId29"/>
                    <a:stretch>
                      <a:fillRect/>
                    </a:stretch>
                  </pic:blipFill>
                  <pic:spPr>
                    <a:xfrm>
                      <a:off x="0" y="0"/>
                      <a:ext cx="5220000" cy="2828925"/>
                    </a:xfrm>
                    <a:prstGeom prst="rect"/>
                  </pic:spPr>
                </pic:pic>
              </a:graphicData>
            </a:graphic>
          </wp:inline>
        </w:drawing>
      </w:r>
    </w:p>
    <w:p>
      <w:pPr>
        <w:pStyle w:val="Caption"/>
        <w:jc w:val="center"/>
      </w:pPr>
      <w:r>
        <w:t>Figure 22 - CEREMA_EXT_F3_H10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23" name="Picture 23"/>
            <wp:cNvGraphicFramePr>
              <a:graphicFrameLocks noChangeAspect="1"/>
            </wp:cNvGraphicFramePr>
            <a:graphic>
              <a:graphicData uri="http://schemas.openxmlformats.org/drawingml/2006/picture">
                <pic:pic>
                  <pic:nvPicPr>
                    <pic:cNvPr id="0" name="CEREMA_EXT_F3_H12.png"/>
                    <pic:cNvPicPr/>
                  </pic:nvPicPr>
                  <pic:blipFill>
                    <a:blip r:embed="rId30"/>
                    <a:stretch>
                      <a:fillRect/>
                    </a:stretch>
                  </pic:blipFill>
                  <pic:spPr>
                    <a:xfrm>
                      <a:off x="0" y="0"/>
                      <a:ext cx="5220000" cy="2828925"/>
                    </a:xfrm>
                    <a:prstGeom prst="rect"/>
                  </pic:spPr>
                </pic:pic>
              </a:graphicData>
            </a:graphic>
          </wp:inline>
        </w:drawing>
      </w:r>
    </w:p>
    <w:p>
      <w:pPr>
        <w:pStyle w:val="Caption"/>
        <w:jc w:val="center"/>
      </w:pPr>
      <w:r>
        <w:t>Figure 23 - CEREMA_EXT_F3_H12 : évolution des températures du gaz, de l’intrados, de la suspente et du câble principal.</w:t>
      </w:r>
    </w:p>
    <w:p>
      <w:pPr>
        <w:jc w:val="center"/>
      </w:pPr>
      <w:r>
        <w:drawing>
          <wp:inline xmlns:a="http://schemas.openxmlformats.org/drawingml/2006/main" xmlns:pic="http://schemas.openxmlformats.org/drawingml/2006/picture">
            <wp:extent cx="5220000" cy="2828925"/>
            <wp:docPr id="24" name="Picture 24"/>
            <wp:cNvGraphicFramePr>
              <a:graphicFrameLocks noChangeAspect="1"/>
            </wp:cNvGraphicFramePr>
            <a:graphic>
              <a:graphicData uri="http://schemas.openxmlformats.org/drawingml/2006/picture">
                <pic:pic>
                  <pic:nvPicPr>
                    <pic:cNvPr id="0" name="CEREMA_EXT_F3_H15.png"/>
                    <pic:cNvPicPr/>
                  </pic:nvPicPr>
                  <pic:blipFill>
                    <a:blip r:embed="rId31"/>
                    <a:stretch>
                      <a:fillRect/>
                    </a:stretch>
                  </pic:blipFill>
                  <pic:spPr>
                    <a:xfrm>
                      <a:off x="0" y="0"/>
                      <a:ext cx="5220000" cy="2828925"/>
                    </a:xfrm>
                    <a:prstGeom prst="rect"/>
                  </pic:spPr>
                </pic:pic>
              </a:graphicData>
            </a:graphic>
          </wp:inline>
        </w:drawing>
      </w:r>
    </w:p>
    <w:p>
      <w:pPr>
        <w:pStyle w:val="Caption"/>
        <w:jc w:val="center"/>
      </w:pPr>
      <w:r>
        <w:t>Figure 24 - CEREMA_EXT_F3_H15 : évolution des températures du gaz, de l’intrados, de la suspente et du câble principal.</w:t>
      </w:r>
    </w:p>
    <w:sectPr w:rsidR="00FC693F" w:rsidRPr="0006063C" w:rsidSect="00034616">
      <w:pgSz w:w="12240" w:h="15840"/>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