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ANALYSE THERMIQUE D'UN INCENDIE</w:t>
        <w:br/>
        <w:t>SOUS LA PASSERELLE</w:t>
      </w:r>
    </w:p>
    <w:p>
      <w:pPr>
        <w:jc w:val="center"/>
      </w:pPr>
      <w:r>
        <w:t>Passerelle Gerland - La Saulaie</w:t>
        <w:br/>
        <w:t>Version V1.5_H autonome</w:t>
      </w:r>
    </w:p>
    <w:p>
      <w:r>
        <w:br w:type="page"/>
      </w:r>
    </w:p>
    <w:p>
      <w:pPr>
        <w:pStyle w:val="Heading1"/>
      </w:pPr>
      <w:r>
        <w:t>1. Objet et projet</w:t>
      </w:r>
    </w:p>
    <w:p>
      <w:r>
        <w:t>Étude de l'évolution thermique de l'intrados, des suspentes et des câbles principaux.</w:t>
      </w:r>
    </w:p>
    <w:p>
      <w:pPr>
        <w:jc w:val="center"/>
      </w:pPr>
      <w:r>
        <w:drawing>
          <wp:inline xmlns:a="http://schemas.openxmlformats.org/drawingml/2006/main" xmlns:pic="http://schemas.openxmlformats.org/drawingml/2006/picture">
            <wp:extent cx="5760000" cy="3236571"/>
            <wp:docPr id="1" name="Picture 1"/>
            <wp:cNvGraphicFramePr>
              <a:graphicFrameLocks noChangeAspect="1"/>
            </wp:cNvGraphicFramePr>
            <a:graphic>
              <a:graphicData uri="http://schemas.openxmlformats.org/drawingml/2006/picture">
                <pic:pic>
                  <pic:nvPicPr>
                    <pic:cNvPr id="0" name="ZZ extrait vue en plan generale.png"/>
                    <pic:cNvPicPr/>
                  </pic:nvPicPr>
                  <pic:blipFill>
                    <a:blip r:embed="rId9"/>
                    <a:stretch>
                      <a:fillRect/>
                    </a:stretch>
                  </pic:blipFill>
                  <pic:spPr>
                    <a:xfrm>
                      <a:off x="0" y="0"/>
                      <a:ext cx="5760000" cy="3236571"/>
                    </a:xfrm>
                    <a:prstGeom prst="rect"/>
                  </pic:spPr>
                </pic:pic>
              </a:graphicData>
            </a:graphic>
          </wp:inline>
        </w:drawing>
      </w:r>
    </w:p>
    <w:p>
      <w:pPr>
        <w:jc w:val="center"/>
      </w:pPr>
      <w:r>
        <w:rPr>
          <w:i/>
        </w:rPr>
        <w:t>Figure 1 - Vue en plan générale.</w:t>
      </w:r>
    </w:p>
    <w:p>
      <w:pPr>
        <w:jc w:val="center"/>
      </w:pPr>
      <w:r>
        <w:drawing>
          <wp:inline xmlns:a="http://schemas.openxmlformats.org/drawingml/2006/main" xmlns:pic="http://schemas.openxmlformats.org/drawingml/2006/picture">
            <wp:extent cx="5760000" cy="2485962"/>
            <wp:docPr id="2" name="Picture 2"/>
            <wp:cNvGraphicFramePr>
              <a:graphicFrameLocks noChangeAspect="1"/>
            </wp:cNvGraphicFramePr>
            <a:graphic>
              <a:graphicData uri="http://schemas.openxmlformats.org/drawingml/2006/picture">
                <pic:pic>
                  <pic:nvPicPr>
                    <pic:cNvPr id="0" name="ZZ extrait plan suspension.png"/>
                    <pic:cNvPicPr/>
                  </pic:nvPicPr>
                  <pic:blipFill>
                    <a:blip r:embed="rId10"/>
                    <a:stretch>
                      <a:fillRect/>
                    </a:stretch>
                  </pic:blipFill>
                  <pic:spPr>
                    <a:xfrm>
                      <a:off x="0" y="0"/>
                      <a:ext cx="5760000" cy="2485962"/>
                    </a:xfrm>
                    <a:prstGeom prst="rect"/>
                  </pic:spPr>
                </pic:pic>
              </a:graphicData>
            </a:graphic>
          </wp:inline>
        </w:drawing>
      </w:r>
    </w:p>
    <w:p>
      <w:pPr>
        <w:jc w:val="center"/>
      </w:pPr>
      <w:r>
        <w:rPr>
          <w:i/>
        </w:rPr>
        <w:t>Figure 2 - Système de suspension.</w:t>
      </w:r>
    </w:p>
    <w:p>
      <w:pPr>
        <w:jc w:val="center"/>
      </w:pPr>
      <w:r>
        <w:drawing>
          <wp:inline xmlns:a="http://schemas.openxmlformats.org/drawingml/2006/main" xmlns:pic="http://schemas.openxmlformats.org/drawingml/2006/picture">
            <wp:extent cx="5760000" cy="2763221"/>
            <wp:docPr id="3" name="Picture 3"/>
            <wp:cNvGraphicFramePr>
              <a:graphicFrameLocks noChangeAspect="1"/>
            </wp:cNvGraphicFramePr>
            <a:graphic>
              <a:graphicData uri="http://schemas.openxmlformats.org/drawingml/2006/picture">
                <pic:pic>
                  <pic:nvPicPr>
                    <pic:cNvPr id="0" name="Zz extrait coupe long generale.png"/>
                    <pic:cNvPicPr/>
                  </pic:nvPicPr>
                  <pic:blipFill>
                    <a:blip r:embed="rId11"/>
                    <a:stretch>
                      <a:fillRect/>
                    </a:stretch>
                  </pic:blipFill>
                  <pic:spPr>
                    <a:xfrm>
                      <a:off x="0" y="0"/>
                      <a:ext cx="5760000" cy="2763221"/>
                    </a:xfrm>
                    <a:prstGeom prst="rect"/>
                  </pic:spPr>
                </pic:pic>
              </a:graphicData>
            </a:graphic>
          </wp:inline>
        </w:drawing>
      </w:r>
    </w:p>
    <w:p>
      <w:pPr>
        <w:jc w:val="center"/>
      </w:pPr>
      <w:r>
        <w:rPr>
          <w:i/>
        </w:rPr>
        <w:t>Figure 3 - Coupe longitudinale générale.</w:t>
      </w:r>
    </w:p>
    <w:p>
      <w:pPr>
        <w:jc w:val="center"/>
      </w:pPr>
      <w:r>
        <w:drawing>
          <wp:inline xmlns:a="http://schemas.openxmlformats.org/drawingml/2006/main" xmlns:pic="http://schemas.openxmlformats.org/drawingml/2006/picture">
            <wp:extent cx="5760000" cy="2008125"/>
            <wp:docPr id="4" name="Picture 4"/>
            <wp:cNvGraphicFramePr>
              <a:graphicFrameLocks noChangeAspect="1"/>
            </wp:cNvGraphicFramePr>
            <a:graphic>
              <a:graphicData uri="http://schemas.openxmlformats.org/drawingml/2006/picture">
                <pic:pic>
                  <pic:nvPicPr>
                    <pic:cNvPr id="0" name="ZZ coupe transv.png"/>
                    <pic:cNvPicPr/>
                  </pic:nvPicPr>
                  <pic:blipFill>
                    <a:blip r:embed="rId12"/>
                    <a:stretch>
                      <a:fillRect/>
                    </a:stretch>
                  </pic:blipFill>
                  <pic:spPr>
                    <a:xfrm>
                      <a:off x="0" y="0"/>
                      <a:ext cx="5760000" cy="2008125"/>
                    </a:xfrm>
                    <a:prstGeom prst="rect"/>
                  </pic:spPr>
                </pic:pic>
              </a:graphicData>
            </a:graphic>
          </wp:inline>
        </w:drawing>
      </w:r>
    </w:p>
    <w:p>
      <w:pPr>
        <w:jc w:val="center"/>
      </w:pPr>
      <w:r>
        <w:rPr>
          <w:i/>
        </w:rPr>
        <w:t>Figure 4 - Coupe transversale type.</w:t>
      </w:r>
    </w:p>
    <w:p>
      <w:pPr>
        <w:pStyle w:val="Heading1"/>
      </w:pPr>
      <w:r>
        <w:t>2. Références</w:t>
      </w:r>
    </w:p>
    <w:p>
      <w:pPr>
        <w:pStyle w:val="ListBullet"/>
      </w:pPr>
      <w:r>
        <w:t>NF EN 1991-1-2, § 3.1, § 3.2.1 et § 3.2.2.</w:t>
      </w:r>
    </w:p>
    <w:p>
      <w:pPr>
        <w:pStyle w:val="ListBullet"/>
      </w:pPr>
      <w:r>
        <w:t>NF EN 1993-1-2, § 3.4.1 et § 4.2.5.1.</w:t>
      </w:r>
    </w:p>
    <w:p>
      <w:pPr>
        <w:pStyle w:val="ListBullet"/>
      </w:pPr>
      <w:r>
        <w:t>NF EN 1993-1-11, structures à câbles ou éléments tendus.</w:t>
      </w:r>
    </w:p>
    <w:p>
      <w:pPr>
        <w:pStyle w:val="ListBullet"/>
      </w:pPr>
      <w:r>
        <w:t>Cerema, Résistance à l'incendie des ponts routiers, 2018.</w:t>
      </w:r>
    </w:p>
    <w:p>
      <w:pPr>
        <w:pStyle w:val="Heading1"/>
      </w:pPr>
      <w:r>
        <w:t>3. Choix de la courbe de feu</w:t>
      </w:r>
    </w:p>
    <w:p>
      <w:r>
        <w:t>Les courbes CN - ISO 834 et feu extérieur sont calculées séparément. Le guide Cerema indique que la courbe HC peut être utilisée pour les feux d'hydrocarbures. Le MOA ou son AMO doit confirmer si ce scénario doit être ajouté.</w:t>
      </w:r>
    </w:p>
    <w:p>
      <w:pPr>
        <w:jc w:val="center"/>
      </w:pPr>
      <w:r>
        <w:drawing>
          <wp:inline xmlns:a="http://schemas.openxmlformats.org/drawingml/2006/main" xmlns:pic="http://schemas.openxmlformats.org/drawingml/2006/picture">
            <wp:extent cx="5760000" cy="1127527"/>
            <wp:docPr id="5" name="Picture 5"/>
            <wp:cNvGraphicFramePr>
              <a:graphicFrameLocks noChangeAspect="1"/>
            </wp:cNvGraphicFramePr>
            <a:graphic>
              <a:graphicData uri="http://schemas.openxmlformats.org/drawingml/2006/picture">
                <pic:pic>
                  <pic:nvPicPr>
                    <pic:cNvPr id="0" name="extrait_cerema_choix_courbes.png"/>
                    <pic:cNvPicPr/>
                  </pic:nvPicPr>
                  <pic:blipFill>
                    <a:blip r:embed="rId13"/>
                    <a:stretch>
                      <a:fillRect/>
                    </a:stretch>
                  </pic:blipFill>
                  <pic:spPr>
                    <a:xfrm>
                      <a:off x="0" y="0"/>
                      <a:ext cx="5760000" cy="1127527"/>
                    </a:xfrm>
                    <a:prstGeom prst="rect"/>
                  </pic:spPr>
                </pic:pic>
              </a:graphicData>
            </a:graphic>
          </wp:inline>
        </w:drawing>
      </w:r>
    </w:p>
    <w:p>
      <w:pPr>
        <w:jc w:val="center"/>
      </w:pPr>
      <w:r>
        <w:rPr>
          <w:i/>
        </w:rPr>
        <w:t>Figure 5 - Extrait Cerema relatif au choix des courbes.</w:t>
      </w:r>
    </w:p>
    <w:p>
      <w:pPr>
        <w:jc w:val="center"/>
      </w:pPr>
      <w:r>
        <w:drawing>
          <wp:inline xmlns:a="http://schemas.openxmlformats.org/drawingml/2006/main" xmlns:pic="http://schemas.openxmlformats.org/drawingml/2006/picture">
            <wp:extent cx="5760000" cy="3161528"/>
            <wp:docPr id="6" name="Picture 6"/>
            <wp:cNvGraphicFramePr>
              <a:graphicFrameLocks noChangeAspect="1"/>
            </wp:cNvGraphicFramePr>
            <a:graphic>
              <a:graphicData uri="http://schemas.openxmlformats.org/drawingml/2006/picture">
                <pic:pic>
                  <pic:nvPicPr>
                    <pic:cNvPr id="0" name="01_feu.png"/>
                    <pic:cNvPicPr/>
                  </pic:nvPicPr>
                  <pic:blipFill>
                    <a:blip r:embed="rId14"/>
                    <a:stretch>
                      <a:fillRect/>
                    </a:stretch>
                  </pic:blipFill>
                  <pic:spPr>
                    <a:xfrm>
                      <a:off x="0" y="0"/>
                      <a:ext cx="5760000" cy="3161528"/>
                    </a:xfrm>
                    <a:prstGeom prst="rect"/>
                  </pic:spPr>
                </pic:pic>
              </a:graphicData>
            </a:graphic>
          </wp:inline>
        </w:drawing>
      </w:r>
    </w:p>
    <w:p>
      <w:pPr>
        <w:jc w:val="center"/>
      </w:pPr>
      <w:r>
        <w:rPr>
          <w:i/>
        </w:rPr>
        <w:t>Figure 6 - Courbes nominales température-temps.</w:t>
      </w:r>
    </w:p>
    <w:p>
      <w:pPr>
        <w:pStyle w:val="Heading1"/>
      </w:pPr>
      <w:r>
        <w:t>4. Géométrie et positions de feu</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rPr>
              <w:t>Coupe</w:t>
            </w:r>
          </w:p>
        </w:tc>
        <w:tc>
          <w:tcPr>
            <w:tcW w:type="dxa" w:w="1994"/>
          </w:tcPr>
          <w:p>
            <w:r>
              <w:rPr>
                <w:b/>
              </w:rPr>
              <w:t>Position</w:t>
            </w:r>
          </w:p>
        </w:tc>
        <w:tc>
          <w:tcPr>
            <w:tcW w:type="dxa" w:w="1994"/>
          </w:tcPr>
          <w:p>
            <w:r>
              <w:rPr>
                <w:b/>
              </w:rPr>
              <w:t>Intrados (m)</w:t>
            </w:r>
          </w:p>
        </w:tc>
        <w:tc>
          <w:tcPr>
            <w:tcW w:type="dxa" w:w="1994"/>
          </w:tcPr>
          <w:p>
            <w:r>
              <w:rPr>
                <w:b/>
              </w:rPr>
              <w:t>Naissance suspente (m)</w:t>
            </w:r>
          </w:p>
        </w:tc>
        <w:tc>
          <w:tcPr>
            <w:tcW w:type="dxa" w:w="1994"/>
          </w:tcPr>
          <w:p>
            <w:r>
              <w:rPr>
                <w:b/>
              </w:rPr>
              <w:t>Axe câble (m)</w:t>
            </w:r>
          </w:p>
        </w:tc>
      </w:tr>
      <w:tr>
        <w:tc>
          <w:tcPr>
            <w:tcW w:type="dxa" w:w="1994"/>
          </w:tcPr>
          <w:p>
            <w:r>
              <w:t>OUEST</w:t>
            </w:r>
          </w:p>
        </w:tc>
        <w:tc>
          <w:tcPr>
            <w:tcW w:type="dxa" w:w="1994"/>
          </w:tcPr>
          <w:p>
            <w:r>
              <w:t>Bord ouest circulable</w:t>
            </w:r>
          </w:p>
        </w:tc>
        <w:tc>
          <w:tcPr>
            <w:tcW w:type="dxa" w:w="1994"/>
          </w:tcPr>
          <w:p>
            <w:r>
              <w:t>6,125</w:t>
            </w:r>
          </w:p>
        </w:tc>
        <w:tc>
          <w:tcPr>
            <w:tcW w:type="dxa" w:w="1994"/>
          </w:tcPr>
          <w:p>
            <w:r>
              <w:t>6,945</w:t>
            </w:r>
          </w:p>
        </w:tc>
        <w:tc>
          <w:tcPr>
            <w:tcW w:type="dxa" w:w="1994"/>
          </w:tcPr>
          <w:p>
            <w:r>
              <w:t>8,120</w:t>
            </w:r>
          </w:p>
        </w:tc>
      </w:tr>
      <w:tr>
        <w:tc>
          <w:tcPr>
            <w:tcW w:type="dxa" w:w="1994"/>
          </w:tcPr>
          <w:p>
            <w:r>
              <w:t>AXE</w:t>
            </w:r>
          </w:p>
        </w:tc>
        <w:tc>
          <w:tcPr>
            <w:tcW w:type="dxa" w:w="1994"/>
          </w:tcPr>
          <w:p>
            <w:r>
              <w:t>Axe de la M7</w:t>
            </w:r>
          </w:p>
        </w:tc>
        <w:tc>
          <w:tcPr>
            <w:tcW w:type="dxa" w:w="1994"/>
          </w:tcPr>
          <w:p>
            <w:r>
              <w:t>6,900</w:t>
            </w:r>
          </w:p>
        </w:tc>
        <w:tc>
          <w:tcPr>
            <w:tcW w:type="dxa" w:w="1994"/>
          </w:tcPr>
          <w:p>
            <w:r>
              <w:t>7,720</w:t>
            </w:r>
          </w:p>
        </w:tc>
        <w:tc>
          <w:tcPr>
            <w:tcW w:type="dxa" w:w="1994"/>
          </w:tcPr>
          <w:p>
            <w:r>
              <w:t>9,400</w:t>
            </w:r>
          </w:p>
        </w:tc>
      </w:tr>
      <w:tr>
        <w:tc>
          <w:tcPr>
            <w:tcW w:type="dxa" w:w="1994"/>
          </w:tcPr>
          <w:p>
            <w:r>
              <w:t>EST</w:t>
            </w:r>
          </w:p>
        </w:tc>
        <w:tc>
          <w:tcPr>
            <w:tcW w:type="dxa" w:w="1994"/>
          </w:tcPr>
          <w:p>
            <w:r>
              <w:t>Bord est circulable</w:t>
            </w:r>
          </w:p>
        </w:tc>
        <w:tc>
          <w:tcPr>
            <w:tcW w:type="dxa" w:w="1994"/>
          </w:tcPr>
          <w:p>
            <w:r>
              <w:t>7,250</w:t>
            </w:r>
          </w:p>
        </w:tc>
        <w:tc>
          <w:tcPr>
            <w:tcW w:type="dxa" w:w="1994"/>
          </w:tcPr>
          <w:p>
            <w:r>
              <w:t>8,070</w:t>
            </w:r>
          </w:p>
        </w:tc>
        <w:tc>
          <w:tcPr>
            <w:tcW w:type="dxa" w:w="1994"/>
          </w:tcPr>
          <w:p>
            <w:r>
              <w:t>11,070</w:t>
            </w:r>
          </w:p>
        </w:tc>
      </w:tr>
    </w:tbl>
    <w:p>
      <w:pPr>
        <w:jc w:val="center"/>
      </w:pPr>
      <w:r>
        <w:drawing>
          <wp:inline xmlns:a="http://schemas.openxmlformats.org/drawingml/2006/main" xmlns:pic="http://schemas.openxmlformats.org/drawingml/2006/picture">
            <wp:extent cx="5760000" cy="2861154"/>
            <wp:docPr id="7" name="Picture 7"/>
            <wp:cNvGraphicFramePr>
              <a:graphicFrameLocks noChangeAspect="1"/>
            </wp:cNvGraphicFramePr>
            <a:graphic>
              <a:graphicData uri="http://schemas.openxmlformats.org/drawingml/2006/picture">
                <pic:pic>
                  <pic:nvPicPr>
                    <pic:cNvPr id="0" name="ZZ_coupe longit partielle zone M7.png"/>
                    <pic:cNvPicPr/>
                  </pic:nvPicPr>
                  <pic:blipFill>
                    <a:blip r:embed="rId15"/>
                    <a:stretch>
                      <a:fillRect/>
                    </a:stretch>
                  </pic:blipFill>
                  <pic:spPr>
                    <a:xfrm>
                      <a:off x="0" y="0"/>
                      <a:ext cx="5760000" cy="2861154"/>
                    </a:xfrm>
                    <a:prstGeom prst="rect"/>
                  </pic:spPr>
                </pic:pic>
              </a:graphicData>
            </a:graphic>
          </wp:inline>
        </w:drawing>
      </w:r>
    </w:p>
    <w:p>
      <w:pPr>
        <w:jc w:val="center"/>
      </w:pPr>
      <w:r>
        <w:rPr>
          <w:i/>
        </w:rPr>
        <w:t>Figure 7 - Hauteurs sur les trois coupes.</w:t>
      </w:r>
    </w:p>
    <w:p>
      <w:pPr>
        <w:jc w:val="center"/>
      </w:pPr>
      <w:r>
        <w:drawing>
          <wp:inline xmlns:a="http://schemas.openxmlformats.org/drawingml/2006/main" xmlns:pic="http://schemas.openxmlformats.org/drawingml/2006/picture">
            <wp:extent cx="5760000" cy="2619480"/>
            <wp:docPr id="8" name="Picture 8"/>
            <wp:cNvGraphicFramePr>
              <a:graphicFrameLocks noChangeAspect="1"/>
            </wp:cNvGraphicFramePr>
            <a:graphic>
              <a:graphicData uri="http://schemas.openxmlformats.org/drawingml/2006/picture">
                <pic:pic>
                  <pic:nvPicPr>
                    <pic:cNvPr id="0" name="ZZ_vue en plan cotée zone M7.png"/>
                    <pic:cNvPicPr/>
                  </pic:nvPicPr>
                  <pic:blipFill>
                    <a:blip r:embed="rId16"/>
                    <a:stretch>
                      <a:fillRect/>
                    </a:stretch>
                  </pic:blipFill>
                  <pic:spPr>
                    <a:xfrm>
                      <a:off x="0" y="0"/>
                      <a:ext cx="5760000" cy="2619480"/>
                    </a:xfrm>
                    <a:prstGeom prst="rect"/>
                  </pic:spPr>
                </pic:pic>
              </a:graphicData>
            </a:graphic>
          </wp:inline>
        </w:drawing>
      </w:r>
    </w:p>
    <w:p>
      <w:pPr>
        <w:jc w:val="center"/>
      </w:pPr>
      <w:r>
        <w:rPr>
          <w:i/>
        </w:rPr>
        <w:t>Figure 8 - Largeurs de la M7.</w:t>
      </w:r>
    </w:p>
    <w:p>
      <w:pPr>
        <w:jc w:val="center"/>
      </w:pPr>
      <w:r>
        <w:drawing>
          <wp:inline xmlns:a="http://schemas.openxmlformats.org/drawingml/2006/main" xmlns:pic="http://schemas.openxmlformats.org/drawingml/2006/picture">
            <wp:extent cx="5760000" cy="2791965"/>
            <wp:docPr id="9" name="Picture 9"/>
            <wp:cNvGraphicFramePr>
              <a:graphicFrameLocks noChangeAspect="1"/>
            </wp:cNvGraphicFramePr>
            <a:graphic>
              <a:graphicData uri="http://schemas.openxmlformats.org/drawingml/2006/picture">
                <pic:pic>
                  <pic:nvPicPr>
                    <pic:cNvPr id="0" name="ZZ_demie coupe tablier et approx intrados.png"/>
                    <pic:cNvPicPr/>
                  </pic:nvPicPr>
                  <pic:blipFill>
                    <a:blip r:embed="rId17"/>
                    <a:stretch>
                      <a:fillRect/>
                    </a:stretch>
                  </pic:blipFill>
                  <pic:spPr>
                    <a:xfrm>
                      <a:off x="0" y="0"/>
                      <a:ext cx="5760000" cy="2791965"/>
                    </a:xfrm>
                    <a:prstGeom prst="rect"/>
                  </pic:spPr>
                </pic:pic>
              </a:graphicData>
            </a:graphic>
          </wp:inline>
        </w:drawing>
      </w:r>
    </w:p>
    <w:p>
      <w:pPr>
        <w:jc w:val="center"/>
      </w:pPr>
      <w:r>
        <w:rPr>
          <w:i/>
        </w:rPr>
        <w:t>Figure 9 - Approximation de l'intrados par 2 segments.</w:t>
      </w:r>
    </w:p>
    <w:p>
      <w:r>
        <w:t>F1 : ouest ; F2 : centre ; F3 : est.</w:t>
      </w:r>
    </w:p>
    <w:p>
      <w:pPr>
        <w:jc w:val="center"/>
      </w:pPr>
      <w:r>
        <w:drawing>
          <wp:inline xmlns:a="http://schemas.openxmlformats.org/drawingml/2006/main" xmlns:pic="http://schemas.openxmlformats.org/drawingml/2006/picture">
            <wp:extent cx="5760000" cy="3166543"/>
            <wp:docPr id="10" name="Picture 10"/>
            <wp:cNvGraphicFramePr>
              <a:graphicFrameLocks noChangeAspect="1"/>
            </wp:cNvGraphicFramePr>
            <a:graphic>
              <a:graphicData uri="http://schemas.openxmlformats.org/drawingml/2006/picture">
                <pic:pic>
                  <pic:nvPicPr>
                    <pic:cNvPr id="0" name="02_geom.png"/>
                    <pic:cNvPicPr/>
                  </pic:nvPicPr>
                  <pic:blipFill>
                    <a:blip r:embed="rId18"/>
                    <a:stretch>
                      <a:fillRect/>
                    </a:stretch>
                  </pic:blipFill>
                  <pic:spPr>
                    <a:xfrm>
                      <a:off x="0" y="0"/>
                      <a:ext cx="5760000" cy="3166543"/>
                    </a:xfrm>
                    <a:prstGeom prst="rect"/>
                  </pic:spPr>
                </pic:pic>
              </a:graphicData>
            </a:graphic>
          </wp:inline>
        </w:drawing>
      </w:r>
    </w:p>
    <w:p>
      <w:pPr>
        <w:jc w:val="center"/>
      </w:pPr>
      <w:r>
        <w:rPr>
          <w:i/>
        </w:rPr>
        <w:t>Figure 10 - Trois coupes géométriques.</w:t>
      </w:r>
    </w:p>
    <w:p>
      <w:pPr>
        <w:pStyle w:val="Heading1"/>
      </w:pPr>
      <w:r>
        <w:t>5. Paramètres et hypothèses</w:t>
      </w:r>
    </w:p>
    <w:tbl>
      <w:tblPr>
        <w:tblStyle w:val="TableGrid"/>
        <w:tblW w:type="auto" w:w="0"/>
        <w:tblLook w:firstColumn="1" w:firstRow="1" w:lastColumn="0" w:lastRow="0" w:noHBand="0" w:noVBand="1" w:val="04A0"/>
      </w:tblPr>
      <w:tblGrid>
        <w:gridCol w:w="4986"/>
        <w:gridCol w:w="4986"/>
      </w:tblGrid>
      <w:tr>
        <w:tc>
          <w:tcPr>
            <w:tcW w:type="dxa" w:w="4986"/>
          </w:tcPr>
          <w:p>
            <w:r>
              <w:rPr>
                <w:b/>
              </w:rPr>
              <w:t>Paramètre et référence</w:t>
            </w:r>
          </w:p>
        </w:tc>
        <w:tc>
          <w:tcPr>
            <w:tcW w:type="dxa" w:w="4986"/>
          </w:tcPr>
          <w:p>
            <w:r>
              <w:rPr>
                <w:b/>
              </w:rPr>
              <w:t>Valeur</w:t>
            </w:r>
          </w:p>
        </w:tc>
      </w:tr>
      <w:tr>
        <w:tc>
          <w:tcPr>
            <w:tcW w:type="dxa" w:w="4986"/>
          </w:tcPr>
          <w:p>
            <w:r>
              <w:t>Dimensions camion</w:t>
            </w:r>
          </w:p>
        </w:tc>
        <w:tc>
          <w:tcPr>
            <w:tcW w:type="dxa" w:w="4986"/>
          </w:tcPr>
          <w:p>
            <w:r>
              <w:t>16,0 × 2,50 × 4,00 m</w:t>
            </w:r>
          </w:p>
        </w:tc>
      </w:tr>
      <w:tr>
        <w:tc>
          <w:tcPr>
            <w:tcW w:type="dxa" w:w="4986"/>
          </w:tcPr>
          <w:p>
            <w:r>
              <w:t>Longueurs foyer</w:t>
            </w:r>
          </w:p>
        </w:tc>
        <w:tc>
          <w:tcPr>
            <w:tcW w:type="dxa" w:w="4986"/>
          </w:tcPr>
          <w:p>
            <w:r>
              <w:t>10 ; 15 ; 20 m</w:t>
            </w:r>
          </w:p>
        </w:tc>
      </w:tr>
      <w:tr>
        <w:tc>
          <w:tcPr>
            <w:tcW w:type="dxa" w:w="4986"/>
          </w:tcPr>
          <w:p>
            <w:r>
              <w:t>Pas Δt (EN 1993-1-2)</w:t>
            </w:r>
          </w:p>
        </w:tc>
        <w:tc>
          <w:tcPr>
            <w:tcW w:type="dxa" w:w="4986"/>
          </w:tcPr>
          <w:p>
            <w:r>
              <w:t>5 s</w:t>
            </w:r>
          </w:p>
        </w:tc>
      </w:tr>
      <w:tr>
        <w:tc>
          <w:tcPr>
            <w:tcW w:type="dxa" w:w="4986"/>
          </w:tcPr>
          <w:p>
            <w:r>
              <w:t>Φ (EN 1991-1-2)</w:t>
            </w:r>
          </w:p>
        </w:tc>
        <w:tc>
          <w:tcPr>
            <w:tcW w:type="dxa" w:w="4986"/>
          </w:tcPr>
          <w:p>
            <w:r>
              <w:t>1,0</w:t>
            </w:r>
          </w:p>
        </w:tc>
      </w:tr>
      <w:tr>
        <w:tc>
          <w:tcPr>
            <w:tcW w:type="dxa" w:w="4986"/>
          </w:tcPr>
          <w:p>
            <w:r>
              <w:t>Fₜ,Rd,20 câble</w:t>
            </w:r>
          </w:p>
        </w:tc>
        <w:tc>
          <w:tcPr>
            <w:tcW w:type="dxa" w:w="4986"/>
          </w:tcPr>
          <w:p>
            <w:r>
              <w:t>11 897 kN</w:t>
            </w:r>
          </w:p>
        </w:tc>
      </w:tr>
      <w:tr>
        <w:tc>
          <w:tcPr>
            <w:tcW w:type="dxa" w:w="4986"/>
          </w:tcPr>
          <w:p>
            <w:r>
              <w:t>Fₜ,Rd,20 suspente</w:t>
            </w:r>
          </w:p>
        </w:tc>
        <w:tc>
          <w:tcPr>
            <w:tcW w:type="dxa" w:w="4986"/>
          </w:tcPr>
          <w:p>
            <w:r>
              <w:t>541 kN</w:t>
            </w:r>
          </w:p>
        </w:tc>
      </w:tr>
    </w:tbl>
    <w:p>
      <w:r>
        <w:t>Le facteur Φ vaut 1,0. La chaleur spécifique c_a(θ_a) est recalculée à chaque pas selon la NF EN 1993-1-2.</w:t>
      </w:r>
    </w:p>
    <w:p>
      <w:pPr>
        <w:pStyle w:val="Heading1"/>
      </w:pPr>
      <w:r>
        <w:t>6. Résultats thermiques</w:t>
      </w:r>
    </w:p>
    <w:tbl>
      <w:tblPr>
        <w:tblStyle w:val="TableGrid"/>
        <w:tblW w:type="auto" w:w="0"/>
        <w:tblLook w:firstColumn="1" w:firstRow="1" w:lastColumn="0" w:lastRow="0" w:noHBand="0" w:noVBand="1" w:val="04A0"/>
      </w:tblPr>
      <w:tblGrid>
        <w:gridCol w:w="1246"/>
        <w:gridCol w:w="1246"/>
        <w:gridCol w:w="1246"/>
        <w:gridCol w:w="1246"/>
        <w:gridCol w:w="1246"/>
        <w:gridCol w:w="1246"/>
        <w:gridCol w:w="1246"/>
        <w:gridCol w:w="1246"/>
      </w:tblGrid>
      <w:tr>
        <w:tc>
          <w:tcPr>
            <w:tcW w:type="dxa" w:w="1246"/>
          </w:tcPr>
          <w:p>
            <w:r>
              <w:rPr>
                <w:b/>
              </w:rPr>
              <w:t>Feu</w:t>
            </w:r>
          </w:p>
        </w:tc>
        <w:tc>
          <w:tcPr>
            <w:tcW w:type="dxa" w:w="1246"/>
          </w:tcPr>
          <w:p>
            <w:r>
              <w:rPr>
                <w:b/>
              </w:rPr>
              <w:t>Position</w:t>
            </w:r>
          </w:p>
        </w:tc>
        <w:tc>
          <w:tcPr>
            <w:tcW w:type="dxa" w:w="1246"/>
          </w:tcPr>
          <w:p>
            <w:r>
              <w:rPr>
                <w:b/>
              </w:rPr>
              <w:t>Élément</w:t>
            </w:r>
          </w:p>
        </w:tc>
        <w:tc>
          <w:tcPr>
            <w:tcW w:type="dxa" w:w="1246"/>
          </w:tcPr>
          <w:p>
            <w:r>
              <w:rPr>
                <w:b/>
              </w:rPr>
              <w:t>T 15 min (°C)</w:t>
            </w:r>
          </w:p>
        </w:tc>
        <w:tc>
          <w:tcPr>
            <w:tcW w:type="dxa" w:w="1246"/>
          </w:tcPr>
          <w:p>
            <w:r>
              <w:rPr>
                <w:b/>
              </w:rPr>
              <w:t>T 30 min (°C)</w:t>
            </w:r>
          </w:p>
        </w:tc>
        <w:tc>
          <w:tcPr>
            <w:tcW w:type="dxa" w:w="1246"/>
          </w:tcPr>
          <w:p>
            <w:r>
              <w:rPr>
                <w:b/>
              </w:rPr>
              <w:t>T 60 min (°C)</w:t>
            </w:r>
          </w:p>
        </w:tc>
        <w:tc>
          <w:tcPr>
            <w:tcW w:type="dxa" w:w="1246"/>
          </w:tcPr>
          <w:p>
            <w:r>
              <w:rPr>
                <w:b/>
              </w:rPr>
              <w:t>T 90 min (°C)</w:t>
            </w:r>
          </w:p>
        </w:tc>
        <w:tc>
          <w:tcPr>
            <w:tcW w:type="dxa" w:w="1246"/>
          </w:tcPr>
          <w:p>
            <w:r>
              <w:rPr>
                <w:b/>
              </w:rPr>
              <w:t>T 120 min (°C)</w:t>
            </w:r>
          </w:p>
        </w:tc>
      </w:tr>
      <w:tr>
        <w:tc>
          <w:tcPr>
            <w:tcW w:type="dxa" w:w="1246"/>
          </w:tcPr>
          <w:p>
            <w:r>
              <w:t>ISO 834</w:t>
            </w:r>
          </w:p>
        </w:tc>
        <w:tc>
          <w:tcPr>
            <w:tcW w:type="dxa" w:w="1246"/>
          </w:tcPr>
          <w:p>
            <w:r>
              <w:t>F1</w:t>
            </w:r>
          </w:p>
        </w:tc>
        <w:tc>
          <w:tcPr>
            <w:tcW w:type="dxa" w:w="1246"/>
          </w:tcPr>
          <w:p>
            <w:r>
              <w:t>Suspente secondaire</w:t>
            </w:r>
          </w:p>
        </w:tc>
        <w:tc>
          <w:tcPr>
            <w:tcW w:type="dxa" w:w="1246"/>
          </w:tcPr>
          <w:p>
            <w:r>
              <w:t>555.3</w:t>
            </w:r>
          </w:p>
        </w:tc>
        <w:tc>
          <w:tcPr>
            <w:tcW w:type="dxa" w:w="1246"/>
          </w:tcPr>
          <w:p>
            <w:r>
              <w:t>761.6</w:t>
            </w:r>
          </w:p>
        </w:tc>
        <w:tc>
          <w:tcPr>
            <w:tcW w:type="dxa" w:w="1246"/>
          </w:tcPr>
          <w:p>
            <w:r>
              <w:t>937.8</w:t>
            </w:r>
          </w:p>
        </w:tc>
        <w:tc>
          <w:tcPr>
            <w:tcW w:type="dxa" w:w="1246"/>
          </w:tcPr>
          <w:p>
            <w:r>
              <w:t>1001.8</w:t>
            </w:r>
          </w:p>
        </w:tc>
        <w:tc>
          <w:tcPr>
            <w:tcW w:type="dxa" w:w="1246"/>
          </w:tcPr>
          <w:p>
            <w:r>
              <w:t>1046.2</w:t>
            </w:r>
          </w:p>
        </w:tc>
      </w:tr>
      <w:tr>
        <w:tc>
          <w:tcPr>
            <w:tcW w:type="dxa" w:w="1246"/>
          </w:tcPr>
          <w:p>
            <w:r>
              <w:t>ISO 834</w:t>
            </w:r>
          </w:p>
        </w:tc>
        <w:tc>
          <w:tcPr>
            <w:tcW w:type="dxa" w:w="1246"/>
          </w:tcPr>
          <w:p>
            <w:r>
              <w:t>F1</w:t>
            </w:r>
          </w:p>
        </w:tc>
        <w:tc>
          <w:tcPr>
            <w:tcW w:type="dxa" w:w="1246"/>
          </w:tcPr>
          <w:p>
            <w:r>
              <w:t>Câble principal clos</w:t>
            </w:r>
          </w:p>
        </w:tc>
        <w:tc>
          <w:tcPr>
            <w:tcW w:type="dxa" w:w="1246"/>
          </w:tcPr>
          <w:p>
            <w:r>
              <w:t>268.3</w:t>
            </w:r>
          </w:p>
        </w:tc>
        <w:tc>
          <w:tcPr>
            <w:tcW w:type="dxa" w:w="1246"/>
          </w:tcPr>
          <w:p>
            <w:r>
              <w:t>558.2</w:t>
            </w:r>
          </w:p>
        </w:tc>
        <w:tc>
          <w:tcPr>
            <w:tcW w:type="dxa" w:w="1246"/>
          </w:tcPr>
          <w:p>
            <w:r>
              <w:t>838.4</w:t>
            </w:r>
          </w:p>
        </w:tc>
        <w:tc>
          <w:tcPr>
            <w:tcW w:type="dxa" w:w="1246"/>
          </w:tcPr>
          <w:p>
            <w:r>
              <w:t>987.8</w:t>
            </w:r>
          </w:p>
        </w:tc>
        <w:tc>
          <w:tcPr>
            <w:tcW w:type="dxa" w:w="1246"/>
          </w:tcPr>
          <w:p>
            <w:r>
              <w:t>1039.2</w:t>
            </w:r>
          </w:p>
        </w:tc>
      </w:tr>
      <w:tr>
        <w:tc>
          <w:tcPr>
            <w:tcW w:type="dxa" w:w="1246"/>
          </w:tcPr>
          <w:p>
            <w:r>
              <w:t>ISO 834</w:t>
            </w:r>
          </w:p>
        </w:tc>
        <w:tc>
          <w:tcPr>
            <w:tcW w:type="dxa" w:w="1246"/>
          </w:tcPr>
          <w:p>
            <w:r>
              <w:t>F2</w:t>
            </w:r>
          </w:p>
        </w:tc>
        <w:tc>
          <w:tcPr>
            <w:tcW w:type="dxa" w:w="1246"/>
          </w:tcPr>
          <w:p>
            <w:r>
              <w:t>Suspente secondaire</w:t>
            </w:r>
          </w:p>
        </w:tc>
        <w:tc>
          <w:tcPr>
            <w:tcW w:type="dxa" w:w="1246"/>
          </w:tcPr>
          <w:p>
            <w:r>
              <w:t>555.3</w:t>
            </w:r>
          </w:p>
        </w:tc>
        <w:tc>
          <w:tcPr>
            <w:tcW w:type="dxa" w:w="1246"/>
          </w:tcPr>
          <w:p>
            <w:r>
              <w:t>761.6</w:t>
            </w:r>
          </w:p>
        </w:tc>
        <w:tc>
          <w:tcPr>
            <w:tcW w:type="dxa" w:w="1246"/>
          </w:tcPr>
          <w:p>
            <w:r>
              <w:t>937.8</w:t>
            </w:r>
          </w:p>
        </w:tc>
        <w:tc>
          <w:tcPr>
            <w:tcW w:type="dxa" w:w="1246"/>
          </w:tcPr>
          <w:p>
            <w:r>
              <w:t>1001.8</w:t>
            </w:r>
          </w:p>
        </w:tc>
        <w:tc>
          <w:tcPr>
            <w:tcW w:type="dxa" w:w="1246"/>
          </w:tcPr>
          <w:p>
            <w:r>
              <w:t>1046.2</w:t>
            </w:r>
          </w:p>
        </w:tc>
      </w:tr>
      <w:tr>
        <w:tc>
          <w:tcPr>
            <w:tcW w:type="dxa" w:w="1246"/>
          </w:tcPr>
          <w:p>
            <w:r>
              <w:t>ISO 834</w:t>
            </w:r>
          </w:p>
        </w:tc>
        <w:tc>
          <w:tcPr>
            <w:tcW w:type="dxa" w:w="1246"/>
          </w:tcPr>
          <w:p>
            <w:r>
              <w:t>F2</w:t>
            </w:r>
          </w:p>
        </w:tc>
        <w:tc>
          <w:tcPr>
            <w:tcW w:type="dxa" w:w="1246"/>
          </w:tcPr>
          <w:p>
            <w:r>
              <w:t>Câble principal clos</w:t>
            </w:r>
          </w:p>
        </w:tc>
        <w:tc>
          <w:tcPr>
            <w:tcW w:type="dxa" w:w="1246"/>
          </w:tcPr>
          <w:p>
            <w:r>
              <w:t>268.3</w:t>
            </w:r>
          </w:p>
        </w:tc>
        <w:tc>
          <w:tcPr>
            <w:tcW w:type="dxa" w:w="1246"/>
          </w:tcPr>
          <w:p>
            <w:r>
              <w:t>558.2</w:t>
            </w:r>
          </w:p>
        </w:tc>
        <w:tc>
          <w:tcPr>
            <w:tcW w:type="dxa" w:w="1246"/>
          </w:tcPr>
          <w:p>
            <w:r>
              <w:t>838.4</w:t>
            </w:r>
          </w:p>
        </w:tc>
        <w:tc>
          <w:tcPr>
            <w:tcW w:type="dxa" w:w="1246"/>
          </w:tcPr>
          <w:p>
            <w:r>
              <w:t>987.8</w:t>
            </w:r>
          </w:p>
        </w:tc>
        <w:tc>
          <w:tcPr>
            <w:tcW w:type="dxa" w:w="1246"/>
          </w:tcPr>
          <w:p>
            <w:r>
              <w:t>1039.2</w:t>
            </w:r>
          </w:p>
        </w:tc>
      </w:tr>
      <w:tr>
        <w:tc>
          <w:tcPr>
            <w:tcW w:type="dxa" w:w="1246"/>
          </w:tcPr>
          <w:p>
            <w:r>
              <w:t>ISO 834</w:t>
            </w:r>
          </w:p>
        </w:tc>
        <w:tc>
          <w:tcPr>
            <w:tcW w:type="dxa" w:w="1246"/>
          </w:tcPr>
          <w:p>
            <w:r>
              <w:t>F3</w:t>
            </w:r>
          </w:p>
        </w:tc>
        <w:tc>
          <w:tcPr>
            <w:tcW w:type="dxa" w:w="1246"/>
          </w:tcPr>
          <w:p>
            <w:r>
              <w:t>Suspente secondaire</w:t>
            </w:r>
          </w:p>
        </w:tc>
        <w:tc>
          <w:tcPr>
            <w:tcW w:type="dxa" w:w="1246"/>
          </w:tcPr>
          <w:p>
            <w:r>
              <w:t>555.3</w:t>
            </w:r>
          </w:p>
        </w:tc>
        <w:tc>
          <w:tcPr>
            <w:tcW w:type="dxa" w:w="1246"/>
          </w:tcPr>
          <w:p>
            <w:r>
              <w:t>761.6</w:t>
            </w:r>
          </w:p>
        </w:tc>
        <w:tc>
          <w:tcPr>
            <w:tcW w:type="dxa" w:w="1246"/>
          </w:tcPr>
          <w:p>
            <w:r>
              <w:t>937.8</w:t>
            </w:r>
          </w:p>
        </w:tc>
        <w:tc>
          <w:tcPr>
            <w:tcW w:type="dxa" w:w="1246"/>
          </w:tcPr>
          <w:p>
            <w:r>
              <w:t>1001.8</w:t>
            </w:r>
          </w:p>
        </w:tc>
        <w:tc>
          <w:tcPr>
            <w:tcW w:type="dxa" w:w="1246"/>
          </w:tcPr>
          <w:p>
            <w:r>
              <w:t>1046.2</w:t>
            </w:r>
          </w:p>
        </w:tc>
      </w:tr>
      <w:tr>
        <w:tc>
          <w:tcPr>
            <w:tcW w:type="dxa" w:w="1246"/>
          </w:tcPr>
          <w:p>
            <w:r>
              <w:t>ISO 834</w:t>
            </w:r>
          </w:p>
        </w:tc>
        <w:tc>
          <w:tcPr>
            <w:tcW w:type="dxa" w:w="1246"/>
          </w:tcPr>
          <w:p>
            <w:r>
              <w:t>F3</w:t>
            </w:r>
          </w:p>
        </w:tc>
        <w:tc>
          <w:tcPr>
            <w:tcW w:type="dxa" w:w="1246"/>
          </w:tcPr>
          <w:p>
            <w:r>
              <w:t>Câble principal clos</w:t>
            </w:r>
          </w:p>
        </w:tc>
        <w:tc>
          <w:tcPr>
            <w:tcW w:type="dxa" w:w="1246"/>
          </w:tcPr>
          <w:p>
            <w:r>
              <w:t>268.3</w:t>
            </w:r>
          </w:p>
        </w:tc>
        <w:tc>
          <w:tcPr>
            <w:tcW w:type="dxa" w:w="1246"/>
          </w:tcPr>
          <w:p>
            <w:r>
              <w:t>558.2</w:t>
            </w:r>
          </w:p>
        </w:tc>
        <w:tc>
          <w:tcPr>
            <w:tcW w:type="dxa" w:w="1246"/>
          </w:tcPr>
          <w:p>
            <w:r>
              <w:t>838.4</w:t>
            </w:r>
          </w:p>
        </w:tc>
        <w:tc>
          <w:tcPr>
            <w:tcW w:type="dxa" w:w="1246"/>
          </w:tcPr>
          <w:p>
            <w:r>
              <w:t>987.8</w:t>
            </w:r>
          </w:p>
        </w:tc>
        <w:tc>
          <w:tcPr>
            <w:tcW w:type="dxa" w:w="1246"/>
          </w:tcPr>
          <w:p>
            <w:r>
              <w:t>1039.2</w:t>
            </w:r>
          </w:p>
        </w:tc>
      </w:tr>
      <w:tr>
        <w:tc>
          <w:tcPr>
            <w:tcW w:type="dxa" w:w="1246"/>
          </w:tcPr>
          <w:p>
            <w:r>
              <w:t>Feu extérieur</w:t>
            </w:r>
          </w:p>
        </w:tc>
        <w:tc>
          <w:tcPr>
            <w:tcW w:type="dxa" w:w="1246"/>
          </w:tcPr>
          <w:p>
            <w:r>
              <w:t>F1</w:t>
            </w:r>
          </w:p>
        </w:tc>
        <w:tc>
          <w:tcPr>
            <w:tcW w:type="dxa" w:w="1246"/>
          </w:tcPr>
          <w:p>
            <w:r>
              <w:t>Suspente secondaire</w:t>
            </w:r>
          </w:p>
        </w:tc>
        <w:tc>
          <w:tcPr>
            <w:tcW w:type="dxa" w:w="1246"/>
          </w:tcPr>
          <w:p>
            <w:r>
              <w:t>527.0</w:t>
            </w:r>
          </w:p>
        </w:tc>
        <w:tc>
          <w:tcPr>
            <w:tcW w:type="dxa" w:w="1246"/>
          </w:tcPr>
          <w:p>
            <w:r>
              <w:t>661.1</w:t>
            </w:r>
          </w:p>
        </w:tc>
        <w:tc>
          <w:tcPr>
            <w:tcW w:type="dxa" w:w="1246"/>
          </w:tcPr>
          <w:p>
            <w:r>
              <w:t>679.7</w:t>
            </w:r>
          </w:p>
        </w:tc>
        <w:tc>
          <w:tcPr>
            <w:tcW w:type="dxa" w:w="1246"/>
          </w:tcPr>
          <w:p>
            <w:r>
              <w:t>680.0</w:t>
            </w:r>
          </w:p>
        </w:tc>
        <w:tc>
          <w:tcPr>
            <w:tcW w:type="dxa" w:w="1246"/>
          </w:tcPr>
          <w:p>
            <w:r>
              <w:t>680.0</w:t>
            </w:r>
          </w:p>
        </w:tc>
      </w:tr>
      <w:tr>
        <w:tc>
          <w:tcPr>
            <w:tcW w:type="dxa" w:w="1246"/>
          </w:tcPr>
          <w:p>
            <w:r>
              <w:t>Feu extérieur</w:t>
            </w:r>
          </w:p>
        </w:tc>
        <w:tc>
          <w:tcPr>
            <w:tcW w:type="dxa" w:w="1246"/>
          </w:tcPr>
          <w:p>
            <w:r>
              <w:t>F1</w:t>
            </w:r>
          </w:p>
        </w:tc>
        <w:tc>
          <w:tcPr>
            <w:tcW w:type="dxa" w:w="1246"/>
          </w:tcPr>
          <w:p>
            <w:r>
              <w:t>Câble principal clos</w:t>
            </w:r>
          </w:p>
        </w:tc>
        <w:tc>
          <w:tcPr>
            <w:tcW w:type="dxa" w:w="1246"/>
          </w:tcPr>
          <w:p>
            <w:r>
              <w:t>255.3</w:t>
            </w:r>
          </w:p>
        </w:tc>
        <w:tc>
          <w:tcPr>
            <w:tcW w:type="dxa" w:w="1246"/>
          </w:tcPr>
          <w:p>
            <w:r>
              <w:t>454.7</w:t>
            </w:r>
          </w:p>
        </w:tc>
        <w:tc>
          <w:tcPr>
            <w:tcW w:type="dxa" w:w="1246"/>
          </w:tcPr>
          <w:p>
            <w:r>
              <w:t>621.1</w:t>
            </w:r>
          </w:p>
        </w:tc>
        <w:tc>
          <w:tcPr>
            <w:tcW w:type="dxa" w:w="1246"/>
          </w:tcPr>
          <w:p>
            <w:r>
              <w:t>664.5</w:t>
            </w:r>
          </w:p>
        </w:tc>
        <w:tc>
          <w:tcPr>
            <w:tcW w:type="dxa" w:w="1246"/>
          </w:tcPr>
          <w:p>
            <w:r>
              <w:t>675.8</w:t>
            </w:r>
          </w:p>
        </w:tc>
      </w:tr>
      <w:tr>
        <w:tc>
          <w:tcPr>
            <w:tcW w:type="dxa" w:w="1246"/>
          </w:tcPr>
          <w:p>
            <w:r>
              <w:t>Feu extérieur</w:t>
            </w:r>
          </w:p>
        </w:tc>
        <w:tc>
          <w:tcPr>
            <w:tcW w:type="dxa" w:w="1246"/>
          </w:tcPr>
          <w:p>
            <w:r>
              <w:t>F2</w:t>
            </w:r>
          </w:p>
        </w:tc>
        <w:tc>
          <w:tcPr>
            <w:tcW w:type="dxa" w:w="1246"/>
          </w:tcPr>
          <w:p>
            <w:r>
              <w:t>Suspente secondaire</w:t>
            </w:r>
          </w:p>
        </w:tc>
        <w:tc>
          <w:tcPr>
            <w:tcW w:type="dxa" w:w="1246"/>
          </w:tcPr>
          <w:p>
            <w:r>
              <w:t>527.0</w:t>
            </w:r>
          </w:p>
        </w:tc>
        <w:tc>
          <w:tcPr>
            <w:tcW w:type="dxa" w:w="1246"/>
          </w:tcPr>
          <w:p>
            <w:r>
              <w:t>661.1</w:t>
            </w:r>
          </w:p>
        </w:tc>
        <w:tc>
          <w:tcPr>
            <w:tcW w:type="dxa" w:w="1246"/>
          </w:tcPr>
          <w:p>
            <w:r>
              <w:t>679.7</w:t>
            </w:r>
          </w:p>
        </w:tc>
        <w:tc>
          <w:tcPr>
            <w:tcW w:type="dxa" w:w="1246"/>
          </w:tcPr>
          <w:p>
            <w:r>
              <w:t>680.0</w:t>
            </w:r>
          </w:p>
        </w:tc>
        <w:tc>
          <w:tcPr>
            <w:tcW w:type="dxa" w:w="1246"/>
          </w:tcPr>
          <w:p>
            <w:r>
              <w:t>680.0</w:t>
            </w:r>
          </w:p>
        </w:tc>
      </w:tr>
      <w:tr>
        <w:tc>
          <w:tcPr>
            <w:tcW w:type="dxa" w:w="1246"/>
          </w:tcPr>
          <w:p>
            <w:r>
              <w:t>Feu extérieur</w:t>
            </w:r>
          </w:p>
        </w:tc>
        <w:tc>
          <w:tcPr>
            <w:tcW w:type="dxa" w:w="1246"/>
          </w:tcPr>
          <w:p>
            <w:r>
              <w:t>F2</w:t>
            </w:r>
          </w:p>
        </w:tc>
        <w:tc>
          <w:tcPr>
            <w:tcW w:type="dxa" w:w="1246"/>
          </w:tcPr>
          <w:p>
            <w:r>
              <w:t>Câble principal clos</w:t>
            </w:r>
          </w:p>
        </w:tc>
        <w:tc>
          <w:tcPr>
            <w:tcW w:type="dxa" w:w="1246"/>
          </w:tcPr>
          <w:p>
            <w:r>
              <w:t>255.3</w:t>
            </w:r>
          </w:p>
        </w:tc>
        <w:tc>
          <w:tcPr>
            <w:tcW w:type="dxa" w:w="1246"/>
          </w:tcPr>
          <w:p>
            <w:r>
              <w:t>454.7</w:t>
            </w:r>
          </w:p>
        </w:tc>
        <w:tc>
          <w:tcPr>
            <w:tcW w:type="dxa" w:w="1246"/>
          </w:tcPr>
          <w:p>
            <w:r>
              <w:t>621.1</w:t>
            </w:r>
          </w:p>
        </w:tc>
        <w:tc>
          <w:tcPr>
            <w:tcW w:type="dxa" w:w="1246"/>
          </w:tcPr>
          <w:p>
            <w:r>
              <w:t>664.5</w:t>
            </w:r>
          </w:p>
        </w:tc>
        <w:tc>
          <w:tcPr>
            <w:tcW w:type="dxa" w:w="1246"/>
          </w:tcPr>
          <w:p>
            <w:r>
              <w:t>675.8</w:t>
            </w:r>
          </w:p>
        </w:tc>
      </w:tr>
      <w:tr>
        <w:tc>
          <w:tcPr>
            <w:tcW w:type="dxa" w:w="1246"/>
          </w:tcPr>
          <w:p>
            <w:r>
              <w:t>Feu extérieur</w:t>
            </w:r>
          </w:p>
        </w:tc>
        <w:tc>
          <w:tcPr>
            <w:tcW w:type="dxa" w:w="1246"/>
          </w:tcPr>
          <w:p>
            <w:r>
              <w:t>F3</w:t>
            </w:r>
          </w:p>
        </w:tc>
        <w:tc>
          <w:tcPr>
            <w:tcW w:type="dxa" w:w="1246"/>
          </w:tcPr>
          <w:p>
            <w:r>
              <w:t>Suspente secondaire</w:t>
            </w:r>
          </w:p>
        </w:tc>
        <w:tc>
          <w:tcPr>
            <w:tcW w:type="dxa" w:w="1246"/>
          </w:tcPr>
          <w:p>
            <w:r>
              <w:t>527.0</w:t>
            </w:r>
          </w:p>
        </w:tc>
        <w:tc>
          <w:tcPr>
            <w:tcW w:type="dxa" w:w="1246"/>
          </w:tcPr>
          <w:p>
            <w:r>
              <w:t>661.1</w:t>
            </w:r>
          </w:p>
        </w:tc>
        <w:tc>
          <w:tcPr>
            <w:tcW w:type="dxa" w:w="1246"/>
          </w:tcPr>
          <w:p>
            <w:r>
              <w:t>679.7</w:t>
            </w:r>
          </w:p>
        </w:tc>
        <w:tc>
          <w:tcPr>
            <w:tcW w:type="dxa" w:w="1246"/>
          </w:tcPr>
          <w:p>
            <w:r>
              <w:t>680.0</w:t>
            </w:r>
          </w:p>
        </w:tc>
        <w:tc>
          <w:tcPr>
            <w:tcW w:type="dxa" w:w="1246"/>
          </w:tcPr>
          <w:p>
            <w:r>
              <w:t>680.0</w:t>
            </w:r>
          </w:p>
        </w:tc>
      </w:tr>
      <w:tr>
        <w:tc>
          <w:tcPr>
            <w:tcW w:type="dxa" w:w="1246"/>
          </w:tcPr>
          <w:p>
            <w:r>
              <w:t>Feu extérieur</w:t>
            </w:r>
          </w:p>
        </w:tc>
        <w:tc>
          <w:tcPr>
            <w:tcW w:type="dxa" w:w="1246"/>
          </w:tcPr>
          <w:p>
            <w:r>
              <w:t>F3</w:t>
            </w:r>
          </w:p>
        </w:tc>
        <w:tc>
          <w:tcPr>
            <w:tcW w:type="dxa" w:w="1246"/>
          </w:tcPr>
          <w:p>
            <w:r>
              <w:t>Câble principal clos</w:t>
            </w:r>
          </w:p>
        </w:tc>
        <w:tc>
          <w:tcPr>
            <w:tcW w:type="dxa" w:w="1246"/>
          </w:tcPr>
          <w:p>
            <w:r>
              <w:t>255.3</w:t>
            </w:r>
          </w:p>
        </w:tc>
        <w:tc>
          <w:tcPr>
            <w:tcW w:type="dxa" w:w="1246"/>
          </w:tcPr>
          <w:p>
            <w:r>
              <w:t>454.7</w:t>
            </w:r>
          </w:p>
        </w:tc>
        <w:tc>
          <w:tcPr>
            <w:tcW w:type="dxa" w:w="1246"/>
          </w:tcPr>
          <w:p>
            <w:r>
              <w:t>621.1</w:t>
            </w:r>
          </w:p>
        </w:tc>
        <w:tc>
          <w:tcPr>
            <w:tcW w:type="dxa" w:w="1246"/>
          </w:tcPr>
          <w:p>
            <w:r>
              <w:t>664.5</w:t>
            </w:r>
          </w:p>
        </w:tc>
        <w:tc>
          <w:tcPr>
            <w:tcW w:type="dxa" w:w="1246"/>
          </w:tcPr>
          <w:p>
            <w:r>
              <w:t>675.8</w:t>
            </w:r>
          </w:p>
        </w:tc>
      </w:tr>
    </w:tbl>
    <w:p>
      <w:pPr>
        <w:jc w:val="center"/>
      </w:pPr>
      <w:r>
        <w:drawing>
          <wp:inline xmlns:a="http://schemas.openxmlformats.org/drawingml/2006/main" xmlns:pic="http://schemas.openxmlformats.org/drawingml/2006/picture">
            <wp:extent cx="5760000" cy="3168000"/>
            <wp:docPr id="11" name="Picture 11"/>
            <wp:cNvGraphicFramePr>
              <a:graphicFrameLocks noChangeAspect="1"/>
            </wp:cNvGraphicFramePr>
            <a:graphic>
              <a:graphicData uri="http://schemas.openxmlformats.org/drawingml/2006/picture">
                <pic:pic>
                  <pic:nvPicPr>
                    <pic:cNvPr id="0" name="T_11.png"/>
                    <pic:cNvPicPr/>
                  </pic:nvPicPr>
                  <pic:blipFill>
                    <a:blip r:embed="rId19"/>
                    <a:stretch>
                      <a:fillRect/>
                    </a:stretch>
                  </pic:blipFill>
                  <pic:spPr>
                    <a:xfrm>
                      <a:off x="0" y="0"/>
                      <a:ext cx="5760000" cy="3168000"/>
                    </a:xfrm>
                    <a:prstGeom prst="rect"/>
                  </pic:spPr>
                </pic:pic>
              </a:graphicData>
            </a:graphic>
          </wp:inline>
        </w:drawing>
      </w:r>
    </w:p>
    <w:p>
      <w:pPr>
        <w:jc w:val="center"/>
      </w:pPr>
      <w:r>
        <w:rPr>
          <w:i/>
        </w:rPr>
        <w:t>Figure 11 - Échauffement - Suspente secondaire</w:t>
      </w:r>
    </w:p>
    <w:p>
      <w:pPr>
        <w:jc w:val="center"/>
      </w:pPr>
      <w:r>
        <w:drawing>
          <wp:inline xmlns:a="http://schemas.openxmlformats.org/drawingml/2006/main" xmlns:pic="http://schemas.openxmlformats.org/drawingml/2006/picture">
            <wp:extent cx="5760000" cy="3168000"/>
            <wp:docPr id="12" name="Picture 12"/>
            <wp:cNvGraphicFramePr>
              <a:graphicFrameLocks noChangeAspect="1"/>
            </wp:cNvGraphicFramePr>
            <a:graphic>
              <a:graphicData uri="http://schemas.openxmlformats.org/drawingml/2006/picture">
                <pic:pic>
                  <pic:nvPicPr>
                    <pic:cNvPr id="0" name="T_12.png"/>
                    <pic:cNvPicPr/>
                  </pic:nvPicPr>
                  <pic:blipFill>
                    <a:blip r:embed="rId20"/>
                    <a:stretch>
                      <a:fillRect/>
                    </a:stretch>
                  </pic:blipFill>
                  <pic:spPr>
                    <a:xfrm>
                      <a:off x="0" y="0"/>
                      <a:ext cx="5760000" cy="3168000"/>
                    </a:xfrm>
                    <a:prstGeom prst="rect"/>
                  </pic:spPr>
                </pic:pic>
              </a:graphicData>
            </a:graphic>
          </wp:inline>
        </w:drawing>
      </w:r>
    </w:p>
    <w:p>
      <w:pPr>
        <w:jc w:val="center"/>
      </w:pPr>
      <w:r>
        <w:rPr>
          <w:i/>
        </w:rPr>
        <w:t>Figure 12 - Échauffement - Câble principal clos</w:t>
      </w:r>
    </w:p>
    <w:p>
      <w:pPr>
        <w:pStyle w:val="Heading1"/>
      </w:pPr>
      <w:r>
        <w:t>7. Pré-analyse de résistance</w:t>
      </w:r>
    </w:p>
    <w:p>
      <w:r>
        <w:t>F_t,Rd,20 vaut 11 897 kN pour le câble clos et 541 kN pour une suspente. La résistance indicative à chaud est F_t,Rd,θ = k_y,θ F_t,Rd,20. La loi k_y,θ de l'EN 1993-1-2 est utilisée comme proxy à confirmer pour les fils THR et la nuance 520.</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tcPr>
          <w:p>
            <w:r>
              <w:rPr>
                <w:b/>
              </w:rPr>
              <w:t>Feu</w:t>
            </w:r>
          </w:p>
        </w:tc>
        <w:tc>
          <w:tcPr>
            <w:tcW w:type="dxa" w:w="1108"/>
          </w:tcPr>
          <w:p>
            <w:r>
              <w:rPr>
                <w:b/>
              </w:rPr>
              <w:t>Position</w:t>
            </w:r>
          </w:p>
        </w:tc>
        <w:tc>
          <w:tcPr>
            <w:tcW w:type="dxa" w:w="1108"/>
          </w:tcPr>
          <w:p>
            <w:r>
              <w:rPr>
                <w:b/>
              </w:rPr>
              <w:t>Élément</w:t>
            </w:r>
          </w:p>
        </w:tc>
        <w:tc>
          <w:tcPr>
            <w:tcW w:type="dxa" w:w="1108"/>
          </w:tcPr>
          <w:p>
            <w:r>
              <w:rPr>
                <w:b/>
              </w:rPr>
              <w:t>Fₜ,Rd,20 (kN)</w:t>
            </w:r>
          </w:p>
        </w:tc>
        <w:tc>
          <w:tcPr>
            <w:tcW w:type="dxa" w:w="1108"/>
          </w:tcPr>
          <w:p>
            <w:r>
              <w:rPr>
                <w:b/>
              </w:rPr>
              <w:t>Fₜ,Rd,θ 15 min (kN)</w:t>
            </w:r>
          </w:p>
        </w:tc>
        <w:tc>
          <w:tcPr>
            <w:tcW w:type="dxa" w:w="1108"/>
          </w:tcPr>
          <w:p>
            <w:r>
              <w:rPr>
                <w:b/>
              </w:rPr>
              <w:t>Fₜ,Rd,θ 30 min (kN)</w:t>
            </w:r>
          </w:p>
        </w:tc>
        <w:tc>
          <w:tcPr>
            <w:tcW w:type="dxa" w:w="1108"/>
          </w:tcPr>
          <w:p>
            <w:r>
              <w:rPr>
                <w:b/>
              </w:rPr>
              <w:t>Fₜ,Rd,θ 60 min (kN)</w:t>
            </w:r>
          </w:p>
        </w:tc>
        <w:tc>
          <w:tcPr>
            <w:tcW w:type="dxa" w:w="1108"/>
          </w:tcPr>
          <w:p>
            <w:r>
              <w:rPr>
                <w:b/>
              </w:rPr>
              <w:t>Fₜ,Rd,θ 90 min (kN)</w:t>
            </w:r>
          </w:p>
        </w:tc>
        <w:tc>
          <w:tcPr>
            <w:tcW w:type="dxa" w:w="1108"/>
          </w:tcPr>
          <w:p>
            <w:r>
              <w:rPr>
                <w:b/>
              </w:rPr>
              <w:t>Fₜ,Rd,θ 120 min (kN)</w:t>
            </w:r>
          </w:p>
        </w:tc>
      </w:tr>
      <w:tr>
        <w:tc>
          <w:tcPr>
            <w:tcW w:type="dxa" w:w="1108"/>
          </w:tcPr>
          <w:p>
            <w:r>
              <w:t>ISO 834</w:t>
            </w:r>
          </w:p>
        </w:tc>
        <w:tc>
          <w:tcPr>
            <w:tcW w:type="dxa" w:w="1108"/>
          </w:tcPr>
          <w:p>
            <w:r>
              <w:t>F1</w:t>
            </w:r>
          </w:p>
        </w:tc>
        <w:tc>
          <w:tcPr>
            <w:tcW w:type="dxa" w:w="1108"/>
          </w:tcPr>
          <w:p>
            <w:r>
              <w:t>Suspente secondaire</w:t>
            </w:r>
          </w:p>
        </w:tc>
        <w:tc>
          <w:tcPr>
            <w:tcW w:type="dxa" w:w="1108"/>
          </w:tcPr>
          <w:p>
            <w:r>
              <w:t>541</w:t>
            </w:r>
          </w:p>
        </w:tc>
        <w:tc>
          <w:tcPr>
            <w:tcW w:type="dxa" w:w="1108"/>
          </w:tcPr>
          <w:p>
            <w:r>
              <w:t>329</w:t>
            </w:r>
          </w:p>
        </w:tc>
        <w:tc>
          <w:tcPr>
            <w:tcW w:type="dxa" w:w="1108"/>
          </w:tcPr>
          <w:p>
            <w:r>
              <w:t>84</w:t>
            </w:r>
          </w:p>
        </w:tc>
        <w:tc>
          <w:tcPr>
            <w:tcW w:type="dxa" w:w="1108"/>
          </w:tcPr>
          <w:p>
            <w:r>
              <w:t>28</w:t>
            </w:r>
          </w:p>
        </w:tc>
        <w:tc>
          <w:tcPr>
            <w:tcW w:type="dxa" w:w="1108"/>
          </w:tcPr>
          <w:p>
            <w:r>
              <w:t>21</w:t>
            </w:r>
          </w:p>
        </w:tc>
        <w:tc>
          <w:tcPr>
            <w:tcW w:type="dxa" w:w="1108"/>
          </w:tcPr>
          <w:p>
            <w:r>
              <w:t>17</w:t>
            </w:r>
          </w:p>
        </w:tc>
      </w:tr>
      <w:tr>
        <w:tc>
          <w:tcPr>
            <w:tcW w:type="dxa" w:w="1108"/>
          </w:tcPr>
          <w:p>
            <w:r>
              <w:t>ISO 834</w:t>
            </w:r>
          </w:p>
        </w:tc>
        <w:tc>
          <w:tcPr>
            <w:tcW w:type="dxa" w:w="1108"/>
          </w:tcPr>
          <w:p>
            <w:r>
              <w:t>F1</w:t>
            </w:r>
          </w:p>
        </w:tc>
        <w:tc>
          <w:tcPr>
            <w:tcW w:type="dxa" w:w="1108"/>
          </w:tcPr>
          <w:p>
            <w:r>
              <w:t>Câble principal clos</w:t>
            </w:r>
          </w:p>
        </w:tc>
        <w:tc>
          <w:tcPr>
            <w:tcW w:type="dxa" w:w="1108"/>
          </w:tcPr>
          <w:p>
            <w:r>
              <w:t>11897</w:t>
            </w:r>
          </w:p>
        </w:tc>
        <w:tc>
          <w:tcPr>
            <w:tcW w:type="dxa" w:w="1108"/>
          </w:tcPr>
          <w:p>
            <w:r>
              <w:t>11897</w:t>
            </w:r>
          </w:p>
        </w:tc>
        <w:tc>
          <w:tcPr>
            <w:tcW w:type="dxa" w:w="1108"/>
          </w:tcPr>
          <w:p>
            <w:r>
              <w:t>7134</w:t>
            </w:r>
          </w:p>
        </w:tc>
        <w:tc>
          <w:tcPr>
            <w:tcW w:type="dxa" w:w="1108"/>
          </w:tcPr>
          <w:p>
            <w:r>
              <w:t>1080</w:t>
            </w:r>
          </w:p>
        </w:tc>
        <w:tc>
          <w:tcPr>
            <w:tcW w:type="dxa" w:w="1108"/>
          </w:tcPr>
          <w:p>
            <w:r>
              <w:t>505</w:t>
            </w:r>
          </w:p>
        </w:tc>
        <w:tc>
          <w:tcPr>
            <w:tcW w:type="dxa" w:w="1108"/>
          </w:tcPr>
          <w:p>
            <w:r>
              <w:t>383</w:t>
            </w:r>
          </w:p>
        </w:tc>
      </w:tr>
      <w:tr>
        <w:tc>
          <w:tcPr>
            <w:tcW w:type="dxa" w:w="1108"/>
          </w:tcPr>
          <w:p>
            <w:r>
              <w:t>ISO 834</w:t>
            </w:r>
          </w:p>
        </w:tc>
        <w:tc>
          <w:tcPr>
            <w:tcW w:type="dxa" w:w="1108"/>
          </w:tcPr>
          <w:p>
            <w:r>
              <w:t>F2</w:t>
            </w:r>
          </w:p>
        </w:tc>
        <w:tc>
          <w:tcPr>
            <w:tcW w:type="dxa" w:w="1108"/>
          </w:tcPr>
          <w:p>
            <w:r>
              <w:t>Suspente secondaire</w:t>
            </w:r>
          </w:p>
        </w:tc>
        <w:tc>
          <w:tcPr>
            <w:tcW w:type="dxa" w:w="1108"/>
          </w:tcPr>
          <w:p>
            <w:r>
              <w:t>541</w:t>
            </w:r>
          </w:p>
        </w:tc>
        <w:tc>
          <w:tcPr>
            <w:tcW w:type="dxa" w:w="1108"/>
          </w:tcPr>
          <w:p>
            <w:r>
              <w:t>329</w:t>
            </w:r>
          </w:p>
        </w:tc>
        <w:tc>
          <w:tcPr>
            <w:tcW w:type="dxa" w:w="1108"/>
          </w:tcPr>
          <w:p>
            <w:r>
              <w:t>84</w:t>
            </w:r>
          </w:p>
        </w:tc>
        <w:tc>
          <w:tcPr>
            <w:tcW w:type="dxa" w:w="1108"/>
          </w:tcPr>
          <w:p>
            <w:r>
              <w:t>28</w:t>
            </w:r>
          </w:p>
        </w:tc>
        <w:tc>
          <w:tcPr>
            <w:tcW w:type="dxa" w:w="1108"/>
          </w:tcPr>
          <w:p>
            <w:r>
              <w:t>21</w:t>
            </w:r>
          </w:p>
        </w:tc>
        <w:tc>
          <w:tcPr>
            <w:tcW w:type="dxa" w:w="1108"/>
          </w:tcPr>
          <w:p>
            <w:r>
              <w:t>17</w:t>
            </w:r>
          </w:p>
        </w:tc>
      </w:tr>
      <w:tr>
        <w:tc>
          <w:tcPr>
            <w:tcW w:type="dxa" w:w="1108"/>
          </w:tcPr>
          <w:p>
            <w:r>
              <w:t>ISO 834</w:t>
            </w:r>
          </w:p>
        </w:tc>
        <w:tc>
          <w:tcPr>
            <w:tcW w:type="dxa" w:w="1108"/>
          </w:tcPr>
          <w:p>
            <w:r>
              <w:t>F2</w:t>
            </w:r>
          </w:p>
        </w:tc>
        <w:tc>
          <w:tcPr>
            <w:tcW w:type="dxa" w:w="1108"/>
          </w:tcPr>
          <w:p>
            <w:r>
              <w:t>Câble principal clos</w:t>
            </w:r>
          </w:p>
        </w:tc>
        <w:tc>
          <w:tcPr>
            <w:tcW w:type="dxa" w:w="1108"/>
          </w:tcPr>
          <w:p>
            <w:r>
              <w:t>11897</w:t>
            </w:r>
          </w:p>
        </w:tc>
        <w:tc>
          <w:tcPr>
            <w:tcW w:type="dxa" w:w="1108"/>
          </w:tcPr>
          <w:p>
            <w:r>
              <w:t>11897</w:t>
            </w:r>
          </w:p>
        </w:tc>
        <w:tc>
          <w:tcPr>
            <w:tcW w:type="dxa" w:w="1108"/>
          </w:tcPr>
          <w:p>
            <w:r>
              <w:t>7134</w:t>
            </w:r>
          </w:p>
        </w:tc>
        <w:tc>
          <w:tcPr>
            <w:tcW w:type="dxa" w:w="1108"/>
          </w:tcPr>
          <w:p>
            <w:r>
              <w:t>1080</w:t>
            </w:r>
          </w:p>
        </w:tc>
        <w:tc>
          <w:tcPr>
            <w:tcW w:type="dxa" w:w="1108"/>
          </w:tcPr>
          <w:p>
            <w:r>
              <w:t>505</w:t>
            </w:r>
          </w:p>
        </w:tc>
        <w:tc>
          <w:tcPr>
            <w:tcW w:type="dxa" w:w="1108"/>
          </w:tcPr>
          <w:p>
            <w:r>
              <w:t>383</w:t>
            </w:r>
          </w:p>
        </w:tc>
      </w:tr>
      <w:tr>
        <w:tc>
          <w:tcPr>
            <w:tcW w:type="dxa" w:w="1108"/>
          </w:tcPr>
          <w:p>
            <w:r>
              <w:t>ISO 834</w:t>
            </w:r>
          </w:p>
        </w:tc>
        <w:tc>
          <w:tcPr>
            <w:tcW w:type="dxa" w:w="1108"/>
          </w:tcPr>
          <w:p>
            <w:r>
              <w:t>F3</w:t>
            </w:r>
          </w:p>
        </w:tc>
        <w:tc>
          <w:tcPr>
            <w:tcW w:type="dxa" w:w="1108"/>
          </w:tcPr>
          <w:p>
            <w:r>
              <w:t>Suspente secondaire</w:t>
            </w:r>
          </w:p>
        </w:tc>
        <w:tc>
          <w:tcPr>
            <w:tcW w:type="dxa" w:w="1108"/>
          </w:tcPr>
          <w:p>
            <w:r>
              <w:t>541</w:t>
            </w:r>
          </w:p>
        </w:tc>
        <w:tc>
          <w:tcPr>
            <w:tcW w:type="dxa" w:w="1108"/>
          </w:tcPr>
          <w:p>
            <w:r>
              <w:t>329</w:t>
            </w:r>
          </w:p>
        </w:tc>
        <w:tc>
          <w:tcPr>
            <w:tcW w:type="dxa" w:w="1108"/>
          </w:tcPr>
          <w:p>
            <w:r>
              <w:t>84</w:t>
            </w:r>
          </w:p>
        </w:tc>
        <w:tc>
          <w:tcPr>
            <w:tcW w:type="dxa" w:w="1108"/>
          </w:tcPr>
          <w:p>
            <w:r>
              <w:t>28</w:t>
            </w:r>
          </w:p>
        </w:tc>
        <w:tc>
          <w:tcPr>
            <w:tcW w:type="dxa" w:w="1108"/>
          </w:tcPr>
          <w:p>
            <w:r>
              <w:t>21</w:t>
            </w:r>
          </w:p>
        </w:tc>
        <w:tc>
          <w:tcPr>
            <w:tcW w:type="dxa" w:w="1108"/>
          </w:tcPr>
          <w:p>
            <w:r>
              <w:t>17</w:t>
            </w:r>
          </w:p>
        </w:tc>
      </w:tr>
      <w:tr>
        <w:tc>
          <w:tcPr>
            <w:tcW w:type="dxa" w:w="1108"/>
          </w:tcPr>
          <w:p>
            <w:r>
              <w:t>ISO 834</w:t>
            </w:r>
          </w:p>
        </w:tc>
        <w:tc>
          <w:tcPr>
            <w:tcW w:type="dxa" w:w="1108"/>
          </w:tcPr>
          <w:p>
            <w:r>
              <w:t>F3</w:t>
            </w:r>
          </w:p>
        </w:tc>
        <w:tc>
          <w:tcPr>
            <w:tcW w:type="dxa" w:w="1108"/>
          </w:tcPr>
          <w:p>
            <w:r>
              <w:t>Câble principal clos</w:t>
            </w:r>
          </w:p>
        </w:tc>
        <w:tc>
          <w:tcPr>
            <w:tcW w:type="dxa" w:w="1108"/>
          </w:tcPr>
          <w:p>
            <w:r>
              <w:t>11897</w:t>
            </w:r>
          </w:p>
        </w:tc>
        <w:tc>
          <w:tcPr>
            <w:tcW w:type="dxa" w:w="1108"/>
          </w:tcPr>
          <w:p>
            <w:r>
              <w:t>11897</w:t>
            </w:r>
          </w:p>
        </w:tc>
        <w:tc>
          <w:tcPr>
            <w:tcW w:type="dxa" w:w="1108"/>
          </w:tcPr>
          <w:p>
            <w:r>
              <w:t>7134</w:t>
            </w:r>
          </w:p>
        </w:tc>
        <w:tc>
          <w:tcPr>
            <w:tcW w:type="dxa" w:w="1108"/>
          </w:tcPr>
          <w:p>
            <w:r>
              <w:t>1080</w:t>
            </w:r>
          </w:p>
        </w:tc>
        <w:tc>
          <w:tcPr>
            <w:tcW w:type="dxa" w:w="1108"/>
          </w:tcPr>
          <w:p>
            <w:r>
              <w:t>505</w:t>
            </w:r>
          </w:p>
        </w:tc>
        <w:tc>
          <w:tcPr>
            <w:tcW w:type="dxa" w:w="1108"/>
          </w:tcPr>
          <w:p>
            <w:r>
              <w:t>383</w:t>
            </w:r>
          </w:p>
        </w:tc>
      </w:tr>
      <w:tr>
        <w:tc>
          <w:tcPr>
            <w:tcW w:type="dxa" w:w="1108"/>
          </w:tcPr>
          <w:p>
            <w:r>
              <w:t>Feu extérieur</w:t>
            </w:r>
          </w:p>
        </w:tc>
        <w:tc>
          <w:tcPr>
            <w:tcW w:type="dxa" w:w="1108"/>
          </w:tcPr>
          <w:p>
            <w:r>
              <w:t>F1</w:t>
            </w:r>
          </w:p>
        </w:tc>
        <w:tc>
          <w:tcPr>
            <w:tcW w:type="dxa" w:w="1108"/>
          </w:tcPr>
          <w:p>
            <w:r>
              <w:t>Suspente secondaire</w:t>
            </w:r>
          </w:p>
        </w:tc>
        <w:tc>
          <w:tcPr>
            <w:tcW w:type="dxa" w:w="1108"/>
          </w:tcPr>
          <w:p>
            <w:r>
              <w:t>541</w:t>
            </w:r>
          </w:p>
        </w:tc>
        <w:tc>
          <w:tcPr>
            <w:tcW w:type="dxa" w:w="1108"/>
          </w:tcPr>
          <w:p>
            <w:r>
              <w:t>377</w:t>
            </w:r>
          </w:p>
        </w:tc>
        <w:tc>
          <w:tcPr>
            <w:tcW w:type="dxa" w:w="1108"/>
          </w:tcPr>
          <w:p>
            <w:r>
              <w:t>175</w:t>
            </w:r>
          </w:p>
        </w:tc>
        <w:tc>
          <w:tcPr>
            <w:tcW w:type="dxa" w:w="1108"/>
          </w:tcPr>
          <w:p>
            <w:r>
              <w:t>151</w:t>
            </w:r>
          </w:p>
        </w:tc>
        <w:tc>
          <w:tcPr>
            <w:tcW w:type="dxa" w:w="1108"/>
          </w:tcPr>
          <w:p>
            <w:r>
              <w:t>150</w:t>
            </w:r>
          </w:p>
        </w:tc>
        <w:tc>
          <w:tcPr>
            <w:tcW w:type="dxa" w:w="1108"/>
          </w:tcPr>
          <w:p>
            <w:r>
              <w:t>150</w:t>
            </w:r>
          </w:p>
        </w:tc>
      </w:tr>
      <w:tr>
        <w:tc>
          <w:tcPr>
            <w:tcW w:type="dxa" w:w="1108"/>
          </w:tcPr>
          <w:p>
            <w:r>
              <w:t>Feu extérieur</w:t>
            </w:r>
          </w:p>
        </w:tc>
        <w:tc>
          <w:tcPr>
            <w:tcW w:type="dxa" w:w="1108"/>
          </w:tcPr>
          <w:p>
            <w:r>
              <w:t>F1</w:t>
            </w:r>
          </w:p>
        </w:tc>
        <w:tc>
          <w:tcPr>
            <w:tcW w:type="dxa" w:w="1108"/>
          </w:tcPr>
          <w:p>
            <w:r>
              <w:t>Câble principal clos</w:t>
            </w:r>
          </w:p>
        </w:tc>
        <w:tc>
          <w:tcPr>
            <w:tcW w:type="dxa" w:w="1108"/>
          </w:tcPr>
          <w:p>
            <w:r>
              <w:t>11897</w:t>
            </w:r>
          </w:p>
        </w:tc>
        <w:tc>
          <w:tcPr>
            <w:tcW w:type="dxa" w:w="1108"/>
          </w:tcPr>
          <w:p>
            <w:r>
              <w:t>11897</w:t>
            </w:r>
          </w:p>
        </w:tc>
        <w:tc>
          <w:tcPr>
            <w:tcW w:type="dxa" w:w="1108"/>
          </w:tcPr>
          <w:p>
            <w:r>
              <w:t>10465</w:t>
            </w:r>
          </w:p>
        </w:tc>
        <w:tc>
          <w:tcPr>
            <w:tcW w:type="dxa" w:w="1108"/>
          </w:tcPr>
          <w:p>
            <w:r>
              <w:t>4990</w:t>
            </w:r>
          </w:p>
        </w:tc>
        <w:tc>
          <w:tcPr>
            <w:tcW w:type="dxa" w:w="1108"/>
          </w:tcPr>
          <w:p>
            <w:r>
              <w:t>3751</w:t>
            </w:r>
          </w:p>
        </w:tc>
        <w:tc>
          <w:tcPr>
            <w:tcW w:type="dxa" w:w="1108"/>
          </w:tcPr>
          <w:p>
            <w:r>
              <w:t>3428</w:t>
            </w:r>
          </w:p>
        </w:tc>
      </w:tr>
      <w:tr>
        <w:tc>
          <w:tcPr>
            <w:tcW w:type="dxa" w:w="1108"/>
          </w:tcPr>
          <w:p>
            <w:r>
              <w:t>Feu extérieur</w:t>
            </w:r>
          </w:p>
        </w:tc>
        <w:tc>
          <w:tcPr>
            <w:tcW w:type="dxa" w:w="1108"/>
          </w:tcPr>
          <w:p>
            <w:r>
              <w:t>F2</w:t>
            </w:r>
          </w:p>
        </w:tc>
        <w:tc>
          <w:tcPr>
            <w:tcW w:type="dxa" w:w="1108"/>
          </w:tcPr>
          <w:p>
            <w:r>
              <w:t>Suspente secondaire</w:t>
            </w:r>
          </w:p>
        </w:tc>
        <w:tc>
          <w:tcPr>
            <w:tcW w:type="dxa" w:w="1108"/>
          </w:tcPr>
          <w:p>
            <w:r>
              <w:t>541</w:t>
            </w:r>
          </w:p>
        </w:tc>
        <w:tc>
          <w:tcPr>
            <w:tcW w:type="dxa" w:w="1108"/>
          </w:tcPr>
          <w:p>
            <w:r>
              <w:t>377</w:t>
            </w:r>
          </w:p>
        </w:tc>
        <w:tc>
          <w:tcPr>
            <w:tcW w:type="dxa" w:w="1108"/>
          </w:tcPr>
          <w:p>
            <w:r>
              <w:t>175</w:t>
            </w:r>
          </w:p>
        </w:tc>
        <w:tc>
          <w:tcPr>
            <w:tcW w:type="dxa" w:w="1108"/>
          </w:tcPr>
          <w:p>
            <w:r>
              <w:t>151</w:t>
            </w:r>
          </w:p>
        </w:tc>
        <w:tc>
          <w:tcPr>
            <w:tcW w:type="dxa" w:w="1108"/>
          </w:tcPr>
          <w:p>
            <w:r>
              <w:t>150</w:t>
            </w:r>
          </w:p>
        </w:tc>
        <w:tc>
          <w:tcPr>
            <w:tcW w:type="dxa" w:w="1108"/>
          </w:tcPr>
          <w:p>
            <w:r>
              <w:t>150</w:t>
            </w:r>
          </w:p>
        </w:tc>
      </w:tr>
      <w:tr>
        <w:tc>
          <w:tcPr>
            <w:tcW w:type="dxa" w:w="1108"/>
          </w:tcPr>
          <w:p>
            <w:r>
              <w:t>Feu extérieur</w:t>
            </w:r>
          </w:p>
        </w:tc>
        <w:tc>
          <w:tcPr>
            <w:tcW w:type="dxa" w:w="1108"/>
          </w:tcPr>
          <w:p>
            <w:r>
              <w:t>F2</w:t>
            </w:r>
          </w:p>
        </w:tc>
        <w:tc>
          <w:tcPr>
            <w:tcW w:type="dxa" w:w="1108"/>
          </w:tcPr>
          <w:p>
            <w:r>
              <w:t>Câble principal clos</w:t>
            </w:r>
          </w:p>
        </w:tc>
        <w:tc>
          <w:tcPr>
            <w:tcW w:type="dxa" w:w="1108"/>
          </w:tcPr>
          <w:p>
            <w:r>
              <w:t>11897</w:t>
            </w:r>
          </w:p>
        </w:tc>
        <w:tc>
          <w:tcPr>
            <w:tcW w:type="dxa" w:w="1108"/>
          </w:tcPr>
          <w:p>
            <w:r>
              <w:t>11897</w:t>
            </w:r>
          </w:p>
        </w:tc>
        <w:tc>
          <w:tcPr>
            <w:tcW w:type="dxa" w:w="1108"/>
          </w:tcPr>
          <w:p>
            <w:r>
              <w:t>10465</w:t>
            </w:r>
          </w:p>
        </w:tc>
        <w:tc>
          <w:tcPr>
            <w:tcW w:type="dxa" w:w="1108"/>
          </w:tcPr>
          <w:p>
            <w:r>
              <w:t>4990</w:t>
            </w:r>
          </w:p>
        </w:tc>
        <w:tc>
          <w:tcPr>
            <w:tcW w:type="dxa" w:w="1108"/>
          </w:tcPr>
          <w:p>
            <w:r>
              <w:t>3751</w:t>
            </w:r>
          </w:p>
        </w:tc>
        <w:tc>
          <w:tcPr>
            <w:tcW w:type="dxa" w:w="1108"/>
          </w:tcPr>
          <w:p>
            <w:r>
              <w:t>3428</w:t>
            </w:r>
          </w:p>
        </w:tc>
      </w:tr>
      <w:tr>
        <w:tc>
          <w:tcPr>
            <w:tcW w:type="dxa" w:w="1108"/>
          </w:tcPr>
          <w:p>
            <w:r>
              <w:t>Feu extérieur</w:t>
            </w:r>
          </w:p>
        </w:tc>
        <w:tc>
          <w:tcPr>
            <w:tcW w:type="dxa" w:w="1108"/>
          </w:tcPr>
          <w:p>
            <w:r>
              <w:t>F3</w:t>
            </w:r>
          </w:p>
        </w:tc>
        <w:tc>
          <w:tcPr>
            <w:tcW w:type="dxa" w:w="1108"/>
          </w:tcPr>
          <w:p>
            <w:r>
              <w:t>Suspente secondaire</w:t>
            </w:r>
          </w:p>
        </w:tc>
        <w:tc>
          <w:tcPr>
            <w:tcW w:type="dxa" w:w="1108"/>
          </w:tcPr>
          <w:p>
            <w:r>
              <w:t>541</w:t>
            </w:r>
          </w:p>
        </w:tc>
        <w:tc>
          <w:tcPr>
            <w:tcW w:type="dxa" w:w="1108"/>
          </w:tcPr>
          <w:p>
            <w:r>
              <w:t>377</w:t>
            </w:r>
          </w:p>
        </w:tc>
        <w:tc>
          <w:tcPr>
            <w:tcW w:type="dxa" w:w="1108"/>
          </w:tcPr>
          <w:p>
            <w:r>
              <w:t>175</w:t>
            </w:r>
          </w:p>
        </w:tc>
        <w:tc>
          <w:tcPr>
            <w:tcW w:type="dxa" w:w="1108"/>
          </w:tcPr>
          <w:p>
            <w:r>
              <w:t>151</w:t>
            </w:r>
          </w:p>
        </w:tc>
        <w:tc>
          <w:tcPr>
            <w:tcW w:type="dxa" w:w="1108"/>
          </w:tcPr>
          <w:p>
            <w:r>
              <w:t>150</w:t>
            </w:r>
          </w:p>
        </w:tc>
        <w:tc>
          <w:tcPr>
            <w:tcW w:type="dxa" w:w="1108"/>
          </w:tcPr>
          <w:p>
            <w:r>
              <w:t>150</w:t>
            </w:r>
          </w:p>
        </w:tc>
      </w:tr>
      <w:tr>
        <w:tc>
          <w:tcPr>
            <w:tcW w:type="dxa" w:w="1108"/>
          </w:tcPr>
          <w:p>
            <w:r>
              <w:t>Feu extérieur</w:t>
            </w:r>
          </w:p>
        </w:tc>
        <w:tc>
          <w:tcPr>
            <w:tcW w:type="dxa" w:w="1108"/>
          </w:tcPr>
          <w:p>
            <w:r>
              <w:t>F3</w:t>
            </w:r>
          </w:p>
        </w:tc>
        <w:tc>
          <w:tcPr>
            <w:tcW w:type="dxa" w:w="1108"/>
          </w:tcPr>
          <w:p>
            <w:r>
              <w:t>Câble principal clos</w:t>
            </w:r>
          </w:p>
        </w:tc>
        <w:tc>
          <w:tcPr>
            <w:tcW w:type="dxa" w:w="1108"/>
          </w:tcPr>
          <w:p>
            <w:r>
              <w:t>11897</w:t>
            </w:r>
          </w:p>
        </w:tc>
        <w:tc>
          <w:tcPr>
            <w:tcW w:type="dxa" w:w="1108"/>
          </w:tcPr>
          <w:p>
            <w:r>
              <w:t>11897</w:t>
            </w:r>
          </w:p>
        </w:tc>
        <w:tc>
          <w:tcPr>
            <w:tcW w:type="dxa" w:w="1108"/>
          </w:tcPr>
          <w:p>
            <w:r>
              <w:t>10465</w:t>
            </w:r>
          </w:p>
        </w:tc>
        <w:tc>
          <w:tcPr>
            <w:tcW w:type="dxa" w:w="1108"/>
          </w:tcPr>
          <w:p>
            <w:r>
              <w:t>4990</w:t>
            </w:r>
          </w:p>
        </w:tc>
        <w:tc>
          <w:tcPr>
            <w:tcW w:type="dxa" w:w="1108"/>
          </w:tcPr>
          <w:p>
            <w:r>
              <w:t>3751</w:t>
            </w:r>
          </w:p>
        </w:tc>
        <w:tc>
          <w:tcPr>
            <w:tcW w:type="dxa" w:w="1108"/>
          </w:tcPr>
          <w:p>
            <w:r>
              <w:t>3428</w:t>
            </w:r>
          </w:p>
        </w:tc>
      </w:tr>
    </w:tbl>
    <w:p>
      <w:pPr>
        <w:jc w:val="center"/>
      </w:pPr>
      <w:r>
        <w:drawing>
          <wp:inline xmlns:a="http://schemas.openxmlformats.org/drawingml/2006/main" xmlns:pic="http://schemas.openxmlformats.org/drawingml/2006/picture">
            <wp:extent cx="5760000" cy="3163305"/>
            <wp:docPr id="13" name="Picture 13"/>
            <wp:cNvGraphicFramePr>
              <a:graphicFrameLocks noChangeAspect="1"/>
            </wp:cNvGraphicFramePr>
            <a:graphic>
              <a:graphicData uri="http://schemas.openxmlformats.org/drawingml/2006/picture">
                <pic:pic>
                  <pic:nvPicPr>
                    <pic:cNvPr id="0" name="R_11.png"/>
                    <pic:cNvPicPr/>
                  </pic:nvPicPr>
                  <pic:blipFill>
                    <a:blip r:embed="rId21"/>
                    <a:stretch>
                      <a:fillRect/>
                    </a:stretch>
                  </pic:blipFill>
                  <pic:spPr>
                    <a:xfrm>
                      <a:off x="0" y="0"/>
                      <a:ext cx="5760000" cy="3163305"/>
                    </a:xfrm>
                    <a:prstGeom prst="rect"/>
                  </pic:spPr>
                </pic:pic>
              </a:graphicData>
            </a:graphic>
          </wp:inline>
        </w:drawing>
      </w:r>
    </w:p>
    <w:p>
      <w:pPr>
        <w:jc w:val="center"/>
      </w:pPr>
      <w:r>
        <w:rPr>
          <w:i/>
        </w:rPr>
        <w:t>Figure 13 - Résistance indicative - Suspente secondaire</w:t>
      </w:r>
    </w:p>
    <w:p>
      <w:pPr>
        <w:jc w:val="center"/>
      </w:pPr>
      <w:r>
        <w:drawing>
          <wp:inline xmlns:a="http://schemas.openxmlformats.org/drawingml/2006/main" xmlns:pic="http://schemas.openxmlformats.org/drawingml/2006/picture">
            <wp:extent cx="5760000" cy="3163305"/>
            <wp:docPr id="14" name="Picture 14"/>
            <wp:cNvGraphicFramePr>
              <a:graphicFrameLocks noChangeAspect="1"/>
            </wp:cNvGraphicFramePr>
            <a:graphic>
              <a:graphicData uri="http://schemas.openxmlformats.org/drawingml/2006/picture">
                <pic:pic>
                  <pic:nvPicPr>
                    <pic:cNvPr id="0" name="R_12.png"/>
                    <pic:cNvPicPr/>
                  </pic:nvPicPr>
                  <pic:blipFill>
                    <a:blip r:embed="rId22"/>
                    <a:stretch>
                      <a:fillRect/>
                    </a:stretch>
                  </pic:blipFill>
                  <pic:spPr>
                    <a:xfrm>
                      <a:off x="0" y="0"/>
                      <a:ext cx="5760000" cy="3163305"/>
                    </a:xfrm>
                    <a:prstGeom prst="rect"/>
                  </pic:spPr>
                </pic:pic>
              </a:graphicData>
            </a:graphic>
          </wp:inline>
        </w:drawing>
      </w:r>
    </w:p>
    <w:p>
      <w:pPr>
        <w:jc w:val="center"/>
      </w:pPr>
      <w:r>
        <w:rPr>
          <w:i/>
        </w:rPr>
        <w:t>Figure 14 - Résistance indicative - Câble principal clos</w:t>
      </w:r>
    </w:p>
    <w:p>
      <w:r>
        <w:t>Aucun taux de travail n'est calculé faute d'efforts N_Ed.</w:t>
      </w:r>
    </w:p>
    <w:p>
      <w:r>
        <w:br w:type="page"/>
      </w:r>
    </w:p>
    <w:p>
      <w:pPr>
        <w:pStyle w:val="Heading1"/>
      </w:pPr>
      <w:r>
        <w:t>Annexe A - Calcul détaillé du cas critique à 30 min</w:t>
      </w:r>
    </w:p>
    <w:p>
      <w:r>
        <w:t>Cas : ISO 834 ; Position ouest ; coupe OUEST ; Suspente secondaire ; foyer 10,0 m.</w:t>
      </w:r>
    </w:p>
    <w:tbl>
      <w:tblPr>
        <w:tblStyle w:val="TableGrid"/>
        <w:tblW w:type="auto" w:w="0"/>
        <w:tblLook w:firstColumn="1" w:firstRow="1" w:lastColumn="0" w:lastRow="0" w:noHBand="0" w:noVBand="1" w:val="04A0"/>
      </w:tblPr>
      <w:tblGrid>
        <w:gridCol w:w="4986"/>
        <w:gridCol w:w="4986"/>
      </w:tblGrid>
      <w:tr>
        <w:tc>
          <w:tcPr>
            <w:tcW w:type="dxa" w:w="4986"/>
          </w:tcPr>
          <w:p>
            <w:r>
              <w:rPr>
                <w:b/>
              </w:rPr>
              <w:t>Grandeur</w:t>
            </w:r>
          </w:p>
        </w:tc>
        <w:tc>
          <w:tcPr>
            <w:tcW w:type="dxa" w:w="4986"/>
          </w:tcPr>
          <w:p>
            <w:r>
              <w:rPr>
                <w:b/>
              </w:rPr>
              <w:t>Valeur</w:t>
            </w:r>
          </w:p>
        </w:tc>
      </w:tr>
      <w:tr>
        <w:tc>
          <w:tcPr>
            <w:tcW w:type="dxa" w:w="4986"/>
          </w:tcPr>
          <w:p>
            <w:r>
              <w:t>Diamètre</w:t>
            </w:r>
          </w:p>
        </w:tc>
        <w:tc>
          <w:tcPr>
            <w:tcW w:type="dxa" w:w="4986"/>
          </w:tcPr>
          <w:p>
            <w:r>
              <w:t>0.042 m</w:t>
            </w:r>
          </w:p>
        </w:tc>
      </w:tr>
      <w:tr>
        <w:tc>
          <w:tcPr>
            <w:tcW w:type="dxa" w:w="4986"/>
          </w:tcPr>
          <w:p>
            <w:r>
              <w:t>Fₜ,Rd,20</w:t>
            </w:r>
          </w:p>
        </w:tc>
        <w:tc>
          <w:tcPr>
            <w:tcW w:type="dxa" w:w="4986"/>
          </w:tcPr>
          <w:p>
            <w:r>
              <w:t>541 kN</w:t>
            </w:r>
          </w:p>
        </w:tc>
      </w:tr>
      <w:tr>
        <w:tc>
          <w:tcPr>
            <w:tcW w:type="dxa" w:w="4986"/>
          </w:tcPr>
          <w:p>
            <w:r>
              <w:t>Aire géométrique</w:t>
            </w:r>
          </w:p>
        </w:tc>
        <w:tc>
          <w:tcPr>
            <w:tcW w:type="dxa" w:w="4986"/>
          </w:tcPr>
          <w:p>
            <w:r>
              <w:t>0.001385 m²</w:t>
            </w:r>
          </w:p>
        </w:tc>
      </w:tr>
      <w:tr>
        <w:tc>
          <w:tcPr>
            <w:tcW w:type="dxa" w:w="4986"/>
          </w:tcPr>
          <w:p>
            <w:r>
              <w:t>A_m/V</w:t>
            </w:r>
          </w:p>
        </w:tc>
        <w:tc>
          <w:tcPr>
            <w:tcW w:type="dxa" w:w="4986"/>
          </w:tcPr>
          <w:p>
            <w:r>
              <w:t>95.238 m⁻¹</w:t>
            </w:r>
          </w:p>
        </w:tc>
      </w:tr>
      <w:tr>
        <w:tc>
          <w:tcPr>
            <w:tcW w:type="dxa" w:w="4986"/>
          </w:tcPr>
          <w:p>
            <w:r>
              <w:t>Distance 3D</w:t>
            </w:r>
          </w:p>
        </w:tc>
        <w:tc>
          <w:tcPr>
            <w:tcW w:type="dxa" w:w="4986"/>
          </w:tcPr>
          <w:p>
            <w:r>
              <w:t>6.528 m</w:t>
            </w:r>
          </w:p>
        </w:tc>
      </w:tr>
      <w:tr>
        <w:tc>
          <w:tcPr>
            <w:tcW w:type="dxa" w:w="4986"/>
          </w:tcPr>
          <w:p>
            <w:r>
              <w:t>θ_g</w:t>
            </w:r>
          </w:p>
        </w:tc>
        <w:tc>
          <w:tcPr>
            <w:tcW w:type="dxa" w:w="4986"/>
          </w:tcPr>
          <w:p>
            <w:r>
              <w:t>841.80 °C</w:t>
            </w:r>
          </w:p>
        </w:tc>
      </w:tr>
      <w:tr>
        <w:tc>
          <w:tcPr>
            <w:tcW w:type="dxa" w:w="4986"/>
          </w:tcPr>
          <w:p>
            <w:r>
              <w:t>θ_a,i</w:t>
            </w:r>
          </w:p>
        </w:tc>
        <w:tc>
          <w:tcPr>
            <w:tcW w:type="dxa" w:w="4986"/>
          </w:tcPr>
          <w:p>
            <w:r>
              <w:t>760.63 °C</w:t>
            </w:r>
          </w:p>
        </w:tc>
      </w:tr>
      <w:tr>
        <w:tc>
          <w:tcPr>
            <w:tcW w:type="dxa" w:w="4986"/>
          </w:tcPr>
          <w:p>
            <w:r>
              <w:t>c_a</w:t>
            </w:r>
          </w:p>
        </w:tc>
        <w:tc>
          <w:tcPr>
            <w:tcW w:type="dxa" w:w="4986"/>
          </w:tcPr>
          <w:p>
            <w:r>
              <w:t>1146.4 J/kgK</w:t>
            </w:r>
          </w:p>
        </w:tc>
      </w:tr>
      <w:tr>
        <w:tc>
          <w:tcPr>
            <w:tcW w:type="dxa" w:w="4986"/>
          </w:tcPr>
          <w:p>
            <w:r>
              <w:t>Δt</w:t>
            </w:r>
          </w:p>
        </w:tc>
        <w:tc>
          <w:tcPr>
            <w:tcW w:type="dxa" w:w="4986"/>
          </w:tcPr>
          <w:p>
            <w:r>
              <w:t>5.0 s</w:t>
            </w:r>
          </w:p>
        </w:tc>
      </w:tr>
    </w:tbl>
    <w:p>
      <w:pPr>
        <w:pStyle w:val="Heading2"/>
      </w:pPr>
      <w:r>
        <w:t>A.1 Processus d’intégration</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Étape</w:t>
            </w:r>
          </w:p>
        </w:tc>
        <w:tc>
          <w:tcPr>
            <w:tcW w:type="dxa" w:w="3324"/>
          </w:tcPr>
          <w:p>
            <w:r>
              <w:rPr>
                <w:b/>
              </w:rPr>
              <w:t>Opération</w:t>
            </w:r>
          </w:p>
        </w:tc>
        <w:tc>
          <w:tcPr>
            <w:tcW w:type="dxa" w:w="3324"/>
          </w:tcPr>
          <w:p>
            <w:r>
              <w:rPr>
                <w:b/>
              </w:rPr>
              <w:t>Résultat</w:t>
            </w:r>
          </w:p>
        </w:tc>
      </w:tr>
      <w:tr>
        <w:tc>
          <w:tcPr>
            <w:tcW w:type="dxa" w:w="3324"/>
          </w:tcPr>
          <w:p>
            <w:r>
              <w:t>1</w:t>
            </w:r>
          </w:p>
        </w:tc>
        <w:tc>
          <w:tcPr>
            <w:tcW w:type="dxa" w:w="3324"/>
          </w:tcPr>
          <w:p>
            <w:r>
              <w:t>Lecture de θ_a,i</w:t>
            </w:r>
          </w:p>
        </w:tc>
        <w:tc>
          <w:tcPr>
            <w:tcW w:type="dxa" w:w="3324"/>
          </w:tcPr>
          <w:p>
            <w:r>
              <w:t>Température au début du pas</w:t>
            </w:r>
          </w:p>
        </w:tc>
      </w:tr>
      <w:tr>
        <w:tc>
          <w:tcPr>
            <w:tcW w:type="dxa" w:w="3324"/>
          </w:tcPr>
          <w:p>
            <w:r>
              <w:t>2</w:t>
            </w:r>
          </w:p>
        </w:tc>
        <w:tc>
          <w:tcPr>
            <w:tcW w:type="dxa" w:w="3324"/>
          </w:tcPr>
          <w:p>
            <w:r>
              <w:t>Calcul de c_a(θ_a,i)</w:t>
            </w:r>
          </w:p>
        </w:tc>
        <w:tc>
          <w:tcPr>
            <w:tcW w:type="dxa" w:w="3324"/>
          </w:tcPr>
          <w:p>
            <w:r>
              <w:t>Chaleur spécifique actualisée</w:t>
            </w:r>
          </w:p>
        </w:tc>
      </w:tr>
      <w:tr>
        <w:tc>
          <w:tcPr>
            <w:tcW w:type="dxa" w:w="3324"/>
          </w:tcPr>
          <w:p>
            <w:r>
              <w:t>3</w:t>
            </w:r>
          </w:p>
        </w:tc>
        <w:tc>
          <w:tcPr>
            <w:tcW w:type="dxa" w:w="3324"/>
          </w:tcPr>
          <w:p>
            <w:r>
              <w:t>Calcul des flux</w:t>
            </w:r>
          </w:p>
        </w:tc>
        <w:tc>
          <w:tcPr>
            <w:tcW w:type="dxa" w:w="3324"/>
          </w:tcPr>
          <w:p>
            <w:r>
              <w:t>q_conv,i, q_rad,i et q_net,i</w:t>
            </w:r>
          </w:p>
        </w:tc>
      </w:tr>
      <w:tr>
        <w:tc>
          <w:tcPr>
            <w:tcW w:type="dxa" w:w="3324"/>
          </w:tcPr>
          <w:p>
            <w:r>
              <w:t>4</w:t>
            </w:r>
          </w:p>
        </w:tc>
        <w:tc>
          <w:tcPr>
            <w:tcW w:type="dxa" w:w="3324"/>
          </w:tcPr>
          <w:p>
            <w:r>
              <w:t>Calcul de Δθ_a,i</w:t>
            </w:r>
          </w:p>
        </w:tc>
        <w:tc>
          <w:tcPr>
            <w:tcW w:type="dxa" w:w="3324"/>
          </w:tcPr>
          <w:p>
            <w:r>
              <w:t>Incrément thermique</w:t>
            </w:r>
          </w:p>
        </w:tc>
      </w:tr>
      <w:tr>
        <w:tc>
          <w:tcPr>
            <w:tcW w:type="dxa" w:w="3324"/>
          </w:tcPr>
          <w:p>
            <w:r>
              <w:t>5</w:t>
            </w:r>
          </w:p>
        </w:tc>
        <w:tc>
          <w:tcPr>
            <w:tcW w:type="dxa" w:w="3324"/>
          </w:tcPr>
          <w:p>
            <w:r>
              <w:t>Mise à jour</w:t>
            </w:r>
          </w:p>
        </w:tc>
        <w:tc>
          <w:tcPr>
            <w:tcW w:type="dxa" w:w="3324"/>
          </w:tcPr>
          <w:p>
            <w:r>
              <w:t>θ_a,i+1 = θ_a,i + Δθ_a,i</w:t>
            </w:r>
          </w:p>
        </w:tc>
      </w:tr>
    </w:tbl>
    <w:p>
      <w:pPr>
        <w:jc w:val="center"/>
      </w:pPr>
      <w:r>
        <w:drawing>
          <wp:inline xmlns:a="http://schemas.openxmlformats.org/drawingml/2006/main" xmlns:pic="http://schemas.openxmlformats.org/drawingml/2006/picture">
            <wp:extent cx="5760000" cy="3161528"/>
            <wp:docPr id="15" name="Picture 15"/>
            <wp:cNvGraphicFramePr>
              <a:graphicFrameLocks noChangeAspect="1"/>
            </wp:cNvGraphicFramePr>
            <a:graphic>
              <a:graphicData uri="http://schemas.openxmlformats.org/drawingml/2006/picture">
                <pic:pic>
                  <pic:nvPicPr>
                    <pic:cNvPr id="0" name="A_integr.png"/>
                    <pic:cNvPicPr/>
                  </pic:nvPicPr>
                  <pic:blipFill>
                    <a:blip r:embed="rId23"/>
                    <a:stretch>
                      <a:fillRect/>
                    </a:stretch>
                  </pic:blipFill>
                  <pic:spPr>
                    <a:xfrm>
                      <a:off x="0" y="0"/>
                      <a:ext cx="5760000" cy="3161528"/>
                    </a:xfrm>
                    <a:prstGeom prst="rect"/>
                  </pic:spPr>
                </pic:pic>
              </a:graphicData>
            </a:graphic>
          </wp:inline>
        </w:drawing>
      </w:r>
    </w:p>
    <w:p>
      <w:pPr>
        <w:jc w:val="center"/>
      </w:pPr>
      <w:r>
        <w:rPr>
          <w:i/>
        </w:rPr>
        <w:t>Figure A.1 - Intégration temporelle jusqu'à 30 min.</w:t>
      </w:r>
    </w:p>
    <w:p>
      <w:pPr>
        <w:pStyle w:val="Heading2"/>
      </w:pPr>
      <w:r>
        <w:t>A.2 Dernier pas avant 30 min</w:t>
      </w:r>
    </w:p>
    <w:p>
      <w:pPr>
        <w:jc w:val="center"/>
      </w:pPr>
      <m:oMathPara>
        <m:oMath>
          <m:sSub>
            <m:e>
              <m:r>
                <m:t>q</m:t>
              </m:r>
            </m:e>
            <m:sub>
              <m:r>
                <m:t>conv</m:t>
              </m:r>
            </m:sub>
          </m:sSub>
          <m:r>
            <m:t> = 2029,2 W/m²</m:t>
          </m:r>
        </m:oMath>
      </m:oMathPara>
    </w:p>
    <w:p>
      <w:pPr>
        <w:jc w:val="center"/>
      </w:pPr>
      <m:oMathPara>
        <m:oMath>
          <m:sSub>
            <m:e>
              <m:r>
                <m:t>q</m:t>
              </m:r>
            </m:e>
            <m:sub>
              <m:r>
                <m:t>rad</m:t>
              </m:r>
            </m:sub>
          </m:sSub>
          <m:r>
            <m:t> = 16002,7 W/m²</m:t>
          </m:r>
        </m:oMath>
      </m:oMathPara>
    </w:p>
    <w:p>
      <w:pPr>
        <w:jc w:val="center"/>
      </w:pPr>
      <m:oMathPara>
        <m:oMath>
          <m:sSub>
            <m:e>
              <m:r>
                <m:t>q</m:t>
              </m:r>
            </m:e>
            <m:sub>
              <m:r>
                <m:t>net</m:t>
              </m:r>
            </m:sub>
          </m:sSub>
          <m:r>
            <m:t> = 18031,9 W/m²</m:t>
          </m:r>
        </m:oMath>
      </m:oMathPara>
    </w:p>
    <w:p>
      <w:pPr>
        <w:jc w:val="center"/>
      </w:pPr>
      <m:oMathPara>
        <m:oMath>
          <m:r>
            <m:t>Δ</m:t>
          </m:r>
          <m:sSub>
            <m:e>
              <m:r>
                <m:t>θ</m:t>
              </m:r>
            </m:e>
            <m:sub>
              <m:r>
                <m:t>a,t</m:t>
              </m:r>
            </m:sub>
          </m:sSub>
          <m:r>
            <m:t> = 0,9541 °C</m:t>
          </m:r>
        </m:oMath>
      </m:oMathPara>
    </w:p>
    <w:p>
      <w:r>
        <w:t>La température passe de 760,63 °C à 761,58 °C sur le dernier pas de 5 s.</w:t>
      </w:r>
    </w:p>
    <w:p>
      <w:r>
        <w:br w:type="page"/>
      </w:r>
    </w:p>
    <w:p>
      <w:pPr>
        <w:pStyle w:val="Heading1"/>
      </w:pPr>
      <w:r>
        <w:t>Annexe B - Courbes de tous les cas étudiés</w:t>
      </w:r>
    </w:p>
    <w:p>
      <w:pPr>
        <w:jc w:val="center"/>
      </w:pPr>
      <w:r>
        <w:drawing>
          <wp:inline xmlns:a="http://schemas.openxmlformats.org/drawingml/2006/main" xmlns:pic="http://schemas.openxmlformats.org/drawingml/2006/picture">
            <wp:extent cx="5760000" cy="3164764"/>
            <wp:docPr id="16" name="Picture 16"/>
            <wp:cNvGraphicFramePr>
              <a:graphicFrameLocks noChangeAspect="1"/>
            </wp:cNvGraphicFramePr>
            <a:graphic>
              <a:graphicData uri="http://schemas.openxmlformats.org/drawingml/2006/picture">
                <pic:pic>
                  <pic:nvPicPr>
                    <pic:cNvPr id="0" name="B1.png"/>
                    <pic:cNvPicPr/>
                  </pic:nvPicPr>
                  <pic:blipFill>
                    <a:blip r:embed="rId24"/>
                    <a:stretch>
                      <a:fillRect/>
                    </a:stretch>
                  </pic:blipFill>
                  <pic:spPr>
                    <a:xfrm>
                      <a:off x="0" y="0"/>
                      <a:ext cx="5760000" cy="3164764"/>
                    </a:xfrm>
                    <a:prstGeom prst="rect"/>
                  </pic:spPr>
                </pic:pic>
              </a:graphicData>
            </a:graphic>
          </wp:inline>
        </w:drawing>
      </w:r>
    </w:p>
    <w:p>
      <w:pPr>
        <w:jc w:val="center"/>
      </w:pPr>
      <w:r>
        <w:rPr>
          <w:i/>
        </w:rPr>
        <w:t>Figure B.1 - ISO 834 - Suspente secondaire</w:t>
      </w:r>
    </w:p>
    <w:p>
      <w:pPr>
        <w:jc w:val="center"/>
      </w:pPr>
      <w:r>
        <w:drawing>
          <wp:inline xmlns:a="http://schemas.openxmlformats.org/drawingml/2006/main" xmlns:pic="http://schemas.openxmlformats.org/drawingml/2006/picture">
            <wp:extent cx="5760000" cy="3161528"/>
            <wp:docPr id="17" name="Picture 17"/>
            <wp:cNvGraphicFramePr>
              <a:graphicFrameLocks noChangeAspect="1"/>
            </wp:cNvGraphicFramePr>
            <a:graphic>
              <a:graphicData uri="http://schemas.openxmlformats.org/drawingml/2006/picture">
                <pic:pic>
                  <pic:nvPicPr>
                    <pic:cNvPr id="0" name="B2.png"/>
                    <pic:cNvPicPr/>
                  </pic:nvPicPr>
                  <pic:blipFill>
                    <a:blip r:embed="rId25"/>
                    <a:stretch>
                      <a:fillRect/>
                    </a:stretch>
                  </pic:blipFill>
                  <pic:spPr>
                    <a:xfrm>
                      <a:off x="0" y="0"/>
                      <a:ext cx="5760000" cy="3161528"/>
                    </a:xfrm>
                    <a:prstGeom prst="rect"/>
                  </pic:spPr>
                </pic:pic>
              </a:graphicData>
            </a:graphic>
          </wp:inline>
        </w:drawing>
      </w:r>
    </w:p>
    <w:p>
      <w:pPr>
        <w:jc w:val="center"/>
      </w:pPr>
      <w:r>
        <w:rPr>
          <w:i/>
        </w:rPr>
        <w:t>Figure B.2 - ISO 834 - Câble principal clos</w:t>
      </w:r>
    </w:p>
    <w:p>
      <w:pPr>
        <w:jc w:val="center"/>
      </w:pPr>
      <w:r>
        <w:drawing>
          <wp:inline xmlns:a="http://schemas.openxmlformats.org/drawingml/2006/main" xmlns:pic="http://schemas.openxmlformats.org/drawingml/2006/picture">
            <wp:extent cx="5760000" cy="3161528"/>
            <wp:docPr id="18" name="Picture 18"/>
            <wp:cNvGraphicFramePr>
              <a:graphicFrameLocks noChangeAspect="1"/>
            </wp:cNvGraphicFramePr>
            <a:graphic>
              <a:graphicData uri="http://schemas.openxmlformats.org/drawingml/2006/picture">
                <pic:pic>
                  <pic:nvPicPr>
                    <pic:cNvPr id="0" name="B3.png"/>
                    <pic:cNvPicPr/>
                  </pic:nvPicPr>
                  <pic:blipFill>
                    <a:blip r:embed="rId26"/>
                    <a:stretch>
                      <a:fillRect/>
                    </a:stretch>
                  </pic:blipFill>
                  <pic:spPr>
                    <a:xfrm>
                      <a:off x="0" y="0"/>
                      <a:ext cx="5760000" cy="3161528"/>
                    </a:xfrm>
                    <a:prstGeom prst="rect"/>
                  </pic:spPr>
                </pic:pic>
              </a:graphicData>
            </a:graphic>
          </wp:inline>
        </w:drawing>
      </w:r>
    </w:p>
    <w:p>
      <w:pPr>
        <w:jc w:val="center"/>
      </w:pPr>
      <w:r>
        <w:rPr>
          <w:i/>
        </w:rPr>
        <w:t>Figure B.3 - Feu extérieur - Suspente secondaire</w:t>
      </w:r>
    </w:p>
    <w:p>
      <w:pPr>
        <w:jc w:val="center"/>
      </w:pPr>
      <w:r>
        <w:drawing>
          <wp:inline xmlns:a="http://schemas.openxmlformats.org/drawingml/2006/main" xmlns:pic="http://schemas.openxmlformats.org/drawingml/2006/picture">
            <wp:extent cx="5760000" cy="3161528"/>
            <wp:docPr id="19" name="Picture 19"/>
            <wp:cNvGraphicFramePr>
              <a:graphicFrameLocks noChangeAspect="1"/>
            </wp:cNvGraphicFramePr>
            <a:graphic>
              <a:graphicData uri="http://schemas.openxmlformats.org/drawingml/2006/picture">
                <pic:pic>
                  <pic:nvPicPr>
                    <pic:cNvPr id="0" name="B4.png"/>
                    <pic:cNvPicPr/>
                  </pic:nvPicPr>
                  <pic:blipFill>
                    <a:blip r:embed="rId27"/>
                    <a:stretch>
                      <a:fillRect/>
                    </a:stretch>
                  </pic:blipFill>
                  <pic:spPr>
                    <a:xfrm>
                      <a:off x="0" y="0"/>
                      <a:ext cx="5760000" cy="3161528"/>
                    </a:xfrm>
                    <a:prstGeom prst="rect"/>
                  </pic:spPr>
                </pic:pic>
              </a:graphicData>
            </a:graphic>
          </wp:inline>
        </w:drawing>
      </w:r>
    </w:p>
    <w:p>
      <w:pPr>
        <w:jc w:val="center"/>
      </w:pPr>
      <w:r>
        <w:rPr>
          <w:i/>
        </w:rPr>
        <w:t>Figure B.4 - Feu extérieur - Câble principal clos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