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ANALYSE THERMIQUE D’UN INCENDIE SOUS LA PASSERELLE</w:t>
      </w:r>
    </w:p>
    <w:p>
      <w:pPr>
        <w:jc w:val="center"/>
      </w:pPr>
      <w:r>
        <w:t>Passerelle Gerland - La Saulaie</w:t>
      </w:r>
    </w:p>
    <w:p>
      <w:pPr>
        <w:jc w:val="center"/>
      </w:pPr>
      <w:r>
        <w:t>Rapport du 02/09/2026</w:t>
      </w:r>
    </w:p>
    <w:p>
      <w:r>
        <w:br w:type="page"/>
      </w:r>
    </w:p>
    <w:p>
      <w:pPr>
        <w:pStyle w:val="Heading1"/>
      </w:pPr>
      <w:r>
        <w:t>Sommaire</w:t>
      </w:r>
    </w:p>
    <w:p>
      <w:r>
        <w:fldChar w:fldCharType="begin"/>
        <w:instrText xml:space="preserve"> TOC \o "1-3" \h \z </w:instrText>
        <w:fldChar w:fldCharType="separate"/>
        <w:t>Mettre à jour dans Word : Ctrl+A, F9.</w:t>
        <w:fldChar w:fldCharType="end"/>
      </w:r>
    </w:p>
    <w:p>
      <w:r>
        <w:br w:type="page"/>
      </w:r>
    </w:p>
    <w:p>
      <w:pPr>
        <w:pStyle w:val="Heading1"/>
      </w:pPr>
      <w:r>
        <w:t>1. Objet et présentation du projet</w:t>
      </w:r>
    </w:p>
    <w:p>
      <w:r>
        <w:t>L’étude évalue l’évolution temporelle des températures des suspentes secondaires et des câbles principaux sous l’action d’un incendie sur la M7. Les calculs, l’évolution des propriétés thermiques et l’intégration pas à pas sont développés sous Python.</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pStyle w:val="Caption"/>
        <w:jc w:val="center"/>
      </w:pPr>
      <w: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pStyle w:val="Caption"/>
        <w:jc w:val="center"/>
      </w:pPr>
      <w:r>
        <w:t>Figure 2 - Élévation et plan du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pStyle w:val="Caption"/>
        <w:jc w:val="center"/>
      </w:pPr>
      <w:r>
        <w:t>Figure 3 - Coupe longitudinale générale.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pStyle w:val="Caption"/>
        <w:jc w:val="center"/>
      </w:pPr>
      <w:r>
        <w:t>Figure 4 - Coupe transversale type.</w:t>
      </w:r>
    </w:p>
    <w:p>
      <w:pPr>
        <w:pStyle w:val="Heading1"/>
      </w:pPr>
      <w:r>
        <w:t>2. Références</w:t>
      </w:r>
    </w:p>
    <w:p>
      <w:r>
        <w:t>• NF EN 1991-1-2 : actions thermiques.</w:t>
        <w:br/>
        <w:t>• NF EN 1993-1-2 : comportement au feu de l’acier.</w:t>
        <w:br/>
        <w:t>• Cerema, Résistance à l’incendie des ponts routiers, 2018.</w:t>
        <w:br/>
        <w:t>• Note SAU_AVP_NTE_069_A_FeuM7.</w:t>
      </w:r>
    </w:p>
    <w:p>
      <w:pPr>
        <w:pStyle w:val="Heading1"/>
      </w:pPr>
      <w:r>
        <w:t>3. Choix de la courbe de feu</w:t>
      </w:r>
    </w:p>
    <w:p>
      <w:r>
        <w:t>En appui du guide Cerema, les courbes CN - ISO 834 et feu extérieur sont étudiées séparément puis comparées.</w:t>
      </w:r>
    </w:p>
    <w:p>
      <w:pPr>
        <w:jc w:val="center"/>
      </w:pPr>
      <w:r>
        <w:drawing>
          <wp:inline xmlns:a="http://schemas.openxmlformats.org/drawingml/2006/main" xmlns:pic="http://schemas.openxmlformats.org/drawingml/2006/picture">
            <wp:extent cx="5400000" cy="1057056"/>
            <wp:docPr id="5" name="Picture 5"/>
            <wp:cNvGraphicFramePr>
              <a:graphicFrameLocks noChangeAspect="1"/>
            </wp:cNvGraphicFramePr>
            <a:graphic>
              <a:graphicData uri="http://schemas.openxmlformats.org/drawingml/2006/picture">
                <pic:pic>
                  <pic:nvPicPr>
                    <pic:cNvPr id="0" name="extrait_cerema_choix_courbes.png"/>
                    <pic:cNvPicPr/>
                  </pic:nvPicPr>
                  <pic:blipFill>
                    <a:blip r:embed="rId13"/>
                    <a:stretch>
                      <a:fillRect/>
                    </a:stretch>
                  </pic:blipFill>
                  <pic:spPr>
                    <a:xfrm>
                      <a:off x="0" y="0"/>
                      <a:ext cx="5400000" cy="1057056"/>
                    </a:xfrm>
                    <a:prstGeom prst="rect"/>
                  </pic:spPr>
                </pic:pic>
              </a:graphicData>
            </a:graphic>
          </wp:inline>
        </w:drawing>
      </w:r>
    </w:p>
    <w:p>
      <w:pPr>
        <w:pStyle w:val="Caption"/>
        <w:jc w:val="center"/>
      </w:pPr>
      <w:r>
        <w:t>Figure 5 - Extrait du guide Cerema : choix des courbes.</w:t>
      </w:r>
    </w:p>
    <w:p>
      <w:r>
        <w:t>Il appartient au maître d’ouvrage ou à son AMO de confirmer à la MOE si la courbe HC doit également être étudiée.</w:t>
      </w:r>
    </w:p>
    <w:p>
      <w:pPr>
        <w:jc w:val="center"/>
      </w:pPr>
      <w:r>
        <w:drawing>
          <wp:inline xmlns:a="http://schemas.openxmlformats.org/drawingml/2006/main" xmlns:pic="http://schemas.openxmlformats.org/drawingml/2006/picture">
            <wp:extent cx="5580000" cy="3102480"/>
            <wp:docPr id="6" name="Picture 6"/>
            <wp:cNvGraphicFramePr>
              <a:graphicFrameLocks noChangeAspect="1"/>
            </wp:cNvGraphicFramePr>
            <a:graphic>
              <a:graphicData uri="http://schemas.openxmlformats.org/drawingml/2006/picture">
                <pic:pic>
                  <pic:nvPicPr>
                    <pic:cNvPr id="0" name="feu.png"/>
                    <pic:cNvPicPr/>
                  </pic:nvPicPr>
                  <pic:blipFill>
                    <a:blip r:embed="rId14"/>
                    <a:stretch>
                      <a:fillRect/>
                    </a:stretch>
                  </pic:blipFill>
                  <pic:spPr>
                    <a:xfrm>
                      <a:off x="0" y="0"/>
                      <a:ext cx="5580000" cy="3102480"/>
                    </a:xfrm>
                    <a:prstGeom prst="rect"/>
                  </pic:spPr>
                </pic:pic>
              </a:graphicData>
            </a:graphic>
          </wp:inline>
        </w:drawing>
      </w:r>
    </w:p>
    <w:p>
      <w:pPr>
        <w:pStyle w:val="Caption"/>
        <w:jc w:val="center"/>
      </w:pPr>
      <w:r>
        <w:t>Figure 6 - Courbes nominales température-temps.</w:t>
      </w:r>
    </w:p>
    <w:p>
      <w:pPr>
        <w:pStyle w:val="Heading1"/>
      </w:pPr>
      <w:r>
        <w:t>4. Géométrie simplifiée et positions de feu</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sz w:val="16"/>
              </w:rPr>
              <w:t>Coupe</w:t>
            </w:r>
          </w:p>
        </w:tc>
        <w:tc>
          <w:tcPr>
            <w:tcW w:type="dxa" w:w="2493"/>
          </w:tcPr>
          <w:p>
            <w:r>
              <w:rPr>
                <w:sz w:val="16"/>
              </w:rPr>
              <w:t>Intrados (m)</w:t>
            </w:r>
          </w:p>
        </w:tc>
        <w:tc>
          <w:tcPr>
            <w:tcW w:type="dxa" w:w="2493"/>
          </w:tcPr>
          <w:p>
            <w:r>
              <w:rPr>
                <w:sz w:val="16"/>
              </w:rPr>
              <w:t>Suspente (m)</w:t>
            </w:r>
          </w:p>
        </w:tc>
        <w:tc>
          <w:tcPr>
            <w:tcW w:type="dxa" w:w="2493"/>
          </w:tcPr>
          <w:p>
            <w:r>
              <w:rPr>
                <w:sz w:val="16"/>
              </w:rPr>
              <w:t>Câble (m)</w:t>
            </w:r>
          </w:p>
        </w:tc>
      </w:tr>
      <w:tr>
        <w:tc>
          <w:tcPr>
            <w:tcW w:type="dxa" w:w="2493"/>
          </w:tcPr>
          <w:p>
            <w:r>
              <w:rPr>
                <w:sz w:val="16"/>
              </w:rPr>
              <w:t>F1</w:t>
            </w:r>
          </w:p>
        </w:tc>
        <w:tc>
          <w:tcPr>
            <w:tcW w:type="dxa" w:w="2493"/>
          </w:tcPr>
          <w:p>
            <w:r>
              <w:rPr>
                <w:sz w:val="16"/>
              </w:rPr>
              <w:t>6.125</w:t>
            </w:r>
          </w:p>
        </w:tc>
        <w:tc>
          <w:tcPr>
            <w:tcW w:type="dxa" w:w="2493"/>
          </w:tcPr>
          <w:p>
            <w:r>
              <w:rPr>
                <w:sz w:val="16"/>
              </w:rPr>
              <w:t>6.945</w:t>
            </w:r>
          </w:p>
        </w:tc>
        <w:tc>
          <w:tcPr>
            <w:tcW w:type="dxa" w:w="2493"/>
          </w:tcPr>
          <w:p>
            <w:r>
              <w:rPr>
                <w:sz w:val="16"/>
              </w:rPr>
              <w:t>8.12</w:t>
            </w:r>
          </w:p>
        </w:tc>
      </w:tr>
      <w:tr>
        <w:tc>
          <w:tcPr>
            <w:tcW w:type="dxa" w:w="2493"/>
          </w:tcPr>
          <w:p>
            <w:r>
              <w:rPr>
                <w:sz w:val="16"/>
              </w:rPr>
              <w:t>F2</w:t>
            </w:r>
          </w:p>
        </w:tc>
        <w:tc>
          <w:tcPr>
            <w:tcW w:type="dxa" w:w="2493"/>
          </w:tcPr>
          <w:p>
            <w:r>
              <w:rPr>
                <w:sz w:val="16"/>
              </w:rPr>
              <w:t>6.9</w:t>
            </w:r>
          </w:p>
        </w:tc>
        <w:tc>
          <w:tcPr>
            <w:tcW w:type="dxa" w:w="2493"/>
          </w:tcPr>
          <w:p>
            <w:r>
              <w:rPr>
                <w:sz w:val="16"/>
              </w:rPr>
              <w:t>7.72</w:t>
            </w:r>
          </w:p>
        </w:tc>
        <w:tc>
          <w:tcPr>
            <w:tcW w:type="dxa" w:w="2493"/>
          </w:tcPr>
          <w:p>
            <w:r>
              <w:rPr>
                <w:sz w:val="16"/>
              </w:rPr>
              <w:t>9.4</w:t>
            </w:r>
          </w:p>
        </w:tc>
      </w:tr>
      <w:tr>
        <w:tc>
          <w:tcPr>
            <w:tcW w:type="dxa" w:w="2493"/>
          </w:tcPr>
          <w:p>
            <w:r>
              <w:rPr>
                <w:sz w:val="16"/>
              </w:rPr>
              <w:t>F3</w:t>
            </w:r>
          </w:p>
        </w:tc>
        <w:tc>
          <w:tcPr>
            <w:tcW w:type="dxa" w:w="2493"/>
          </w:tcPr>
          <w:p>
            <w:r>
              <w:rPr>
                <w:sz w:val="16"/>
              </w:rPr>
              <w:t>7.25</w:t>
            </w:r>
          </w:p>
        </w:tc>
        <w:tc>
          <w:tcPr>
            <w:tcW w:type="dxa" w:w="2493"/>
          </w:tcPr>
          <w:p>
            <w:r>
              <w:rPr>
                <w:sz w:val="16"/>
              </w:rPr>
              <w:t>8.07</w:t>
            </w:r>
          </w:p>
        </w:tc>
        <w:tc>
          <w:tcPr>
            <w:tcW w:type="dxa" w:w="2493"/>
          </w:tcPr>
          <w:p>
            <w:r>
              <w:rPr>
                <w:sz w:val="16"/>
              </w:rPr>
              <w:t>11.07</w:t>
            </w:r>
          </w:p>
        </w:tc>
      </w:tr>
    </w:tbl>
    <w:p>
      <w:pPr>
        <w:jc w:val="center"/>
      </w:pPr>
      <w:r>
        <w:drawing>
          <wp:inline xmlns:a="http://schemas.openxmlformats.org/drawingml/2006/main" xmlns:pic="http://schemas.openxmlformats.org/drawingml/2006/picture">
            <wp:extent cx="5040000" cy="2189556"/>
            <wp:docPr id="7" name="Picture 7"/>
            <wp:cNvGraphicFramePr>
              <a:graphicFrameLocks noChangeAspect="1"/>
            </wp:cNvGraphicFramePr>
            <a:graphic>
              <a:graphicData uri="http://schemas.openxmlformats.org/drawingml/2006/picture">
                <pic:pic>
                  <pic:nvPicPr>
                    <pic:cNvPr id="0" name="ZZ_approxim intrados demi-coupe.png"/>
                    <pic:cNvPicPr/>
                  </pic:nvPicPr>
                  <pic:blipFill>
                    <a:blip r:embed="rId15"/>
                    <a:stretch>
                      <a:fillRect/>
                    </a:stretch>
                  </pic:blipFill>
                  <pic:spPr>
                    <a:xfrm>
                      <a:off x="0" y="0"/>
                      <a:ext cx="5040000" cy="2189556"/>
                    </a:xfrm>
                    <a:prstGeom prst="rect"/>
                  </pic:spPr>
                </pic:pic>
              </a:graphicData>
            </a:graphic>
          </wp:inline>
        </w:drawing>
      </w:r>
    </w:p>
    <w:p>
      <w:pPr>
        <w:pStyle w:val="Caption"/>
        <w:jc w:val="center"/>
      </w:pPr>
      <w:r>
        <w:t>Figure 7 - Approximation de l’intrados par deux segments de droite et points géométriques de calage.</w:t>
      </w:r>
    </w:p>
    <w:p>
      <w:r>
        <w:t>F1 correspond à la zone ouest, F2 à l’axe de la M7 et F3 à la zone est.</w:t>
      </w:r>
    </w:p>
    <w:p>
      <w:pPr>
        <w:jc w:val="center"/>
      </w:pPr>
      <w:r>
        <w:drawing>
          <wp:inline xmlns:a="http://schemas.openxmlformats.org/drawingml/2006/main" xmlns:pic="http://schemas.openxmlformats.org/drawingml/2006/picture">
            <wp:extent cx="5580000" cy="3108272"/>
            <wp:docPr id="8" name="Picture 8"/>
            <wp:cNvGraphicFramePr>
              <a:graphicFrameLocks noChangeAspect="1"/>
            </wp:cNvGraphicFramePr>
            <a:graphic>
              <a:graphicData uri="http://schemas.openxmlformats.org/drawingml/2006/picture">
                <pic:pic>
                  <pic:nvPicPr>
                    <pic:cNvPr id="0" name="geom.png"/>
                    <pic:cNvPicPr/>
                  </pic:nvPicPr>
                  <pic:blipFill>
                    <a:blip r:embed="rId16"/>
                    <a:stretch>
                      <a:fillRect/>
                    </a:stretch>
                  </pic:blipFill>
                  <pic:spPr>
                    <a:xfrm>
                      <a:off x="0" y="0"/>
                      <a:ext cx="5580000" cy="3108272"/>
                    </a:xfrm>
                    <a:prstGeom prst="rect"/>
                  </pic:spPr>
                </pic:pic>
              </a:graphicData>
            </a:graphic>
          </wp:inline>
        </w:drawing>
      </w:r>
    </w:p>
    <w:p>
      <w:pPr>
        <w:pStyle w:val="Caption"/>
        <w:jc w:val="center"/>
      </w:pPr>
      <w:r>
        <w:t>Figure 8 - Trois coupes géométriques de référence et positions F1, F2 et F3.</w:t>
      </w:r>
    </w:p>
    <w:p>
      <w:pPr>
        <w:pStyle w:val="Heading1"/>
      </w:pPr>
      <w:r>
        <w:t>5. Choix des paramètres et hypothèses</w:t>
      </w:r>
    </w:p>
    <w:tbl>
      <w:tblPr>
        <w:tblStyle w:val="TableGrid"/>
        <w:tblW w:type="auto" w:w="0"/>
        <w:tblLook w:firstColumn="1" w:firstRow="1" w:lastColumn="0" w:lastRow="0" w:noHBand="0" w:noVBand="1" w:val="04A0"/>
      </w:tblPr>
      <w:tblGrid>
        <w:gridCol w:w="4986"/>
        <w:gridCol w:w="4986"/>
      </w:tblGrid>
      <w:tr>
        <w:tc>
          <w:tcPr>
            <w:tcW w:type="dxa" w:w="4986"/>
          </w:tcPr>
          <w:p>
            <w:r>
              <w:rPr>
                <w:sz w:val="16"/>
              </w:rPr>
              <w:t>Paramètre</w:t>
            </w:r>
          </w:p>
        </w:tc>
        <w:tc>
          <w:tcPr>
            <w:tcW w:type="dxa" w:w="4986"/>
          </w:tcPr>
          <w:p>
            <w:r>
              <w:rPr>
                <w:sz w:val="16"/>
              </w:rPr>
              <w:t>Valeur</w:t>
            </w:r>
          </w:p>
        </w:tc>
      </w:tr>
      <w:tr>
        <w:tc>
          <w:tcPr>
            <w:tcW w:type="dxa" w:w="4986"/>
          </w:tcPr>
          <w:p>
            <w:r>
              <w:rPr>
                <w:sz w:val="16"/>
              </w:rPr>
              <w:t>Poids lourd</w:t>
            </w:r>
          </w:p>
        </w:tc>
        <w:tc>
          <w:tcPr>
            <w:tcW w:type="dxa" w:w="4986"/>
          </w:tcPr>
          <w:p>
            <w:r>
              <w:rPr>
                <w:sz w:val="16"/>
              </w:rPr>
              <w:t>16,0 × 2,50 × 4,00 m</w:t>
            </w:r>
          </w:p>
        </w:tc>
      </w:tr>
      <w:tr>
        <w:tc>
          <w:tcPr>
            <w:tcW w:type="dxa" w:w="4986"/>
          </w:tcPr>
          <w:p>
            <w:r>
              <w:rPr>
                <w:sz w:val="16"/>
              </w:rPr>
              <w:t>Longueurs de foyer</w:t>
            </w:r>
          </w:p>
        </w:tc>
        <w:tc>
          <w:tcPr>
            <w:tcW w:type="dxa" w:w="4986"/>
          </w:tcPr>
          <w:p>
            <w:r>
              <w:rPr>
                <w:sz w:val="16"/>
              </w:rPr>
              <w:t>10 / 15 / 20 m</w:t>
            </w:r>
          </w:p>
        </w:tc>
      </w:tr>
      <w:tr>
        <w:tc>
          <w:tcPr>
            <w:tcW w:type="dxa" w:w="4986"/>
          </w:tcPr>
          <w:p>
            <w:r>
              <w:rPr>
                <w:sz w:val="16"/>
              </w:rPr>
              <w:t>Pas Δt</w:t>
            </w:r>
          </w:p>
        </w:tc>
        <w:tc>
          <w:tcPr>
            <w:tcW w:type="dxa" w:w="4986"/>
          </w:tcPr>
          <w:p>
            <w:r>
              <w:rPr>
                <w:sz w:val="16"/>
              </w:rPr>
              <w:t>5 s</w:t>
            </w:r>
          </w:p>
        </w:tc>
      </w:tr>
      <w:tr>
        <w:tc>
          <w:tcPr>
            <w:tcW w:type="dxa" w:w="4986"/>
          </w:tcPr>
          <w:p>
            <w:r>
              <w:rPr>
                <w:sz w:val="16"/>
              </w:rPr>
              <w:t>αc</w:t>
            </w:r>
          </w:p>
        </w:tc>
        <w:tc>
          <w:tcPr>
            <w:tcW w:type="dxa" w:w="4986"/>
          </w:tcPr>
          <w:p>
            <w:r>
              <w:rPr>
                <w:sz w:val="16"/>
              </w:rPr>
              <w:t>25 W/(m²·K)</w:t>
            </w:r>
          </w:p>
        </w:tc>
      </w:tr>
      <w:tr>
        <w:tc>
          <w:tcPr>
            <w:tcW w:type="dxa" w:w="4986"/>
          </w:tcPr>
          <w:p>
            <w:r>
              <w:rPr>
                <w:sz w:val="16"/>
              </w:rPr>
              <w:t>εm / εf</w:t>
            </w:r>
          </w:p>
        </w:tc>
        <w:tc>
          <w:tcPr>
            <w:tcW w:type="dxa" w:w="4986"/>
          </w:tcPr>
          <w:p>
            <w:r>
              <w:rPr>
                <w:sz w:val="16"/>
              </w:rPr>
              <w:t>0,70 / 1,00</w:t>
            </w:r>
          </w:p>
        </w:tc>
      </w:tr>
      <w:tr>
        <w:tc>
          <w:tcPr>
            <w:tcW w:type="dxa" w:w="4986"/>
          </w:tcPr>
          <w:p>
            <w:r>
              <w:rPr>
                <w:sz w:val="16"/>
              </w:rPr>
              <w:t>ca(θa)</w:t>
            </w:r>
          </w:p>
        </w:tc>
        <w:tc>
          <w:tcPr>
            <w:tcW w:type="dxa" w:w="4986"/>
          </w:tcPr>
          <w:p>
            <w:r>
              <w:rPr>
                <w:sz w:val="16"/>
              </w:rPr>
              <w:t>Loi NF EN 1993-1-2 mise à jour à chaque pas</w:t>
            </w:r>
          </w:p>
        </w:tc>
      </w:tr>
    </w:tbl>
    <w:p>
      <w:r>
        <w:t>La chaleur spécifique ca dépend de θa et est recalculée à chaque pas selon la NF EN 1993-1-2.</w:t>
      </w:r>
    </w:p>
    <w:p>
      <w:pPr>
        <w:pStyle w:val="Heading1"/>
      </w:pPr>
      <w:r>
        <w:t>6. Méthode de calcul</w:t>
      </w:r>
    </w:p>
    <w:p>
      <w:r>
        <w:t>Pour chaque courbe, position et longueur de foyer, Python calcule la température des gaz, le facteur de forme, la chaleur spécifique dépendante de la température, les flux convectif et radiatif, puis l’incrément de température. L’intégration est répétée par pas de 5 s. L’annexe A illustre les étapes et le dernier pas avant 30 min.</w:t>
      </w:r>
    </w:p>
    <w:p>
      <w:pPr>
        <w:pStyle w:val="Heading1"/>
      </w:pPr>
      <w:r>
        <w:t>7. Résultats</w:t>
      </w:r>
    </w:p>
    <w:p>
      <w:pPr>
        <w:jc w:val="center"/>
      </w:pPr>
      <w:r>
        <w:drawing>
          <wp:inline xmlns:a="http://schemas.openxmlformats.org/drawingml/2006/main" xmlns:pic="http://schemas.openxmlformats.org/drawingml/2006/picture">
            <wp:extent cx="5580000" cy="3057630"/>
            <wp:docPr id="9" name="Picture 9"/>
            <wp:cNvGraphicFramePr>
              <a:graphicFrameLocks noChangeAspect="1"/>
            </wp:cNvGraphicFramePr>
            <a:graphic>
              <a:graphicData uri="http://schemas.openxmlformats.org/drawingml/2006/picture">
                <pic:pic>
                  <pic:nvPicPr>
                    <pic:cNvPr id="0" name="fig10.png"/>
                    <pic:cNvPicPr/>
                  </pic:nvPicPr>
                  <pic:blipFill>
                    <a:blip r:embed="rId17"/>
                    <a:stretch>
                      <a:fillRect/>
                    </a:stretch>
                  </pic:blipFill>
                  <pic:spPr>
                    <a:xfrm>
                      <a:off x="0" y="0"/>
                      <a:ext cx="5580000" cy="3057630"/>
                    </a:xfrm>
                    <a:prstGeom prst="rect"/>
                  </pic:spPr>
                </pic:pic>
              </a:graphicData>
            </a:graphic>
          </wp:inline>
        </w:drawing>
      </w:r>
    </w:p>
    <w:p>
      <w:pPr>
        <w:pStyle w:val="Caption"/>
        <w:jc w:val="center"/>
      </w:pPr>
      <w:r>
        <w:t>Figure 9 - Échauffement - Suspente secondaire - foyer 20 m.</w:t>
      </w:r>
    </w:p>
    <w:p>
      <w:pPr>
        <w:jc w:val="center"/>
      </w:pPr>
      <w:r>
        <w:drawing>
          <wp:inline xmlns:a="http://schemas.openxmlformats.org/drawingml/2006/main" xmlns:pic="http://schemas.openxmlformats.org/drawingml/2006/picture">
            <wp:extent cx="5580000" cy="3057630"/>
            <wp:docPr id="10" name="Picture 10"/>
            <wp:cNvGraphicFramePr>
              <a:graphicFrameLocks noChangeAspect="1"/>
            </wp:cNvGraphicFramePr>
            <a:graphic>
              <a:graphicData uri="http://schemas.openxmlformats.org/drawingml/2006/picture">
                <pic:pic>
                  <pic:nvPicPr>
                    <pic:cNvPr id="0" name="fig11.png"/>
                    <pic:cNvPicPr/>
                  </pic:nvPicPr>
                  <pic:blipFill>
                    <a:blip r:embed="rId18"/>
                    <a:stretch>
                      <a:fillRect/>
                    </a:stretch>
                  </pic:blipFill>
                  <pic:spPr>
                    <a:xfrm>
                      <a:off x="0" y="0"/>
                      <a:ext cx="5580000" cy="3057630"/>
                    </a:xfrm>
                    <a:prstGeom prst="rect"/>
                  </pic:spPr>
                </pic:pic>
              </a:graphicData>
            </a:graphic>
          </wp:inline>
        </w:drawing>
      </w:r>
    </w:p>
    <w:p>
      <w:pPr>
        <w:pStyle w:val="Caption"/>
        <w:jc w:val="center"/>
      </w:pPr>
      <w:r>
        <w:t>Figure 10 - Échauffement - Câble principal clos - foyer 20 m.</w:t>
      </w:r>
    </w:p>
    <w:p>
      <w:r>
        <w:t>Les valeurs ci-dessous correspondent aux enveloppes maximales de tous les cas calculés pour chaque famille d’éléments.</w:t>
      </w:r>
    </w:p>
    <w:tbl>
      <w:tblPr>
        <w:tblStyle w:val="TableGrid"/>
        <w:tblW w:type="auto" w:w="0"/>
        <w:tblLook w:firstColumn="1" w:firstRow="1" w:lastColumn="0" w:lastRow="0" w:noHBand="0" w:noVBand="1" w:val="04A0"/>
      </w:tblPr>
      <w:tblGrid>
        <w:gridCol w:w="3324"/>
        <w:gridCol w:w="3324"/>
        <w:gridCol w:w="3324"/>
      </w:tblGrid>
      <w:tr>
        <w:tc>
          <w:tcPr>
            <w:tcW w:type="dxa" w:w="3324"/>
          </w:tcPr>
          <w:p>
            <w:r>
              <w:rPr>
                <w:sz w:val="16"/>
              </w:rPr>
              <w:t>Temps (min)</w:t>
            </w:r>
          </w:p>
        </w:tc>
        <w:tc>
          <w:tcPr>
            <w:tcW w:type="dxa" w:w="3324"/>
          </w:tcPr>
          <w:p>
            <w:r>
              <w:rPr>
                <w:sz w:val="16"/>
              </w:rPr>
              <w:t>Suspente secondaire (°C)</w:t>
            </w:r>
          </w:p>
        </w:tc>
        <w:tc>
          <w:tcPr>
            <w:tcW w:type="dxa" w:w="3324"/>
          </w:tcPr>
          <w:p>
            <w:r>
              <w:rPr>
                <w:sz w:val="16"/>
              </w:rPr>
              <w:t>Câble principal clos (°C)</w:t>
            </w:r>
          </w:p>
        </w:tc>
      </w:tr>
      <w:tr>
        <w:tc>
          <w:tcPr>
            <w:tcW w:type="dxa" w:w="3324"/>
          </w:tcPr>
          <w:p>
            <w:r>
              <w:rPr>
                <w:sz w:val="16"/>
              </w:rPr>
              <w:t>15.0</w:t>
            </w:r>
          </w:p>
        </w:tc>
        <w:tc>
          <w:tcPr>
            <w:tcW w:type="dxa" w:w="3324"/>
          </w:tcPr>
          <w:p>
            <w:r>
              <w:rPr>
                <w:sz w:val="16"/>
              </w:rPr>
              <w:t>516.8</w:t>
            </w:r>
          </w:p>
        </w:tc>
        <w:tc>
          <w:tcPr>
            <w:tcW w:type="dxa" w:w="3324"/>
          </w:tcPr>
          <w:p>
            <w:r>
              <w:rPr>
                <w:sz w:val="16"/>
              </w:rPr>
              <w:t>231.8</w:t>
            </w:r>
          </w:p>
        </w:tc>
      </w:tr>
      <w:tr>
        <w:tc>
          <w:tcPr>
            <w:tcW w:type="dxa" w:w="3324"/>
          </w:tcPr>
          <w:p>
            <w:r>
              <w:rPr>
                <w:sz w:val="16"/>
              </w:rPr>
              <w:t>30.0</w:t>
            </w:r>
          </w:p>
        </w:tc>
        <w:tc>
          <w:tcPr>
            <w:tcW w:type="dxa" w:w="3324"/>
          </w:tcPr>
          <w:p>
            <w:r>
              <w:rPr>
                <w:sz w:val="16"/>
              </w:rPr>
              <w:t>742.1</w:t>
            </w:r>
          </w:p>
        </w:tc>
        <w:tc>
          <w:tcPr>
            <w:tcW w:type="dxa" w:w="3324"/>
          </w:tcPr>
          <w:p>
            <w:r>
              <w:rPr>
                <w:sz w:val="16"/>
              </w:rPr>
              <w:t>492.9</w:t>
            </w:r>
          </w:p>
        </w:tc>
      </w:tr>
      <w:tr>
        <w:tc>
          <w:tcPr>
            <w:tcW w:type="dxa" w:w="3324"/>
          </w:tcPr>
          <w:p>
            <w:r>
              <w:rPr>
                <w:sz w:val="16"/>
              </w:rPr>
              <w:t>60.0</w:t>
            </w:r>
          </w:p>
        </w:tc>
        <w:tc>
          <w:tcPr>
            <w:tcW w:type="dxa" w:w="3324"/>
          </w:tcPr>
          <w:p>
            <w:r>
              <w:rPr>
                <w:sz w:val="16"/>
              </w:rPr>
              <w:t>935.8</w:t>
            </w:r>
          </w:p>
        </w:tc>
        <w:tc>
          <w:tcPr>
            <w:tcW w:type="dxa" w:w="3324"/>
          </w:tcPr>
          <w:p>
            <w:r>
              <w:rPr>
                <w:sz w:val="16"/>
              </w:rPr>
              <w:t>764.8</w:t>
            </w:r>
          </w:p>
        </w:tc>
      </w:tr>
      <w:tr>
        <w:tc>
          <w:tcPr>
            <w:tcW w:type="dxa" w:w="3324"/>
          </w:tcPr>
          <w:p>
            <w:r>
              <w:rPr>
                <w:sz w:val="16"/>
              </w:rPr>
              <w:t>90.0</w:t>
            </w:r>
          </w:p>
        </w:tc>
        <w:tc>
          <w:tcPr>
            <w:tcW w:type="dxa" w:w="3324"/>
          </w:tcPr>
          <w:p>
            <w:r>
              <w:rPr>
                <w:sz w:val="16"/>
              </w:rPr>
              <w:t>1000.7</w:t>
            </w:r>
          </w:p>
        </w:tc>
        <w:tc>
          <w:tcPr>
            <w:tcW w:type="dxa" w:w="3324"/>
          </w:tcPr>
          <w:p>
            <w:r>
              <w:rPr>
                <w:sz w:val="16"/>
              </w:rPr>
              <w:t>969.3</w:t>
            </w:r>
          </w:p>
        </w:tc>
      </w:tr>
      <w:tr>
        <w:tc>
          <w:tcPr>
            <w:tcW w:type="dxa" w:w="3324"/>
          </w:tcPr>
          <w:p>
            <w:r>
              <w:rPr>
                <w:sz w:val="16"/>
              </w:rPr>
              <w:t>120.0</w:t>
            </w:r>
          </w:p>
        </w:tc>
        <w:tc>
          <w:tcPr>
            <w:tcW w:type="dxa" w:w="3324"/>
          </w:tcPr>
          <w:p>
            <w:r>
              <w:rPr>
                <w:sz w:val="16"/>
              </w:rPr>
              <w:t>1045.5</w:t>
            </w:r>
          </w:p>
        </w:tc>
        <w:tc>
          <w:tcPr>
            <w:tcW w:type="dxa" w:w="3324"/>
          </w:tcPr>
          <w:p>
            <w:r>
              <w:rPr>
                <w:sz w:val="16"/>
              </w:rPr>
              <w:t>1034.8</w:t>
            </w:r>
          </w:p>
        </w:tc>
      </w:tr>
    </w:tbl>
    <w:p>
      <w:pPr>
        <w:pStyle w:val="Heading1"/>
      </w:pPr>
      <w:r>
        <w:t>8. Impact structurel</w:t>
      </w:r>
    </w:p>
    <w:p>
      <w:r>
        <w:t>Les vérifications structurelles devront être menées aux temps 15, 30, 60, 90 et 120 min, à partir des températures enveloppes du § 7 et des efforts axiaux quasi permanents. La première approche utilise les données complémentaires suivantes : câble principal E = 160 GPa et NQP = 3 300 kN ; suspente secondaire E = 205 GPa et NQP = 115 kN.</w:t>
      </w:r>
    </w:p>
    <w:p>
      <w:pPr>
        <w:pStyle w:val="ListBullet"/>
      </w:pPr>
      <w:r>
        <w:t>déterminer les coefficients de réduction de la limite d’élasticité et du module d’Young à la température retenue ;</w:t>
      </w:r>
    </w:p>
    <w:p>
      <w:pPr>
        <w:pStyle w:val="ListBullet"/>
      </w:pPr>
      <w:r>
        <w:t>calculer la résistance axiale à chaud de la section ;</w:t>
      </w:r>
    </w:p>
    <w:p>
      <w:pPr>
        <w:pStyle w:val="ListBullet"/>
      </w:pPr>
      <w:r>
        <w:t>établir le ratio d’utilisation ηfi = Nfi,Ed / Nfi,Rd,θ et vérifier ηfi ≤ 1,00 ;</w:t>
      </w:r>
    </w:p>
    <w:p>
      <w:pPr>
        <w:pStyle w:val="ListBullet"/>
      </w:pPr>
      <w:r>
        <w:t>évaluer l’allongement thermique, la perte de rigidité et la variation de tension ;</w:t>
      </w:r>
    </w:p>
    <w:p>
      <w:pPr>
        <w:pStyle w:val="ListBullet"/>
      </w:pPr>
      <w:r>
        <w:t>examiner les redistributions d’efforts et les scénarios de perte locale d’une suspente.</w:t>
      </w:r>
    </w:p>
    <w:p>
      <w:r>
        <w:t>Le tableau ci-dessous constitue une première lecture de rigidité et de déformation élastique nominale. Il ne constitue pas encore une justification de résistance : la section métallique résistante réelle du câble principal et les résistances caractéristiques des aciers doivent être confirmées pour calculer Nfi,Rd,θ et le ratio ηfi.</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sz w:val="13"/>
              </w:rPr>
              <w:t>Feu</w:t>
            </w:r>
          </w:p>
        </w:tc>
        <w:tc>
          <w:tcPr>
            <w:tcW w:type="dxa" w:w="1108"/>
          </w:tcPr>
          <w:p>
            <w:r>
              <w:rPr>
                <w:sz w:val="13"/>
              </w:rPr>
              <w:t>Temps (min)</w:t>
            </w:r>
          </w:p>
        </w:tc>
        <w:tc>
          <w:tcPr>
            <w:tcW w:type="dxa" w:w="1108"/>
          </w:tcPr>
          <w:p>
            <w:r>
              <w:rPr>
                <w:sz w:val="13"/>
              </w:rPr>
              <w:t>Organe</w:t>
            </w:r>
          </w:p>
        </w:tc>
        <w:tc>
          <w:tcPr>
            <w:tcW w:type="dxa" w:w="1108"/>
          </w:tcPr>
          <w:p>
            <w:r>
              <w:rPr>
                <w:sz w:val="13"/>
              </w:rPr>
              <w:t>θ enveloppe (°C)</w:t>
            </w:r>
          </w:p>
        </w:tc>
        <w:tc>
          <w:tcPr>
            <w:tcW w:type="dxa" w:w="1108"/>
          </w:tcPr>
          <w:p>
            <w:r>
              <w:rPr>
                <w:sz w:val="13"/>
              </w:rPr>
              <w:t>kE,θ</w:t>
            </w:r>
          </w:p>
        </w:tc>
        <w:tc>
          <w:tcPr>
            <w:tcW w:type="dxa" w:w="1108"/>
          </w:tcPr>
          <w:p>
            <w:r>
              <w:rPr>
                <w:sz w:val="13"/>
              </w:rPr>
              <w:t>Eθ (GPa)</w:t>
            </w:r>
          </w:p>
        </w:tc>
        <w:tc>
          <w:tcPr>
            <w:tcW w:type="dxa" w:w="1108"/>
          </w:tcPr>
          <w:p>
            <w:r>
              <w:rPr>
                <w:sz w:val="13"/>
              </w:rPr>
              <w:t>σNQP nominale (MPa)</w:t>
            </w:r>
          </w:p>
        </w:tc>
        <w:tc>
          <w:tcPr>
            <w:tcW w:type="dxa" w:w="1108"/>
          </w:tcPr>
          <w:p>
            <w:r>
              <w:rPr>
                <w:sz w:val="13"/>
              </w:rPr>
              <w:t>ε élastique (‰)</w:t>
            </w:r>
          </w:p>
        </w:tc>
        <w:tc>
          <w:tcPr>
            <w:tcW w:type="dxa" w:w="1108"/>
          </w:tcPr>
          <w:p>
            <w:r>
              <w:rPr>
                <w:sz w:val="13"/>
              </w:rPr>
              <w:t>ηfi</w:t>
            </w:r>
          </w:p>
        </w:tc>
      </w:tr>
      <w:tr>
        <w:tc>
          <w:tcPr>
            <w:tcW w:type="dxa" w:w="1108"/>
          </w:tcPr>
          <w:p>
            <w:r>
              <w:rPr>
                <w:sz w:val="13"/>
              </w:rPr>
              <w:t>ISO 834</w:t>
            </w:r>
          </w:p>
        </w:tc>
        <w:tc>
          <w:tcPr>
            <w:tcW w:type="dxa" w:w="1108"/>
          </w:tcPr>
          <w:p>
            <w:r>
              <w:rPr>
                <w:sz w:val="13"/>
              </w:rPr>
              <w:t>15</w:t>
            </w:r>
          </w:p>
        </w:tc>
        <w:tc>
          <w:tcPr>
            <w:tcW w:type="dxa" w:w="1108"/>
          </w:tcPr>
          <w:p>
            <w:r>
              <w:rPr>
                <w:sz w:val="13"/>
              </w:rPr>
              <w:t>Suspente secondaire</w:t>
            </w:r>
          </w:p>
        </w:tc>
        <w:tc>
          <w:tcPr>
            <w:tcW w:type="dxa" w:w="1108"/>
          </w:tcPr>
          <w:p>
            <w:r>
              <w:rPr>
                <w:sz w:val="13"/>
              </w:rPr>
              <w:t>516.8</w:t>
            </w:r>
          </w:p>
        </w:tc>
        <w:tc>
          <w:tcPr>
            <w:tcW w:type="dxa" w:w="1108"/>
          </w:tcPr>
          <w:p>
            <w:r>
              <w:rPr>
                <w:sz w:val="13"/>
              </w:rPr>
              <w:t>0.551</w:t>
            </w:r>
          </w:p>
        </w:tc>
        <w:tc>
          <w:tcPr>
            <w:tcW w:type="dxa" w:w="1108"/>
          </w:tcPr>
          <w:p>
            <w:r>
              <w:rPr>
                <w:sz w:val="13"/>
              </w:rPr>
              <w:t>113.0</w:t>
            </w:r>
          </w:p>
        </w:tc>
        <w:tc>
          <w:tcPr>
            <w:tcW w:type="dxa" w:w="1108"/>
          </w:tcPr>
          <w:p>
            <w:r>
              <w:rPr>
                <w:sz w:val="13"/>
              </w:rPr>
              <w:t>83.0</w:t>
            </w:r>
          </w:p>
        </w:tc>
        <w:tc>
          <w:tcPr>
            <w:tcW w:type="dxa" w:w="1108"/>
          </w:tcPr>
          <w:p>
            <w:r>
              <w:rPr>
                <w:sz w:val="13"/>
              </w:rPr>
              <w:t>0.735</w:t>
            </w:r>
          </w:p>
        </w:tc>
        <w:tc>
          <w:tcPr>
            <w:tcW w:type="dxa" w:w="1108"/>
          </w:tcPr>
          <w:p>
            <w:r>
              <w:rPr>
                <w:sz w:val="13"/>
              </w:rPr>
              <w:t>ND : fy requis</w:t>
            </w:r>
          </w:p>
        </w:tc>
      </w:tr>
      <w:tr>
        <w:tc>
          <w:tcPr>
            <w:tcW w:type="dxa" w:w="1108"/>
          </w:tcPr>
          <w:p>
            <w:r>
              <w:rPr>
                <w:sz w:val="13"/>
              </w:rPr>
              <w:t>ISO 834</w:t>
            </w:r>
          </w:p>
        </w:tc>
        <w:tc>
          <w:tcPr>
            <w:tcW w:type="dxa" w:w="1108"/>
          </w:tcPr>
          <w:p>
            <w:r>
              <w:rPr>
                <w:sz w:val="13"/>
              </w:rPr>
              <w:t>15</w:t>
            </w:r>
          </w:p>
        </w:tc>
        <w:tc>
          <w:tcPr>
            <w:tcW w:type="dxa" w:w="1108"/>
          </w:tcPr>
          <w:p>
            <w:r>
              <w:rPr>
                <w:sz w:val="13"/>
              </w:rPr>
              <w:t>Câble principal clos</w:t>
            </w:r>
          </w:p>
        </w:tc>
        <w:tc>
          <w:tcPr>
            <w:tcW w:type="dxa" w:w="1108"/>
          </w:tcPr>
          <w:p>
            <w:r>
              <w:rPr>
                <w:sz w:val="13"/>
              </w:rPr>
              <w:t>231.8</w:t>
            </w:r>
          </w:p>
        </w:tc>
        <w:tc>
          <w:tcPr>
            <w:tcW w:type="dxa" w:w="1108"/>
          </w:tcPr>
          <w:p>
            <w:r>
              <w:rPr>
                <w:sz w:val="13"/>
              </w:rPr>
              <w:t>0.868</w:t>
            </w:r>
          </w:p>
        </w:tc>
        <w:tc>
          <w:tcPr>
            <w:tcW w:type="dxa" w:w="1108"/>
          </w:tcPr>
          <w:p>
            <w:r>
              <w:rPr>
                <w:sz w:val="13"/>
              </w:rPr>
              <w:t>138.9</w:t>
            </w:r>
          </w:p>
        </w:tc>
        <w:tc>
          <w:tcPr>
            <w:tcW w:type="dxa" w:w="1108"/>
          </w:tcPr>
          <w:p>
            <w:r>
              <w:rPr>
                <w:sz w:val="13"/>
              </w:rPr>
              <w:t>241.1</w:t>
            </w:r>
          </w:p>
        </w:tc>
        <w:tc>
          <w:tcPr>
            <w:tcW w:type="dxa" w:w="1108"/>
          </w:tcPr>
          <w:p>
            <w:r>
              <w:rPr>
                <w:sz w:val="13"/>
              </w:rPr>
              <w:t>1.736</w:t>
            </w:r>
          </w:p>
        </w:tc>
        <w:tc>
          <w:tcPr>
            <w:tcW w:type="dxa" w:w="1108"/>
          </w:tcPr>
          <w:p>
            <w:r>
              <w:rPr>
                <w:sz w:val="13"/>
              </w:rPr>
              <w:t>ND : section métallique et fy requis</w:t>
            </w:r>
          </w:p>
        </w:tc>
      </w:tr>
      <w:tr>
        <w:tc>
          <w:tcPr>
            <w:tcW w:type="dxa" w:w="1108"/>
          </w:tcPr>
          <w:p>
            <w:r>
              <w:rPr>
                <w:sz w:val="13"/>
              </w:rPr>
              <w:t>ISO 834</w:t>
            </w:r>
          </w:p>
        </w:tc>
        <w:tc>
          <w:tcPr>
            <w:tcW w:type="dxa" w:w="1108"/>
          </w:tcPr>
          <w:p>
            <w:r>
              <w:rPr>
                <w:sz w:val="13"/>
              </w:rPr>
              <w:t>30</w:t>
            </w:r>
          </w:p>
        </w:tc>
        <w:tc>
          <w:tcPr>
            <w:tcW w:type="dxa" w:w="1108"/>
          </w:tcPr>
          <w:p>
            <w:r>
              <w:rPr>
                <w:sz w:val="13"/>
              </w:rPr>
              <w:t>Suspente secondaire</w:t>
            </w:r>
          </w:p>
        </w:tc>
        <w:tc>
          <w:tcPr>
            <w:tcW w:type="dxa" w:w="1108"/>
          </w:tcPr>
          <w:p>
            <w:r>
              <w:rPr>
                <w:sz w:val="13"/>
              </w:rPr>
              <w:t>742.1</w:t>
            </w:r>
          </w:p>
        </w:tc>
        <w:tc>
          <w:tcPr>
            <w:tcW w:type="dxa" w:w="1108"/>
          </w:tcPr>
          <w:p>
            <w:r>
              <w:rPr>
                <w:sz w:val="13"/>
              </w:rPr>
              <w:t>0.113</w:t>
            </w:r>
          </w:p>
        </w:tc>
        <w:tc>
          <w:tcPr>
            <w:tcW w:type="dxa" w:w="1108"/>
          </w:tcPr>
          <w:p>
            <w:r>
              <w:rPr>
                <w:sz w:val="13"/>
              </w:rPr>
              <w:t>23.2</w:t>
            </w:r>
          </w:p>
        </w:tc>
        <w:tc>
          <w:tcPr>
            <w:tcW w:type="dxa" w:w="1108"/>
          </w:tcPr>
          <w:p>
            <w:r>
              <w:rPr>
                <w:sz w:val="13"/>
              </w:rPr>
              <w:t>83.0</w:t>
            </w:r>
          </w:p>
        </w:tc>
        <w:tc>
          <w:tcPr>
            <w:tcW w:type="dxa" w:w="1108"/>
          </w:tcPr>
          <w:p>
            <w:r>
              <w:rPr>
                <w:sz w:val="13"/>
              </w:rPr>
              <w:t>3.578</w:t>
            </w:r>
          </w:p>
        </w:tc>
        <w:tc>
          <w:tcPr>
            <w:tcW w:type="dxa" w:w="1108"/>
          </w:tcPr>
          <w:p>
            <w:r>
              <w:rPr>
                <w:sz w:val="13"/>
              </w:rPr>
              <w:t>ND : fy requis</w:t>
            </w:r>
          </w:p>
        </w:tc>
      </w:tr>
      <w:tr>
        <w:tc>
          <w:tcPr>
            <w:tcW w:type="dxa" w:w="1108"/>
          </w:tcPr>
          <w:p>
            <w:r>
              <w:rPr>
                <w:sz w:val="13"/>
              </w:rPr>
              <w:t>ISO 834</w:t>
            </w:r>
          </w:p>
        </w:tc>
        <w:tc>
          <w:tcPr>
            <w:tcW w:type="dxa" w:w="1108"/>
          </w:tcPr>
          <w:p>
            <w:r>
              <w:rPr>
                <w:sz w:val="13"/>
              </w:rPr>
              <w:t>30</w:t>
            </w:r>
          </w:p>
        </w:tc>
        <w:tc>
          <w:tcPr>
            <w:tcW w:type="dxa" w:w="1108"/>
          </w:tcPr>
          <w:p>
            <w:r>
              <w:rPr>
                <w:sz w:val="13"/>
              </w:rPr>
              <w:t>Câble principal clos</w:t>
            </w:r>
          </w:p>
        </w:tc>
        <w:tc>
          <w:tcPr>
            <w:tcW w:type="dxa" w:w="1108"/>
          </w:tcPr>
          <w:p>
            <w:r>
              <w:rPr>
                <w:sz w:val="13"/>
              </w:rPr>
              <w:t>492.9</w:t>
            </w:r>
          </w:p>
        </w:tc>
        <w:tc>
          <w:tcPr>
            <w:tcW w:type="dxa" w:w="1108"/>
          </w:tcPr>
          <w:p>
            <w:r>
              <w:rPr>
                <w:sz w:val="13"/>
              </w:rPr>
              <w:t>0.607</w:t>
            </w:r>
          </w:p>
        </w:tc>
        <w:tc>
          <w:tcPr>
            <w:tcW w:type="dxa" w:w="1108"/>
          </w:tcPr>
          <w:p>
            <w:r>
              <w:rPr>
                <w:sz w:val="13"/>
              </w:rPr>
              <w:t>97.1</w:t>
            </w:r>
          </w:p>
        </w:tc>
        <w:tc>
          <w:tcPr>
            <w:tcW w:type="dxa" w:w="1108"/>
          </w:tcPr>
          <w:p>
            <w:r>
              <w:rPr>
                <w:sz w:val="13"/>
              </w:rPr>
              <w:t>241.1</w:t>
            </w:r>
          </w:p>
        </w:tc>
        <w:tc>
          <w:tcPr>
            <w:tcW w:type="dxa" w:w="1108"/>
          </w:tcPr>
          <w:p>
            <w:r>
              <w:rPr>
                <w:sz w:val="13"/>
              </w:rPr>
              <w:t>2.482</w:t>
            </w:r>
          </w:p>
        </w:tc>
        <w:tc>
          <w:tcPr>
            <w:tcW w:type="dxa" w:w="1108"/>
          </w:tcPr>
          <w:p>
            <w:r>
              <w:rPr>
                <w:sz w:val="13"/>
              </w:rPr>
              <w:t>ND : section métallique et fy requis</w:t>
            </w:r>
          </w:p>
        </w:tc>
      </w:tr>
      <w:tr>
        <w:tc>
          <w:tcPr>
            <w:tcW w:type="dxa" w:w="1108"/>
          </w:tcPr>
          <w:p>
            <w:r>
              <w:rPr>
                <w:sz w:val="13"/>
              </w:rPr>
              <w:t>ISO 834</w:t>
            </w:r>
          </w:p>
        </w:tc>
        <w:tc>
          <w:tcPr>
            <w:tcW w:type="dxa" w:w="1108"/>
          </w:tcPr>
          <w:p>
            <w:r>
              <w:rPr>
                <w:sz w:val="13"/>
              </w:rPr>
              <w:t>60</w:t>
            </w:r>
          </w:p>
        </w:tc>
        <w:tc>
          <w:tcPr>
            <w:tcW w:type="dxa" w:w="1108"/>
          </w:tcPr>
          <w:p>
            <w:r>
              <w:rPr>
                <w:sz w:val="13"/>
              </w:rPr>
              <w:t>Suspente secondaire</w:t>
            </w:r>
          </w:p>
        </w:tc>
        <w:tc>
          <w:tcPr>
            <w:tcW w:type="dxa" w:w="1108"/>
          </w:tcPr>
          <w:p>
            <w:r>
              <w:rPr>
                <w:sz w:val="13"/>
              </w:rPr>
              <w:t>935.8</w:t>
            </w:r>
          </w:p>
        </w:tc>
        <w:tc>
          <w:tcPr>
            <w:tcW w:type="dxa" w:w="1108"/>
          </w:tcPr>
          <w:p>
            <w:r>
              <w:rPr>
                <w:sz w:val="13"/>
              </w:rPr>
              <w:t>0.059</w:t>
            </w:r>
          </w:p>
        </w:tc>
        <w:tc>
          <w:tcPr>
            <w:tcW w:type="dxa" w:w="1108"/>
          </w:tcPr>
          <w:p>
            <w:r>
              <w:rPr>
                <w:sz w:val="13"/>
              </w:rPr>
              <w:t>12.2</w:t>
            </w:r>
          </w:p>
        </w:tc>
        <w:tc>
          <w:tcPr>
            <w:tcW w:type="dxa" w:w="1108"/>
          </w:tcPr>
          <w:p>
            <w:r>
              <w:rPr>
                <w:sz w:val="13"/>
              </w:rPr>
              <w:t>83.0</w:t>
            </w:r>
          </w:p>
        </w:tc>
        <w:tc>
          <w:tcPr>
            <w:tcW w:type="dxa" w:w="1108"/>
          </w:tcPr>
          <w:p>
            <w:r>
              <w:rPr>
                <w:sz w:val="13"/>
              </w:rPr>
              <w:t>6.811</w:t>
            </w:r>
          </w:p>
        </w:tc>
        <w:tc>
          <w:tcPr>
            <w:tcW w:type="dxa" w:w="1108"/>
          </w:tcPr>
          <w:p>
            <w:r>
              <w:rPr>
                <w:sz w:val="13"/>
              </w:rPr>
              <w:t>ND : fy requis</w:t>
            </w:r>
          </w:p>
        </w:tc>
      </w:tr>
      <w:tr>
        <w:tc>
          <w:tcPr>
            <w:tcW w:type="dxa" w:w="1108"/>
          </w:tcPr>
          <w:p>
            <w:r>
              <w:rPr>
                <w:sz w:val="13"/>
              </w:rPr>
              <w:t>ISO 834</w:t>
            </w:r>
          </w:p>
        </w:tc>
        <w:tc>
          <w:tcPr>
            <w:tcW w:type="dxa" w:w="1108"/>
          </w:tcPr>
          <w:p>
            <w:r>
              <w:rPr>
                <w:sz w:val="13"/>
              </w:rPr>
              <w:t>60</w:t>
            </w:r>
          </w:p>
        </w:tc>
        <w:tc>
          <w:tcPr>
            <w:tcW w:type="dxa" w:w="1108"/>
          </w:tcPr>
          <w:p>
            <w:r>
              <w:rPr>
                <w:sz w:val="13"/>
              </w:rPr>
              <w:t>Câble principal clos</w:t>
            </w:r>
          </w:p>
        </w:tc>
        <w:tc>
          <w:tcPr>
            <w:tcW w:type="dxa" w:w="1108"/>
          </w:tcPr>
          <w:p>
            <w:r>
              <w:rPr>
                <w:sz w:val="13"/>
              </w:rPr>
              <w:t>764.8</w:t>
            </w:r>
          </w:p>
        </w:tc>
        <w:tc>
          <w:tcPr>
            <w:tcW w:type="dxa" w:w="1108"/>
          </w:tcPr>
          <w:p>
            <w:r>
              <w:rPr>
                <w:sz w:val="13"/>
              </w:rPr>
              <w:t>0.104</w:t>
            </w:r>
          </w:p>
        </w:tc>
        <w:tc>
          <w:tcPr>
            <w:tcW w:type="dxa" w:w="1108"/>
          </w:tcPr>
          <w:p>
            <w:r>
              <w:rPr>
                <w:sz w:val="13"/>
              </w:rPr>
              <w:t>16.7</w:t>
            </w:r>
          </w:p>
        </w:tc>
        <w:tc>
          <w:tcPr>
            <w:tcW w:type="dxa" w:w="1108"/>
          </w:tcPr>
          <w:p>
            <w:r>
              <w:rPr>
                <w:sz w:val="13"/>
              </w:rPr>
              <w:t>241.1</w:t>
            </w:r>
          </w:p>
        </w:tc>
        <w:tc>
          <w:tcPr>
            <w:tcW w:type="dxa" w:w="1108"/>
          </w:tcPr>
          <w:p>
            <w:r>
              <w:rPr>
                <w:sz w:val="13"/>
              </w:rPr>
              <w:t>14.479</w:t>
            </w:r>
          </w:p>
        </w:tc>
        <w:tc>
          <w:tcPr>
            <w:tcW w:type="dxa" w:w="1108"/>
          </w:tcPr>
          <w:p>
            <w:r>
              <w:rPr>
                <w:sz w:val="13"/>
              </w:rPr>
              <w:t>ND : section métallique et fy requis</w:t>
            </w:r>
          </w:p>
        </w:tc>
      </w:tr>
      <w:tr>
        <w:tc>
          <w:tcPr>
            <w:tcW w:type="dxa" w:w="1108"/>
          </w:tcPr>
          <w:p>
            <w:r>
              <w:rPr>
                <w:sz w:val="13"/>
              </w:rPr>
              <w:t>ISO 834</w:t>
            </w:r>
          </w:p>
        </w:tc>
        <w:tc>
          <w:tcPr>
            <w:tcW w:type="dxa" w:w="1108"/>
          </w:tcPr>
          <w:p>
            <w:r>
              <w:rPr>
                <w:sz w:val="13"/>
              </w:rPr>
              <w:t>90</w:t>
            </w:r>
          </w:p>
        </w:tc>
        <w:tc>
          <w:tcPr>
            <w:tcW w:type="dxa" w:w="1108"/>
          </w:tcPr>
          <w:p>
            <w:r>
              <w:rPr>
                <w:sz w:val="13"/>
              </w:rPr>
              <w:t>Suspente secondaire</w:t>
            </w:r>
          </w:p>
        </w:tc>
        <w:tc>
          <w:tcPr>
            <w:tcW w:type="dxa" w:w="1108"/>
          </w:tcPr>
          <w:p>
            <w:r>
              <w:rPr>
                <w:sz w:val="13"/>
              </w:rPr>
              <w:t>1000.7</w:t>
            </w:r>
          </w:p>
        </w:tc>
        <w:tc>
          <w:tcPr>
            <w:tcW w:type="dxa" w:w="1108"/>
          </w:tcPr>
          <w:p>
            <w:r>
              <w:rPr>
                <w:sz w:val="13"/>
              </w:rPr>
              <w:t>0.045</w:t>
            </w:r>
          </w:p>
        </w:tc>
        <w:tc>
          <w:tcPr>
            <w:tcW w:type="dxa" w:w="1108"/>
          </w:tcPr>
          <w:p>
            <w:r>
              <w:rPr>
                <w:sz w:val="13"/>
              </w:rPr>
              <w:t>9.2</w:t>
            </w:r>
          </w:p>
        </w:tc>
        <w:tc>
          <w:tcPr>
            <w:tcW w:type="dxa" w:w="1108"/>
          </w:tcPr>
          <w:p>
            <w:r>
              <w:rPr>
                <w:sz w:val="13"/>
              </w:rPr>
              <w:t>83.0</w:t>
            </w:r>
          </w:p>
        </w:tc>
        <w:tc>
          <w:tcPr>
            <w:tcW w:type="dxa" w:w="1108"/>
          </w:tcPr>
          <w:p>
            <w:r>
              <w:rPr>
                <w:sz w:val="13"/>
              </w:rPr>
              <w:t>9.03</w:t>
            </w:r>
          </w:p>
        </w:tc>
        <w:tc>
          <w:tcPr>
            <w:tcW w:type="dxa" w:w="1108"/>
          </w:tcPr>
          <w:p>
            <w:r>
              <w:rPr>
                <w:sz w:val="13"/>
              </w:rPr>
              <w:t>ND : fy requis</w:t>
            </w:r>
          </w:p>
        </w:tc>
      </w:tr>
      <w:tr>
        <w:tc>
          <w:tcPr>
            <w:tcW w:type="dxa" w:w="1108"/>
          </w:tcPr>
          <w:p>
            <w:r>
              <w:rPr>
                <w:sz w:val="13"/>
              </w:rPr>
              <w:t>ISO 834</w:t>
            </w:r>
          </w:p>
        </w:tc>
        <w:tc>
          <w:tcPr>
            <w:tcW w:type="dxa" w:w="1108"/>
          </w:tcPr>
          <w:p>
            <w:r>
              <w:rPr>
                <w:sz w:val="13"/>
              </w:rPr>
              <w:t>90</w:t>
            </w:r>
          </w:p>
        </w:tc>
        <w:tc>
          <w:tcPr>
            <w:tcW w:type="dxa" w:w="1108"/>
          </w:tcPr>
          <w:p>
            <w:r>
              <w:rPr>
                <w:sz w:val="13"/>
              </w:rPr>
              <w:t>Câble principal clos</w:t>
            </w:r>
          </w:p>
        </w:tc>
        <w:tc>
          <w:tcPr>
            <w:tcW w:type="dxa" w:w="1108"/>
          </w:tcPr>
          <w:p>
            <w:r>
              <w:rPr>
                <w:sz w:val="13"/>
              </w:rPr>
              <w:t>969.3</w:t>
            </w:r>
          </w:p>
        </w:tc>
        <w:tc>
          <w:tcPr>
            <w:tcW w:type="dxa" w:w="1108"/>
          </w:tcPr>
          <w:p>
            <w:r>
              <w:rPr>
                <w:sz w:val="13"/>
              </w:rPr>
              <w:t>0.052</w:t>
            </w:r>
          </w:p>
        </w:tc>
        <w:tc>
          <w:tcPr>
            <w:tcW w:type="dxa" w:w="1108"/>
          </w:tcPr>
          <w:p>
            <w:r>
              <w:rPr>
                <w:sz w:val="13"/>
              </w:rPr>
              <w:t>8.3</w:t>
            </w:r>
          </w:p>
        </w:tc>
        <w:tc>
          <w:tcPr>
            <w:tcW w:type="dxa" w:w="1108"/>
          </w:tcPr>
          <w:p>
            <w:r>
              <w:rPr>
                <w:sz w:val="13"/>
              </w:rPr>
              <w:t>241.1</w:t>
            </w:r>
          </w:p>
        </w:tc>
        <w:tc>
          <w:tcPr>
            <w:tcW w:type="dxa" w:w="1108"/>
          </w:tcPr>
          <w:p>
            <w:r>
              <w:rPr>
                <w:sz w:val="13"/>
              </w:rPr>
              <w:t>29.034</w:t>
            </w:r>
          </w:p>
        </w:tc>
        <w:tc>
          <w:tcPr>
            <w:tcW w:type="dxa" w:w="1108"/>
          </w:tcPr>
          <w:p>
            <w:r>
              <w:rPr>
                <w:sz w:val="13"/>
              </w:rPr>
              <w:t>ND : section métallique et fy requis</w:t>
            </w:r>
          </w:p>
        </w:tc>
      </w:tr>
      <w:tr>
        <w:tc>
          <w:tcPr>
            <w:tcW w:type="dxa" w:w="1108"/>
          </w:tcPr>
          <w:p>
            <w:r>
              <w:rPr>
                <w:sz w:val="13"/>
              </w:rPr>
              <w:t>ISO 834</w:t>
            </w:r>
          </w:p>
        </w:tc>
        <w:tc>
          <w:tcPr>
            <w:tcW w:type="dxa" w:w="1108"/>
          </w:tcPr>
          <w:p>
            <w:r>
              <w:rPr>
                <w:sz w:val="13"/>
              </w:rPr>
              <w:t>120</w:t>
            </w:r>
          </w:p>
        </w:tc>
        <w:tc>
          <w:tcPr>
            <w:tcW w:type="dxa" w:w="1108"/>
          </w:tcPr>
          <w:p>
            <w:r>
              <w:rPr>
                <w:sz w:val="13"/>
              </w:rPr>
              <w:t>Suspente secondaire</w:t>
            </w:r>
          </w:p>
        </w:tc>
        <w:tc>
          <w:tcPr>
            <w:tcW w:type="dxa" w:w="1108"/>
          </w:tcPr>
          <w:p>
            <w:r>
              <w:rPr>
                <w:sz w:val="13"/>
              </w:rPr>
              <w:t>1045.5</w:t>
            </w:r>
          </w:p>
        </w:tc>
        <w:tc>
          <w:tcPr>
            <w:tcW w:type="dxa" w:w="1108"/>
          </w:tcPr>
          <w:p>
            <w:r>
              <w:rPr>
                <w:sz w:val="13"/>
              </w:rPr>
              <w:t>0.035</w:t>
            </w:r>
          </w:p>
        </w:tc>
        <w:tc>
          <w:tcPr>
            <w:tcW w:type="dxa" w:w="1108"/>
          </w:tcPr>
          <w:p>
            <w:r>
              <w:rPr>
                <w:sz w:val="13"/>
              </w:rPr>
              <w:t>7.1</w:t>
            </w:r>
          </w:p>
        </w:tc>
        <w:tc>
          <w:tcPr>
            <w:tcW w:type="dxa" w:w="1108"/>
          </w:tcPr>
          <w:p>
            <w:r>
              <w:rPr>
                <w:sz w:val="13"/>
              </w:rPr>
              <w:t>83.0</w:t>
            </w:r>
          </w:p>
        </w:tc>
        <w:tc>
          <w:tcPr>
            <w:tcW w:type="dxa" w:w="1108"/>
          </w:tcPr>
          <w:p>
            <w:r>
              <w:rPr>
                <w:sz w:val="13"/>
              </w:rPr>
              <w:t>11.647</w:t>
            </w:r>
          </w:p>
        </w:tc>
        <w:tc>
          <w:tcPr>
            <w:tcW w:type="dxa" w:w="1108"/>
          </w:tcPr>
          <w:p>
            <w:r>
              <w:rPr>
                <w:sz w:val="13"/>
              </w:rPr>
              <w:t>ND : fy requis</w:t>
            </w:r>
          </w:p>
        </w:tc>
      </w:tr>
      <w:tr>
        <w:tc>
          <w:tcPr>
            <w:tcW w:type="dxa" w:w="1108"/>
          </w:tcPr>
          <w:p>
            <w:r>
              <w:rPr>
                <w:sz w:val="13"/>
              </w:rPr>
              <w:t>ISO 834</w:t>
            </w:r>
          </w:p>
        </w:tc>
        <w:tc>
          <w:tcPr>
            <w:tcW w:type="dxa" w:w="1108"/>
          </w:tcPr>
          <w:p>
            <w:r>
              <w:rPr>
                <w:sz w:val="13"/>
              </w:rPr>
              <w:t>120</w:t>
            </w:r>
          </w:p>
        </w:tc>
        <w:tc>
          <w:tcPr>
            <w:tcW w:type="dxa" w:w="1108"/>
          </w:tcPr>
          <w:p>
            <w:r>
              <w:rPr>
                <w:sz w:val="13"/>
              </w:rPr>
              <w:t>Câble principal clos</w:t>
            </w:r>
          </w:p>
        </w:tc>
        <w:tc>
          <w:tcPr>
            <w:tcW w:type="dxa" w:w="1108"/>
          </w:tcPr>
          <w:p>
            <w:r>
              <w:rPr>
                <w:sz w:val="13"/>
              </w:rPr>
              <w:t>1034.8</w:t>
            </w:r>
          </w:p>
        </w:tc>
        <w:tc>
          <w:tcPr>
            <w:tcW w:type="dxa" w:w="1108"/>
          </w:tcPr>
          <w:p>
            <w:r>
              <w:rPr>
                <w:sz w:val="13"/>
              </w:rPr>
              <w:t>0.037</w:t>
            </w:r>
          </w:p>
        </w:tc>
        <w:tc>
          <w:tcPr>
            <w:tcW w:type="dxa" w:w="1108"/>
          </w:tcPr>
          <w:p>
            <w:r>
              <w:rPr>
                <w:sz w:val="13"/>
              </w:rPr>
              <w:t>5.9</w:t>
            </w:r>
          </w:p>
        </w:tc>
        <w:tc>
          <w:tcPr>
            <w:tcW w:type="dxa" w:w="1108"/>
          </w:tcPr>
          <w:p>
            <w:r>
              <w:rPr>
                <w:sz w:val="13"/>
              </w:rPr>
              <w:t>241.1</w:t>
            </w:r>
          </w:p>
        </w:tc>
        <w:tc>
          <w:tcPr>
            <w:tcW w:type="dxa" w:w="1108"/>
          </w:tcPr>
          <w:p>
            <w:r>
              <w:rPr>
                <w:sz w:val="13"/>
              </w:rPr>
              <w:t>40.546</w:t>
            </w:r>
          </w:p>
        </w:tc>
        <w:tc>
          <w:tcPr>
            <w:tcW w:type="dxa" w:w="1108"/>
          </w:tcPr>
          <w:p>
            <w:r>
              <w:rPr>
                <w:sz w:val="13"/>
              </w:rPr>
              <w:t>ND : section métallique et fy requis</w:t>
            </w:r>
          </w:p>
        </w:tc>
      </w:tr>
      <w:tr>
        <w:tc>
          <w:tcPr>
            <w:tcW w:type="dxa" w:w="1108"/>
          </w:tcPr>
          <w:p>
            <w:r>
              <w:rPr>
                <w:sz w:val="13"/>
              </w:rPr>
              <w:t>Feu extérieur</w:t>
            </w:r>
          </w:p>
        </w:tc>
        <w:tc>
          <w:tcPr>
            <w:tcW w:type="dxa" w:w="1108"/>
          </w:tcPr>
          <w:p>
            <w:r>
              <w:rPr>
                <w:sz w:val="13"/>
              </w:rPr>
              <w:t>15</w:t>
            </w:r>
          </w:p>
        </w:tc>
        <w:tc>
          <w:tcPr>
            <w:tcW w:type="dxa" w:w="1108"/>
          </w:tcPr>
          <w:p>
            <w:r>
              <w:rPr>
                <w:sz w:val="13"/>
              </w:rPr>
              <w:t>Suspente secondaire</w:t>
            </w:r>
          </w:p>
        </w:tc>
        <w:tc>
          <w:tcPr>
            <w:tcW w:type="dxa" w:w="1108"/>
          </w:tcPr>
          <w:p>
            <w:r>
              <w:rPr>
                <w:sz w:val="13"/>
              </w:rPr>
              <w:t>491.7</w:t>
            </w:r>
          </w:p>
        </w:tc>
        <w:tc>
          <w:tcPr>
            <w:tcW w:type="dxa" w:w="1108"/>
          </w:tcPr>
          <w:p>
            <w:r>
              <w:rPr>
                <w:sz w:val="13"/>
              </w:rPr>
              <w:t>0.608</w:t>
            </w:r>
          </w:p>
        </w:tc>
        <w:tc>
          <w:tcPr>
            <w:tcW w:type="dxa" w:w="1108"/>
          </w:tcPr>
          <w:p>
            <w:r>
              <w:rPr>
                <w:sz w:val="13"/>
              </w:rPr>
              <w:t>124.7</w:t>
            </w:r>
          </w:p>
        </w:tc>
        <w:tc>
          <w:tcPr>
            <w:tcW w:type="dxa" w:w="1108"/>
          </w:tcPr>
          <w:p>
            <w:r>
              <w:rPr>
                <w:sz w:val="13"/>
              </w:rPr>
              <w:t>83.0</w:t>
            </w:r>
          </w:p>
        </w:tc>
        <w:tc>
          <w:tcPr>
            <w:tcW w:type="dxa" w:w="1108"/>
          </w:tcPr>
          <w:p>
            <w:r>
              <w:rPr>
                <w:sz w:val="13"/>
              </w:rPr>
              <w:t>0.666</w:t>
            </w:r>
          </w:p>
        </w:tc>
        <w:tc>
          <w:tcPr>
            <w:tcW w:type="dxa" w:w="1108"/>
          </w:tcPr>
          <w:p>
            <w:r>
              <w:rPr>
                <w:sz w:val="13"/>
              </w:rPr>
              <w:t>ND : fy requis</w:t>
            </w:r>
          </w:p>
        </w:tc>
      </w:tr>
      <w:tr>
        <w:tc>
          <w:tcPr>
            <w:tcW w:type="dxa" w:w="1108"/>
          </w:tcPr>
          <w:p>
            <w:r>
              <w:rPr>
                <w:sz w:val="13"/>
              </w:rPr>
              <w:t>Feu extérieur</w:t>
            </w:r>
          </w:p>
        </w:tc>
        <w:tc>
          <w:tcPr>
            <w:tcW w:type="dxa" w:w="1108"/>
          </w:tcPr>
          <w:p>
            <w:r>
              <w:rPr>
                <w:sz w:val="13"/>
              </w:rPr>
              <w:t>15</w:t>
            </w:r>
          </w:p>
        </w:tc>
        <w:tc>
          <w:tcPr>
            <w:tcW w:type="dxa" w:w="1108"/>
          </w:tcPr>
          <w:p>
            <w:r>
              <w:rPr>
                <w:sz w:val="13"/>
              </w:rPr>
              <w:t>Câble principal clos</w:t>
            </w:r>
          </w:p>
        </w:tc>
        <w:tc>
          <w:tcPr>
            <w:tcW w:type="dxa" w:w="1108"/>
          </w:tcPr>
          <w:p>
            <w:r>
              <w:rPr>
                <w:sz w:val="13"/>
              </w:rPr>
              <w:t>221.6</w:t>
            </w:r>
          </w:p>
        </w:tc>
        <w:tc>
          <w:tcPr>
            <w:tcW w:type="dxa" w:w="1108"/>
          </w:tcPr>
          <w:p>
            <w:r>
              <w:rPr>
                <w:sz w:val="13"/>
              </w:rPr>
              <w:t>0.878</w:t>
            </w:r>
          </w:p>
        </w:tc>
        <w:tc>
          <w:tcPr>
            <w:tcW w:type="dxa" w:w="1108"/>
          </w:tcPr>
          <w:p>
            <w:r>
              <w:rPr>
                <w:sz w:val="13"/>
              </w:rPr>
              <w:t>140.5</w:t>
            </w:r>
          </w:p>
        </w:tc>
        <w:tc>
          <w:tcPr>
            <w:tcW w:type="dxa" w:w="1108"/>
          </w:tcPr>
          <w:p>
            <w:r>
              <w:rPr>
                <w:sz w:val="13"/>
              </w:rPr>
              <w:t>241.1</w:t>
            </w:r>
          </w:p>
        </w:tc>
        <w:tc>
          <w:tcPr>
            <w:tcW w:type="dxa" w:w="1108"/>
          </w:tcPr>
          <w:p>
            <w:r>
              <w:rPr>
                <w:sz w:val="13"/>
              </w:rPr>
              <w:t>1.716</w:t>
            </w:r>
          </w:p>
        </w:tc>
        <w:tc>
          <w:tcPr>
            <w:tcW w:type="dxa" w:w="1108"/>
          </w:tcPr>
          <w:p>
            <w:r>
              <w:rPr>
                <w:sz w:val="13"/>
              </w:rPr>
              <w:t>ND : section métallique et fy requis</w:t>
            </w:r>
          </w:p>
        </w:tc>
      </w:tr>
      <w:tr>
        <w:tc>
          <w:tcPr>
            <w:tcW w:type="dxa" w:w="1108"/>
          </w:tcPr>
          <w:p>
            <w:r>
              <w:rPr>
                <w:sz w:val="13"/>
              </w:rPr>
              <w:t>Feu extérieur</w:t>
            </w:r>
          </w:p>
        </w:tc>
        <w:tc>
          <w:tcPr>
            <w:tcW w:type="dxa" w:w="1108"/>
          </w:tcPr>
          <w:p>
            <w:r>
              <w:rPr>
                <w:sz w:val="13"/>
              </w:rPr>
              <w:t>30</w:t>
            </w:r>
          </w:p>
        </w:tc>
        <w:tc>
          <w:tcPr>
            <w:tcW w:type="dxa" w:w="1108"/>
          </w:tcPr>
          <w:p>
            <w:r>
              <w:rPr>
                <w:sz w:val="13"/>
              </w:rPr>
              <w:t>Suspente secondaire</w:t>
            </w:r>
          </w:p>
        </w:tc>
        <w:tc>
          <w:tcPr>
            <w:tcW w:type="dxa" w:w="1108"/>
          </w:tcPr>
          <w:p>
            <w:r>
              <w:rPr>
                <w:sz w:val="13"/>
              </w:rPr>
              <w:t>648.4</w:t>
            </w:r>
          </w:p>
        </w:tc>
        <w:tc>
          <w:tcPr>
            <w:tcW w:type="dxa" w:w="1108"/>
          </w:tcPr>
          <w:p>
            <w:r>
              <w:rPr>
                <w:sz w:val="13"/>
              </w:rPr>
              <w:t>0.223</w:t>
            </w:r>
          </w:p>
        </w:tc>
        <w:tc>
          <w:tcPr>
            <w:tcW w:type="dxa" w:w="1108"/>
          </w:tcPr>
          <w:p>
            <w:r>
              <w:rPr>
                <w:sz w:val="13"/>
              </w:rPr>
              <w:t>45.7</w:t>
            </w:r>
          </w:p>
        </w:tc>
        <w:tc>
          <w:tcPr>
            <w:tcW w:type="dxa" w:w="1108"/>
          </w:tcPr>
          <w:p>
            <w:r>
              <w:rPr>
                <w:sz w:val="13"/>
              </w:rPr>
              <w:t>83.0</w:t>
            </w:r>
          </w:p>
        </w:tc>
        <w:tc>
          <w:tcPr>
            <w:tcW w:type="dxa" w:w="1108"/>
          </w:tcPr>
          <w:p>
            <w:r>
              <w:rPr>
                <w:sz w:val="13"/>
              </w:rPr>
              <w:t>1.816</w:t>
            </w:r>
          </w:p>
        </w:tc>
        <w:tc>
          <w:tcPr>
            <w:tcW w:type="dxa" w:w="1108"/>
          </w:tcPr>
          <w:p>
            <w:r>
              <w:rPr>
                <w:sz w:val="13"/>
              </w:rPr>
              <w:t>ND : fy requis</w:t>
            </w:r>
          </w:p>
        </w:tc>
      </w:tr>
      <w:tr>
        <w:tc>
          <w:tcPr>
            <w:tcW w:type="dxa" w:w="1108"/>
          </w:tcPr>
          <w:p>
            <w:r>
              <w:rPr>
                <w:sz w:val="13"/>
              </w:rPr>
              <w:t>Feu extérieur</w:t>
            </w:r>
          </w:p>
        </w:tc>
        <w:tc>
          <w:tcPr>
            <w:tcW w:type="dxa" w:w="1108"/>
          </w:tcPr>
          <w:p>
            <w:r>
              <w:rPr>
                <w:sz w:val="13"/>
              </w:rPr>
              <w:t>30</w:t>
            </w:r>
          </w:p>
        </w:tc>
        <w:tc>
          <w:tcPr>
            <w:tcW w:type="dxa" w:w="1108"/>
          </w:tcPr>
          <w:p>
            <w:r>
              <w:rPr>
                <w:sz w:val="13"/>
              </w:rPr>
              <w:t>Câble principal clos</w:t>
            </w:r>
          </w:p>
        </w:tc>
        <w:tc>
          <w:tcPr>
            <w:tcW w:type="dxa" w:w="1108"/>
          </w:tcPr>
          <w:p>
            <w:r>
              <w:rPr>
                <w:sz w:val="13"/>
              </w:rPr>
              <w:t>402.9</w:t>
            </w:r>
          </w:p>
        </w:tc>
        <w:tc>
          <w:tcPr>
            <w:tcW w:type="dxa" w:w="1108"/>
          </w:tcPr>
          <w:p>
            <w:r>
              <w:rPr>
                <w:sz w:val="13"/>
              </w:rPr>
              <w:t>0.697</w:t>
            </w:r>
          </w:p>
        </w:tc>
        <w:tc>
          <w:tcPr>
            <w:tcW w:type="dxa" w:w="1108"/>
          </w:tcPr>
          <w:p>
            <w:r>
              <w:rPr>
                <w:sz w:val="13"/>
              </w:rPr>
              <w:t>111.5</w:t>
            </w:r>
          </w:p>
        </w:tc>
        <w:tc>
          <w:tcPr>
            <w:tcW w:type="dxa" w:w="1108"/>
          </w:tcPr>
          <w:p>
            <w:r>
              <w:rPr>
                <w:sz w:val="13"/>
              </w:rPr>
              <w:t>241.1</w:t>
            </w:r>
          </w:p>
        </w:tc>
        <w:tc>
          <w:tcPr>
            <w:tcW w:type="dxa" w:w="1108"/>
          </w:tcPr>
          <w:p>
            <w:r>
              <w:rPr>
                <w:sz w:val="13"/>
              </w:rPr>
              <w:t>2.162</w:t>
            </w:r>
          </w:p>
        </w:tc>
        <w:tc>
          <w:tcPr>
            <w:tcW w:type="dxa" w:w="1108"/>
          </w:tcPr>
          <w:p>
            <w:r>
              <w:rPr>
                <w:sz w:val="13"/>
              </w:rPr>
              <w:t>ND : section métallique et fy requis</w:t>
            </w:r>
          </w:p>
        </w:tc>
      </w:tr>
      <w:tr>
        <w:tc>
          <w:tcPr>
            <w:tcW w:type="dxa" w:w="1108"/>
          </w:tcPr>
          <w:p>
            <w:r>
              <w:rPr>
                <w:sz w:val="13"/>
              </w:rPr>
              <w:t>Feu extérieur</w:t>
            </w:r>
          </w:p>
        </w:tc>
        <w:tc>
          <w:tcPr>
            <w:tcW w:type="dxa" w:w="1108"/>
          </w:tcPr>
          <w:p>
            <w:r>
              <w:rPr>
                <w:sz w:val="13"/>
              </w:rPr>
              <w:t>60</w:t>
            </w:r>
          </w:p>
        </w:tc>
        <w:tc>
          <w:tcPr>
            <w:tcW w:type="dxa" w:w="1108"/>
          </w:tcPr>
          <w:p>
            <w:r>
              <w:rPr>
                <w:sz w:val="13"/>
              </w:rPr>
              <w:t>Suspente secondaire</w:t>
            </w:r>
          </w:p>
        </w:tc>
        <w:tc>
          <w:tcPr>
            <w:tcW w:type="dxa" w:w="1108"/>
          </w:tcPr>
          <w:p>
            <w:r>
              <w:rPr>
                <w:sz w:val="13"/>
              </w:rPr>
              <w:t>679.0</w:t>
            </w:r>
          </w:p>
        </w:tc>
        <w:tc>
          <w:tcPr>
            <w:tcW w:type="dxa" w:w="1108"/>
          </w:tcPr>
          <w:p>
            <w:r>
              <w:rPr>
                <w:sz w:val="13"/>
              </w:rPr>
              <w:t>0.168</w:t>
            </w:r>
          </w:p>
        </w:tc>
        <w:tc>
          <w:tcPr>
            <w:tcW w:type="dxa" w:w="1108"/>
          </w:tcPr>
          <w:p>
            <w:r>
              <w:rPr>
                <w:sz w:val="13"/>
              </w:rPr>
              <w:t>34.4</w:t>
            </w:r>
          </w:p>
        </w:tc>
        <w:tc>
          <w:tcPr>
            <w:tcW w:type="dxa" w:w="1108"/>
          </w:tcPr>
          <w:p>
            <w:r>
              <w:rPr>
                <w:sz w:val="13"/>
              </w:rPr>
              <w:t>83.0</w:t>
            </w:r>
          </w:p>
        </w:tc>
        <w:tc>
          <w:tcPr>
            <w:tcW w:type="dxa" w:w="1108"/>
          </w:tcPr>
          <w:p>
            <w:r>
              <w:rPr>
                <w:sz w:val="13"/>
              </w:rPr>
              <w:t>2.413</w:t>
            </w:r>
          </w:p>
        </w:tc>
        <w:tc>
          <w:tcPr>
            <w:tcW w:type="dxa" w:w="1108"/>
          </w:tcPr>
          <w:p>
            <w:r>
              <w:rPr>
                <w:sz w:val="13"/>
              </w:rPr>
              <w:t>ND : fy requis</w:t>
            </w:r>
          </w:p>
        </w:tc>
      </w:tr>
      <w:tr>
        <w:tc>
          <w:tcPr>
            <w:tcW w:type="dxa" w:w="1108"/>
          </w:tcPr>
          <w:p>
            <w:r>
              <w:rPr>
                <w:sz w:val="13"/>
              </w:rPr>
              <w:t>Feu extérieur</w:t>
            </w:r>
          </w:p>
        </w:tc>
        <w:tc>
          <w:tcPr>
            <w:tcW w:type="dxa" w:w="1108"/>
          </w:tcPr>
          <w:p>
            <w:r>
              <w:rPr>
                <w:sz w:val="13"/>
              </w:rPr>
              <w:t>60</w:t>
            </w:r>
          </w:p>
        </w:tc>
        <w:tc>
          <w:tcPr>
            <w:tcW w:type="dxa" w:w="1108"/>
          </w:tcPr>
          <w:p>
            <w:r>
              <w:rPr>
                <w:sz w:val="13"/>
              </w:rPr>
              <w:t>Câble principal clos</w:t>
            </w:r>
          </w:p>
        </w:tc>
        <w:tc>
          <w:tcPr>
            <w:tcW w:type="dxa" w:w="1108"/>
          </w:tcPr>
          <w:p>
            <w:r>
              <w:rPr>
                <w:sz w:val="13"/>
              </w:rPr>
              <w:t>584.6</w:t>
            </w:r>
          </w:p>
        </w:tc>
        <w:tc>
          <w:tcPr>
            <w:tcW w:type="dxa" w:w="1108"/>
          </w:tcPr>
          <w:p>
            <w:r>
              <w:rPr>
                <w:sz w:val="13"/>
              </w:rPr>
              <w:t>0.355</w:t>
            </w:r>
          </w:p>
        </w:tc>
        <w:tc>
          <w:tcPr>
            <w:tcW w:type="dxa" w:w="1108"/>
          </w:tcPr>
          <w:p>
            <w:r>
              <w:rPr>
                <w:sz w:val="13"/>
              </w:rPr>
              <w:t>56.7</w:t>
            </w:r>
          </w:p>
        </w:tc>
        <w:tc>
          <w:tcPr>
            <w:tcW w:type="dxa" w:w="1108"/>
          </w:tcPr>
          <w:p>
            <w:r>
              <w:rPr>
                <w:sz w:val="13"/>
              </w:rPr>
              <w:t>241.1</w:t>
            </w:r>
          </w:p>
        </w:tc>
        <w:tc>
          <w:tcPr>
            <w:tcW w:type="dxa" w:w="1108"/>
          </w:tcPr>
          <w:p>
            <w:r>
              <w:rPr>
                <w:sz w:val="13"/>
              </w:rPr>
              <w:t>4.25</w:t>
            </w:r>
          </w:p>
        </w:tc>
        <w:tc>
          <w:tcPr>
            <w:tcW w:type="dxa" w:w="1108"/>
          </w:tcPr>
          <w:p>
            <w:r>
              <w:rPr>
                <w:sz w:val="13"/>
              </w:rPr>
              <w:t>ND : section métallique et fy requis</w:t>
            </w:r>
          </w:p>
        </w:tc>
      </w:tr>
      <w:tr>
        <w:tc>
          <w:tcPr>
            <w:tcW w:type="dxa" w:w="1108"/>
          </w:tcPr>
          <w:p>
            <w:r>
              <w:rPr>
                <w:sz w:val="13"/>
              </w:rPr>
              <w:t>Feu extérieur</w:t>
            </w:r>
          </w:p>
        </w:tc>
        <w:tc>
          <w:tcPr>
            <w:tcW w:type="dxa" w:w="1108"/>
          </w:tcPr>
          <w:p>
            <w:r>
              <w:rPr>
                <w:sz w:val="13"/>
              </w:rPr>
              <w:t>90</w:t>
            </w:r>
          </w:p>
        </w:tc>
        <w:tc>
          <w:tcPr>
            <w:tcW w:type="dxa" w:w="1108"/>
          </w:tcPr>
          <w:p>
            <w:r>
              <w:rPr>
                <w:sz w:val="13"/>
              </w:rPr>
              <w:t>Suspente secondaire</w:t>
            </w:r>
          </w:p>
        </w:tc>
        <w:tc>
          <w:tcPr>
            <w:tcW w:type="dxa" w:w="1108"/>
          </w:tcPr>
          <w:p>
            <w:r>
              <w:rPr>
                <w:sz w:val="13"/>
              </w:rPr>
              <w:t>680.0</w:t>
            </w:r>
          </w:p>
        </w:tc>
        <w:tc>
          <w:tcPr>
            <w:tcW w:type="dxa" w:w="1108"/>
          </w:tcPr>
          <w:p>
            <w:r>
              <w:rPr>
                <w:sz w:val="13"/>
              </w:rPr>
              <w:t>0.166</w:t>
            </w:r>
          </w:p>
        </w:tc>
        <w:tc>
          <w:tcPr>
            <w:tcW w:type="dxa" w:w="1108"/>
          </w:tcPr>
          <w:p>
            <w:r>
              <w:rPr>
                <w:sz w:val="13"/>
              </w:rPr>
              <w:t>34.0</w:t>
            </w:r>
          </w:p>
        </w:tc>
        <w:tc>
          <w:tcPr>
            <w:tcW w:type="dxa" w:w="1108"/>
          </w:tcPr>
          <w:p>
            <w:r>
              <w:rPr>
                <w:sz w:val="13"/>
              </w:rPr>
              <w:t>83.0</w:t>
            </w:r>
          </w:p>
        </w:tc>
        <w:tc>
          <w:tcPr>
            <w:tcW w:type="dxa" w:w="1108"/>
          </w:tcPr>
          <w:p>
            <w:r>
              <w:rPr>
                <w:sz w:val="13"/>
              </w:rPr>
              <w:t>2.438</w:t>
            </w:r>
          </w:p>
        </w:tc>
        <w:tc>
          <w:tcPr>
            <w:tcW w:type="dxa" w:w="1108"/>
          </w:tcPr>
          <w:p>
            <w:r>
              <w:rPr>
                <w:sz w:val="13"/>
              </w:rPr>
              <w:t>ND : fy requis</w:t>
            </w:r>
          </w:p>
        </w:tc>
      </w:tr>
      <w:tr>
        <w:tc>
          <w:tcPr>
            <w:tcW w:type="dxa" w:w="1108"/>
          </w:tcPr>
          <w:p>
            <w:r>
              <w:rPr>
                <w:sz w:val="13"/>
              </w:rPr>
              <w:t>Feu extérieur</w:t>
            </w:r>
          </w:p>
        </w:tc>
        <w:tc>
          <w:tcPr>
            <w:tcW w:type="dxa" w:w="1108"/>
          </w:tcPr>
          <w:p>
            <w:r>
              <w:rPr>
                <w:sz w:val="13"/>
              </w:rPr>
              <w:t>90</w:t>
            </w:r>
          </w:p>
        </w:tc>
        <w:tc>
          <w:tcPr>
            <w:tcW w:type="dxa" w:w="1108"/>
          </w:tcPr>
          <w:p>
            <w:r>
              <w:rPr>
                <w:sz w:val="13"/>
              </w:rPr>
              <w:t>Câble principal clos</w:t>
            </w:r>
          </w:p>
        </w:tc>
        <w:tc>
          <w:tcPr>
            <w:tcW w:type="dxa" w:w="1108"/>
          </w:tcPr>
          <w:p>
            <w:r>
              <w:rPr>
                <w:sz w:val="13"/>
              </w:rPr>
              <w:t>647.1</w:t>
            </w:r>
          </w:p>
        </w:tc>
        <w:tc>
          <w:tcPr>
            <w:tcW w:type="dxa" w:w="1108"/>
          </w:tcPr>
          <w:p>
            <w:r>
              <w:rPr>
                <w:sz w:val="13"/>
              </w:rPr>
              <w:t>0.225</w:t>
            </w:r>
          </w:p>
        </w:tc>
        <w:tc>
          <w:tcPr>
            <w:tcW w:type="dxa" w:w="1108"/>
          </w:tcPr>
          <w:p>
            <w:r>
              <w:rPr>
                <w:sz w:val="13"/>
              </w:rPr>
              <w:t>36.0</w:t>
            </w:r>
          </w:p>
        </w:tc>
        <w:tc>
          <w:tcPr>
            <w:tcW w:type="dxa" w:w="1108"/>
          </w:tcPr>
          <w:p>
            <w:r>
              <w:rPr>
                <w:sz w:val="13"/>
              </w:rPr>
              <w:t>241.1</w:t>
            </w:r>
          </w:p>
        </w:tc>
        <w:tc>
          <w:tcPr>
            <w:tcW w:type="dxa" w:w="1108"/>
          </w:tcPr>
          <w:p>
            <w:r>
              <w:rPr>
                <w:sz w:val="13"/>
              </w:rPr>
              <w:t>6.691</w:t>
            </w:r>
          </w:p>
        </w:tc>
        <w:tc>
          <w:tcPr>
            <w:tcW w:type="dxa" w:w="1108"/>
          </w:tcPr>
          <w:p>
            <w:r>
              <w:rPr>
                <w:sz w:val="13"/>
              </w:rPr>
              <w:t>ND : section métallique et fy requis</w:t>
            </w:r>
          </w:p>
        </w:tc>
      </w:tr>
      <w:tr>
        <w:tc>
          <w:tcPr>
            <w:tcW w:type="dxa" w:w="1108"/>
          </w:tcPr>
          <w:p>
            <w:r>
              <w:rPr>
                <w:sz w:val="13"/>
              </w:rPr>
              <w:t>Feu extérieur</w:t>
            </w:r>
          </w:p>
        </w:tc>
        <w:tc>
          <w:tcPr>
            <w:tcW w:type="dxa" w:w="1108"/>
          </w:tcPr>
          <w:p>
            <w:r>
              <w:rPr>
                <w:sz w:val="13"/>
              </w:rPr>
              <w:t>120</w:t>
            </w:r>
          </w:p>
        </w:tc>
        <w:tc>
          <w:tcPr>
            <w:tcW w:type="dxa" w:w="1108"/>
          </w:tcPr>
          <w:p>
            <w:r>
              <w:rPr>
                <w:sz w:val="13"/>
              </w:rPr>
              <w:t>Suspente secondaire</w:t>
            </w:r>
          </w:p>
        </w:tc>
        <w:tc>
          <w:tcPr>
            <w:tcW w:type="dxa" w:w="1108"/>
          </w:tcPr>
          <w:p>
            <w:r>
              <w:rPr>
                <w:sz w:val="13"/>
              </w:rPr>
              <w:t>680.0</w:t>
            </w:r>
          </w:p>
        </w:tc>
        <w:tc>
          <w:tcPr>
            <w:tcW w:type="dxa" w:w="1108"/>
          </w:tcPr>
          <w:p>
            <w:r>
              <w:rPr>
                <w:sz w:val="13"/>
              </w:rPr>
              <w:t>0.166</w:t>
            </w:r>
          </w:p>
        </w:tc>
        <w:tc>
          <w:tcPr>
            <w:tcW w:type="dxa" w:w="1108"/>
          </w:tcPr>
          <w:p>
            <w:r>
              <w:rPr>
                <w:sz w:val="13"/>
              </w:rPr>
              <w:t>34.0</w:t>
            </w:r>
          </w:p>
        </w:tc>
        <w:tc>
          <w:tcPr>
            <w:tcW w:type="dxa" w:w="1108"/>
          </w:tcPr>
          <w:p>
            <w:r>
              <w:rPr>
                <w:sz w:val="13"/>
              </w:rPr>
              <w:t>83.0</w:t>
            </w:r>
          </w:p>
        </w:tc>
        <w:tc>
          <w:tcPr>
            <w:tcW w:type="dxa" w:w="1108"/>
          </w:tcPr>
          <w:p>
            <w:r>
              <w:rPr>
                <w:sz w:val="13"/>
              </w:rPr>
              <w:t>2.439</w:t>
            </w:r>
          </w:p>
        </w:tc>
        <w:tc>
          <w:tcPr>
            <w:tcW w:type="dxa" w:w="1108"/>
          </w:tcPr>
          <w:p>
            <w:r>
              <w:rPr>
                <w:sz w:val="13"/>
              </w:rPr>
              <w:t>ND : fy requis</w:t>
            </w:r>
          </w:p>
        </w:tc>
      </w:tr>
      <w:tr>
        <w:tc>
          <w:tcPr>
            <w:tcW w:type="dxa" w:w="1108"/>
          </w:tcPr>
          <w:p>
            <w:r>
              <w:rPr>
                <w:sz w:val="13"/>
              </w:rPr>
              <w:t>Feu extérieur</w:t>
            </w:r>
          </w:p>
        </w:tc>
        <w:tc>
          <w:tcPr>
            <w:tcW w:type="dxa" w:w="1108"/>
          </w:tcPr>
          <w:p>
            <w:r>
              <w:rPr>
                <w:sz w:val="13"/>
              </w:rPr>
              <w:t>120</w:t>
            </w:r>
          </w:p>
        </w:tc>
        <w:tc>
          <w:tcPr>
            <w:tcW w:type="dxa" w:w="1108"/>
          </w:tcPr>
          <w:p>
            <w:r>
              <w:rPr>
                <w:sz w:val="13"/>
              </w:rPr>
              <w:t>Câble principal clos</w:t>
            </w:r>
          </w:p>
        </w:tc>
        <w:tc>
          <w:tcPr>
            <w:tcW w:type="dxa" w:w="1108"/>
          </w:tcPr>
          <w:p>
            <w:r>
              <w:rPr>
                <w:sz w:val="13"/>
              </w:rPr>
              <w:t>668.4</w:t>
            </w:r>
          </w:p>
        </w:tc>
        <w:tc>
          <w:tcPr>
            <w:tcW w:type="dxa" w:w="1108"/>
          </w:tcPr>
          <w:p>
            <w:r>
              <w:rPr>
                <w:sz w:val="13"/>
              </w:rPr>
              <w:t>0.187</w:t>
            </w:r>
          </w:p>
        </w:tc>
        <w:tc>
          <w:tcPr>
            <w:tcW w:type="dxa" w:w="1108"/>
          </w:tcPr>
          <w:p>
            <w:r>
              <w:rPr>
                <w:sz w:val="13"/>
              </w:rPr>
              <w:t>29.9</w:t>
            </w:r>
          </w:p>
        </w:tc>
        <w:tc>
          <w:tcPr>
            <w:tcW w:type="dxa" w:w="1108"/>
          </w:tcPr>
          <w:p>
            <w:r>
              <w:rPr>
                <w:sz w:val="13"/>
              </w:rPr>
              <w:t>241.1</w:t>
            </w:r>
          </w:p>
        </w:tc>
        <w:tc>
          <w:tcPr>
            <w:tcW w:type="dxa" w:w="1108"/>
          </w:tcPr>
          <w:p>
            <w:r>
              <w:rPr>
                <w:sz w:val="13"/>
              </w:rPr>
              <w:t>8.066</w:t>
            </w:r>
          </w:p>
        </w:tc>
        <w:tc>
          <w:tcPr>
            <w:tcW w:type="dxa" w:w="1108"/>
          </w:tcPr>
          <w:p>
            <w:r>
              <w:rPr>
                <w:sz w:val="13"/>
              </w:rPr>
              <w:t>ND : section métallique et fy requis</w:t>
            </w:r>
          </w:p>
        </w:tc>
      </w:tr>
    </w:tbl>
    <w:p>
      <w:r>
        <w:t>Temps maximal justifié par organe et par feu : non déterminable à ce stade. Le calcul exige la résistance caractéristique des aciers et, pour le câble clos, la section métallique résistante réelle. Le tableau montre néanmoins la dégradation rapide de la rigidité et fournit les données nécessaires à la prochaine vérification.</w:t>
      </w:r>
    </w:p>
    <w:p>
      <w:pPr>
        <w:pStyle w:val="Heading1"/>
      </w:pPr>
      <w:r>
        <w:t>9. Portée et limites</w:t>
      </w:r>
    </w:p>
    <w:p>
      <w:r>
        <w:t>L’approche du présent rapport constitue une évaluation thermique enveloppe. Le choix d’un facteur de forme prudent et l’absence de crédit explicite pour les masquages placent le calcul du côté de la sécurité pour les configurations considérées. Un affinage géométrique pourra ultérieurement mieux différencier les positions et quantifier les effets favorables éventuels.</w:t>
      </w:r>
    </w:p>
    <w:p>
      <w:r>
        <w:t>Pour les suspentes, l’approche considère actuellement une exposition directe sans protection. Or, leur naissance est partiellement située derrière le bec du tablier, qui peut produire un effet de masque vis-à-vis d’une partie du rayonnement. Cette hypothèse est donc prudente et pourra être affinée. Elle ne permet toutefois pas d’écarter une exposition significative, puisqu’un foyer étendu peut également rayonner latéralement vers les suspentes.</w:t>
      </w:r>
    </w:p>
    <w:p>
      <w:r>
        <w:t>Le scénario ne couvre pas un feu de citerne, car le présent rapport n’étudie pas la courbe HC ; voir le § 3 « Choix de la courbe de feu ».</w:t>
      </w:r>
    </w:p>
    <w:p>
      <w:r>
        <w:br w:type="page"/>
      </w:r>
    </w:p>
    <w:p>
      <w:pPr>
        <w:pStyle w:val="Heading1"/>
      </w:pPr>
      <w:r>
        <w:t>Annexe A - Calcul détaillé du cas critique à 30 min</w:t>
      </w:r>
    </w:p>
    <w:tbl>
      <w:tblPr>
        <w:tblStyle w:val="TableGrid"/>
        <w:tblW w:type="auto" w:w="0"/>
        <w:tblLook w:firstColumn="1" w:firstRow="1" w:lastColumn="0" w:lastRow="0" w:noHBand="0" w:noVBand="1" w:val="04A0"/>
      </w:tblPr>
      <w:tblGrid>
        <w:gridCol w:w="4986"/>
        <w:gridCol w:w="4986"/>
      </w:tblGrid>
      <w:tr>
        <w:tc>
          <w:tcPr>
            <w:tcW w:type="dxa" w:w="4986"/>
          </w:tcPr>
          <w:p>
            <w:r>
              <w:rPr>
                <w:sz w:val="16"/>
              </w:rPr>
              <w:t>Étape</w:t>
            </w:r>
          </w:p>
        </w:tc>
        <w:tc>
          <w:tcPr>
            <w:tcW w:type="dxa" w:w="4986"/>
          </w:tcPr>
          <w:p>
            <w:r>
              <w:rPr>
                <w:sz w:val="16"/>
              </w:rPr>
              <w:t>Opération</w:t>
            </w:r>
          </w:p>
        </w:tc>
      </w:tr>
      <w:tr>
        <w:tc>
          <w:tcPr>
            <w:tcW w:type="dxa" w:w="4986"/>
          </w:tcPr>
          <w:p>
            <w:r>
              <w:rPr>
                <w:sz w:val="16"/>
              </w:rPr>
              <w:t>1</w:t>
            </w:r>
          </w:p>
        </w:tc>
        <w:tc>
          <w:tcPr>
            <w:tcW w:type="dxa" w:w="4986"/>
          </w:tcPr>
          <w:p>
            <w:r>
              <w:rPr>
                <w:sz w:val="16"/>
              </w:rPr>
              <w:t>Lecture de θa,i</w:t>
            </w:r>
          </w:p>
        </w:tc>
      </w:tr>
      <w:tr>
        <w:tc>
          <w:tcPr>
            <w:tcW w:type="dxa" w:w="4986"/>
          </w:tcPr>
          <w:p>
            <w:r>
              <w:rPr>
                <w:sz w:val="16"/>
              </w:rPr>
              <w:t>2</w:t>
            </w:r>
          </w:p>
        </w:tc>
        <w:tc>
          <w:tcPr>
            <w:tcW w:type="dxa" w:w="4986"/>
          </w:tcPr>
          <w:p>
            <w:r>
              <w:rPr>
                <w:sz w:val="16"/>
              </w:rPr>
              <w:t>Calcul de ca(θa,i)</w:t>
            </w:r>
          </w:p>
        </w:tc>
      </w:tr>
      <w:tr>
        <w:tc>
          <w:tcPr>
            <w:tcW w:type="dxa" w:w="4986"/>
          </w:tcPr>
          <w:p>
            <w:r>
              <w:rPr>
                <w:sz w:val="16"/>
              </w:rPr>
              <w:t>3</w:t>
            </w:r>
          </w:p>
        </w:tc>
        <w:tc>
          <w:tcPr>
            <w:tcW w:type="dxa" w:w="4986"/>
          </w:tcPr>
          <w:p>
            <w:r>
              <w:rPr>
                <w:sz w:val="16"/>
              </w:rPr>
              <w:t>Calcul des flux</w:t>
            </w:r>
          </w:p>
        </w:tc>
      </w:tr>
      <w:tr>
        <w:tc>
          <w:tcPr>
            <w:tcW w:type="dxa" w:w="4986"/>
          </w:tcPr>
          <w:p>
            <w:r>
              <w:rPr>
                <w:sz w:val="16"/>
              </w:rPr>
              <w:t>4</w:t>
            </w:r>
          </w:p>
        </w:tc>
        <w:tc>
          <w:tcPr>
            <w:tcW w:type="dxa" w:w="4986"/>
          </w:tcPr>
          <w:p>
            <w:r>
              <w:rPr>
                <w:sz w:val="16"/>
              </w:rPr>
              <w:t>Calcul de Δθa,i</w:t>
            </w:r>
          </w:p>
        </w:tc>
      </w:tr>
      <w:tr>
        <w:tc>
          <w:tcPr>
            <w:tcW w:type="dxa" w:w="4986"/>
          </w:tcPr>
          <w:p>
            <w:r>
              <w:rPr>
                <w:sz w:val="16"/>
              </w:rPr>
              <w:t>5</w:t>
            </w:r>
          </w:p>
        </w:tc>
        <w:tc>
          <w:tcPr>
            <w:tcW w:type="dxa" w:w="4986"/>
          </w:tcPr>
          <w:p>
            <w:r>
              <w:rPr>
                <w:sz w:val="16"/>
              </w:rPr>
              <w:t>Mise à jour θa,i+1</w:t>
            </w:r>
          </w:p>
        </w:tc>
      </w:tr>
      <w:tr>
        <w:tc>
          <w:tcPr>
            <w:tcW w:type="dxa" w:w="4986"/>
          </w:tcPr>
          <w:p>
            <w:r>
              <w:rPr>
                <w:sz w:val="16"/>
              </w:rPr>
              <w:t>6</w:t>
            </w:r>
          </w:p>
        </w:tc>
        <w:tc>
          <w:tcPr>
            <w:tcW w:type="dxa" w:w="4986"/>
          </w:tcPr>
          <w:p>
            <w:r>
              <w:rPr>
                <w:sz w:val="16"/>
              </w:rPr>
              <w:t>Répétition jusqu’à 120 min</w:t>
            </w:r>
          </w:p>
        </w:tc>
      </w:tr>
    </w:tbl>
    <w:p>
      <w:pPr>
        <w:jc w:val="center"/>
      </w:pPr>
      <w:r>
        <w:drawing>
          <wp:inline xmlns:a="http://schemas.openxmlformats.org/drawingml/2006/main" xmlns:pic="http://schemas.openxmlformats.org/drawingml/2006/picture">
            <wp:extent cx="5580000" cy="2890440"/>
            <wp:docPr id="11" name="Picture 11"/>
            <wp:cNvGraphicFramePr>
              <a:graphicFrameLocks noChangeAspect="1"/>
            </wp:cNvGraphicFramePr>
            <a:graphic>
              <a:graphicData uri="http://schemas.openxmlformats.org/drawingml/2006/picture">
                <pic:pic>
                  <pic:nvPicPr>
                    <pic:cNvPr id="0" name="integration.png"/>
                    <pic:cNvPicPr/>
                  </pic:nvPicPr>
                  <pic:blipFill>
                    <a:blip r:embed="rId19"/>
                    <a:stretch>
                      <a:fillRect/>
                    </a:stretch>
                  </pic:blipFill>
                  <pic:spPr>
                    <a:xfrm>
                      <a:off x="0" y="0"/>
                      <a:ext cx="5580000" cy="2890440"/>
                    </a:xfrm>
                    <a:prstGeom prst="rect"/>
                  </pic:spPr>
                </pic:pic>
              </a:graphicData>
            </a:graphic>
          </wp:inline>
        </w:drawing>
      </w:r>
    </w:p>
    <w:p>
      <w:pPr>
        <w:pStyle w:val="Caption"/>
        <w:jc w:val="center"/>
      </w:pPr>
      <w:r>
        <w:t>Figure A.1 - Intégration temporelle du cas critique.</w:t>
      </w:r>
    </w:p>
    <w:tbl>
      <w:tblPr>
        <w:tblStyle w:val="TableGrid"/>
        <w:tblW w:type="auto" w:w="0"/>
        <w:tblLook w:firstColumn="1" w:firstRow="1" w:lastColumn="0" w:lastRow="0" w:noHBand="0" w:noVBand="1" w:val="04A0"/>
      </w:tblPr>
      <w:tblGrid>
        <w:gridCol w:w="4986"/>
        <w:gridCol w:w="4986"/>
      </w:tblGrid>
      <w:tr>
        <w:tc>
          <w:tcPr>
            <w:tcW w:type="dxa" w:w="4986"/>
          </w:tcPr>
          <w:p>
            <w:r>
              <w:rPr>
                <w:sz w:val="16"/>
              </w:rPr>
              <w:t>Grandeur</w:t>
            </w:r>
          </w:p>
        </w:tc>
        <w:tc>
          <w:tcPr>
            <w:tcW w:type="dxa" w:w="4986"/>
          </w:tcPr>
          <w:p>
            <w:r>
              <w:rPr>
                <w:sz w:val="16"/>
              </w:rPr>
              <w:t>Valeur</w:t>
            </w:r>
          </w:p>
        </w:tc>
      </w:tr>
      <w:tr>
        <w:tc>
          <w:tcPr>
            <w:tcW w:type="dxa" w:w="4986"/>
          </w:tcPr>
          <w:p>
            <w:r>
              <w:rPr>
                <w:sz w:val="16"/>
              </w:rPr>
              <w:t>Cas</w:t>
            </w:r>
          </w:p>
        </w:tc>
        <w:tc>
          <w:tcPr>
            <w:tcW w:type="dxa" w:w="4986"/>
          </w:tcPr>
          <w:p>
            <w:r>
              <w:rPr>
                <w:sz w:val="16"/>
              </w:rPr>
              <w:t>ISO 834 - F1 - 20 m</w:t>
            </w:r>
          </w:p>
        </w:tc>
      </w:tr>
      <w:tr>
        <w:tc>
          <w:tcPr>
            <w:tcW w:type="dxa" w:w="4986"/>
          </w:tcPr>
          <w:p>
            <w:r>
              <w:rPr>
                <w:sz w:val="16"/>
              </w:rPr>
              <w:t>Température suspente à 30 min</w:t>
            </w:r>
          </w:p>
        </w:tc>
        <w:tc>
          <w:tcPr>
            <w:tcW w:type="dxa" w:w="4986"/>
          </w:tcPr>
          <w:p>
            <w:r>
              <w:rPr>
                <w:sz w:val="16"/>
              </w:rPr>
              <w:t>742.11 °C</w:t>
            </w:r>
          </w:p>
        </w:tc>
      </w:tr>
      <w:tr>
        <w:tc>
          <w:tcPr>
            <w:tcW w:type="dxa" w:w="4986"/>
          </w:tcPr>
          <w:p>
            <w:r>
              <w:rPr>
                <w:sz w:val="16"/>
              </w:rPr>
              <w:t>Température câble à 30 min</w:t>
            </w:r>
          </w:p>
        </w:tc>
        <w:tc>
          <w:tcPr>
            <w:tcW w:type="dxa" w:w="4986"/>
          </w:tcPr>
          <w:p>
            <w:r>
              <w:rPr>
                <w:sz w:val="16"/>
              </w:rPr>
              <w:t>492.87 °C</w:t>
            </w:r>
          </w:p>
        </w:tc>
      </w:tr>
    </w:tbl>
    <w:p>
      <w:r>
        <w:br w:type="page"/>
      </w:r>
    </w:p>
    <w:p>
      <w:pPr>
        <w:pStyle w:val="Heading1"/>
      </w:pPr>
      <w:r>
        <w:t>Annexe B - Courbes de tous les cas étudiés</w:t>
      </w:r>
    </w:p>
    <w:p>
      <w:r>
        <w:t>Les figures présentent les neuf cas F1/F2/F3 et L = 10/15/20 m, le domaine min.-max. et l’enveloppe maximale.</w:t>
      </w:r>
    </w:p>
    <w:p>
      <w:pPr>
        <w:jc w:val="center"/>
      </w:pPr>
      <w:r>
        <w:drawing>
          <wp:inline xmlns:a="http://schemas.openxmlformats.org/drawingml/2006/main" xmlns:pic="http://schemas.openxmlformats.org/drawingml/2006/picture">
            <wp:extent cx="5400000" cy="2952225"/>
            <wp:docPr id="12" name="Picture 12"/>
            <wp:cNvGraphicFramePr>
              <a:graphicFrameLocks noChangeAspect="1"/>
            </wp:cNvGraphicFramePr>
            <a:graphic>
              <a:graphicData uri="http://schemas.openxmlformats.org/drawingml/2006/picture">
                <pic:pic>
                  <pic:nvPicPr>
                    <pic:cNvPr id="0" name="B_ISO 834_hanger.png"/>
                    <pic:cNvPicPr/>
                  </pic:nvPicPr>
                  <pic:blipFill>
                    <a:blip r:embed="rId20"/>
                    <a:stretch>
                      <a:fillRect/>
                    </a:stretch>
                  </pic:blipFill>
                  <pic:spPr>
                    <a:xfrm>
                      <a:off x="0" y="0"/>
                      <a:ext cx="5400000" cy="2952225"/>
                    </a:xfrm>
                    <a:prstGeom prst="rect"/>
                  </pic:spPr>
                </pic:pic>
              </a:graphicData>
            </a:graphic>
          </wp:inline>
        </w:drawing>
      </w:r>
    </w:p>
    <w:p>
      <w:pPr>
        <w:pStyle w:val="Caption"/>
        <w:jc w:val="center"/>
      </w:pPr>
      <w:r>
        <w:t>Figure B - ISO 834 - Suspente secondaire : cas et enveloppe maximale.</w:t>
      </w:r>
    </w:p>
    <w:p>
      <w:pPr>
        <w:jc w:val="center"/>
      </w:pPr>
      <w:r>
        <w:drawing>
          <wp:inline xmlns:a="http://schemas.openxmlformats.org/drawingml/2006/main" xmlns:pic="http://schemas.openxmlformats.org/drawingml/2006/picture">
            <wp:extent cx="5400000" cy="2952225"/>
            <wp:docPr id="13" name="Picture 13"/>
            <wp:cNvGraphicFramePr>
              <a:graphicFrameLocks noChangeAspect="1"/>
            </wp:cNvGraphicFramePr>
            <a:graphic>
              <a:graphicData uri="http://schemas.openxmlformats.org/drawingml/2006/picture">
                <pic:pic>
                  <pic:nvPicPr>
                    <pic:cNvPr id="0" name="B_ISO 834_cable.png"/>
                    <pic:cNvPicPr/>
                  </pic:nvPicPr>
                  <pic:blipFill>
                    <a:blip r:embed="rId21"/>
                    <a:stretch>
                      <a:fillRect/>
                    </a:stretch>
                  </pic:blipFill>
                  <pic:spPr>
                    <a:xfrm>
                      <a:off x="0" y="0"/>
                      <a:ext cx="5400000" cy="2952225"/>
                    </a:xfrm>
                    <a:prstGeom prst="rect"/>
                  </pic:spPr>
                </pic:pic>
              </a:graphicData>
            </a:graphic>
          </wp:inline>
        </w:drawing>
      </w:r>
    </w:p>
    <w:p>
      <w:pPr>
        <w:pStyle w:val="Caption"/>
        <w:jc w:val="center"/>
      </w:pPr>
      <w:r>
        <w:t>Figure B - ISO 834 - Câble principal clos : cas et enveloppe maximale.</w:t>
      </w:r>
    </w:p>
    <w:p>
      <w:pPr>
        <w:jc w:val="center"/>
      </w:pPr>
      <w:r>
        <w:drawing>
          <wp:inline xmlns:a="http://schemas.openxmlformats.org/drawingml/2006/main" xmlns:pic="http://schemas.openxmlformats.org/drawingml/2006/picture">
            <wp:extent cx="5400000" cy="2952225"/>
            <wp:docPr id="14" name="Picture 14"/>
            <wp:cNvGraphicFramePr>
              <a:graphicFrameLocks noChangeAspect="1"/>
            </wp:cNvGraphicFramePr>
            <a:graphic>
              <a:graphicData uri="http://schemas.openxmlformats.org/drawingml/2006/picture">
                <pic:pic>
                  <pic:nvPicPr>
                    <pic:cNvPr id="0" name="B_Feu extérieur_hanger.png"/>
                    <pic:cNvPicPr/>
                  </pic:nvPicPr>
                  <pic:blipFill>
                    <a:blip r:embed="rId22"/>
                    <a:stretch>
                      <a:fillRect/>
                    </a:stretch>
                  </pic:blipFill>
                  <pic:spPr>
                    <a:xfrm>
                      <a:off x="0" y="0"/>
                      <a:ext cx="5400000" cy="2952225"/>
                    </a:xfrm>
                    <a:prstGeom prst="rect"/>
                  </pic:spPr>
                </pic:pic>
              </a:graphicData>
            </a:graphic>
          </wp:inline>
        </w:drawing>
      </w:r>
    </w:p>
    <w:p>
      <w:pPr>
        <w:pStyle w:val="Caption"/>
        <w:jc w:val="center"/>
      </w:pPr>
      <w:r>
        <w:t>Figure B - Feu extérieur - Suspente secondaire : cas et enveloppe maximale.</w:t>
      </w:r>
    </w:p>
    <w:p>
      <w:pPr>
        <w:jc w:val="center"/>
      </w:pPr>
      <w:r>
        <w:drawing>
          <wp:inline xmlns:a="http://schemas.openxmlformats.org/drawingml/2006/main" xmlns:pic="http://schemas.openxmlformats.org/drawingml/2006/picture">
            <wp:extent cx="5400000" cy="2952225"/>
            <wp:docPr id="15" name="Picture 15"/>
            <wp:cNvGraphicFramePr>
              <a:graphicFrameLocks noChangeAspect="1"/>
            </wp:cNvGraphicFramePr>
            <a:graphic>
              <a:graphicData uri="http://schemas.openxmlformats.org/drawingml/2006/picture">
                <pic:pic>
                  <pic:nvPicPr>
                    <pic:cNvPr id="0" name="B_Feu extérieur_cable.png"/>
                    <pic:cNvPicPr/>
                  </pic:nvPicPr>
                  <pic:blipFill>
                    <a:blip r:embed="rId23"/>
                    <a:stretch>
                      <a:fillRect/>
                    </a:stretch>
                  </pic:blipFill>
                  <pic:spPr>
                    <a:xfrm>
                      <a:off x="0" y="0"/>
                      <a:ext cx="5400000" cy="2952225"/>
                    </a:xfrm>
                    <a:prstGeom prst="rect"/>
                  </pic:spPr>
                </pic:pic>
              </a:graphicData>
            </a:graphic>
          </wp:inline>
        </w:drawing>
      </w:r>
    </w:p>
    <w:p>
      <w:pPr>
        <w:pStyle w:val="Caption"/>
        <w:jc w:val="center"/>
      </w:pPr>
      <w:r>
        <w:t>Figure B - Feu extérieur - Câble principal clos : cas et enveloppe maximale.</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2026-09-02T08:43:45Z</dcterms:created>
  <dcterms:modified xsi:type="dcterms:W3CDTF">2026-09-02T08:43:45Z</dcterms:modified>
  <cp:category/>
</cp:coreProperties>
</file>