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r>
        <w:t>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 [1, 2]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 [1]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 [3]</w:t>
      </w:r>
    </w:p>
    <w:p>
      <w:pPr>
        <w:pStyle w:val="Heading1"/>
      </w:pPr>
      <w:r>
        <w:rPr>
          <w:color w:val="000000"/>
        </w:rPr>
        <w:t>Selected references and project support</w:t>
      </w:r>
    </w:p>
    <w:p>
      <w:pPr>
        <w:spacing w:after="80"/>
      </w:pPr>
      <w:r>
        <w:rPr>
          <w:sz w:val="17"/>
        </w:rPr>
        <w:t xml:space="preserve">[1]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[2]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[3] National Science Foundation. </w:t>
      </w:r>
      <w:hyperlink r:id="rId13">
        <w:r>
          <w:rPr>
            <w:color w:val="000000"/>
            <w:sz w:val="17"/>
          </w:rPr>
          <w:t>Award 2619756</w:t>
        </w:r>
      </w:hyperlink>
      <w:r>
        <w:rPr>
          <w:sz w:val="17"/>
        </w:rPr>
        <w:t>: Mathematics of membraneless organelles - the postsynaptic density. Greg Conradi Smith and Jennifer Bestman, William &amp; Mary. September 2026–August 2029.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3" Type="http://schemas.openxmlformats.org/officeDocument/2006/relationships/hyperlink" Target="https://api.nsf.gov/services/v1/awards/2619756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