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40"/>
      </w:pPr>
      <w:r>
        <w:rPr>
          <w:color w:val="000000"/>
        </w:rPr>
        <w:t>Mathematical Biology of Plant Diversity</w:t>
      </w:r>
    </w:p>
    <w:p>
      <w:pPr>
        <w:pStyle w:val="Subtitle"/>
      </w:pPr>
      <w:r>
        <w:t>Greg Conradi Smith, Joshua R. Puzey, Arielle Cooley, Emily Simmons and Ron Smith</w:t>
      </w:r>
      <w:r>
        <w:br/>
      </w:r>
      <w:hyperlink r:id="rId22">
        <w:r>
          <w:rPr>
            <w:sz w:val="19"/>
            <w:color w:val="000000"/>
            <w:u w:val="single"/>
          </w:rPr>
          <w:t>https://gregconradismith.github.io/</w:t>
        </w:r>
      </w:hyperlink>
    </w:p>
    <w:p>
      <w:pPr>
        <w:spacing w:after="120"/>
      </w:pPr>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spacing w:before="120"/>
      </w:pPr>
      <w:r>
        <w:rPr>
          <w:color w:val="000000"/>
        </w:rPr>
        <w:t>Flower pigmentation and the origins of new patterns</w:t>
      </w:r>
    </w:p>
    <w:p>
      <w:pPr>
        <w:spacing w:after="120"/>
      </w:pPr>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 [1]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 [2]</w:t>
      </w:r>
    </w:p>
    <w:p>
      <w:pPr>
        <w:pStyle w:val="Heading1"/>
        <w:spacing w:before="120"/>
      </w:pPr>
      <w:r>
        <w:rPr>
          <w:color w:val="000000"/>
        </w:rPr>
        <w:t>Hybrid genomes, gene expression and reproductive barriers</w:t>
      </w:r>
    </w:p>
    <w:p>
      <w:pPr>
        <w:spacing w:after="120"/>
      </w:pPr>
      <w:r>
        <w:t>Our 2017 collaborative study showed that subgenome expression dominance can appear immediately in first-generation Mimulus hybrids, with stronger bias in a naturally established allopolyploid lineage. [3]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 [4] Our 2021 work on hybrid seed development linked cross-direction-dependent seed failure to abnormal endosperm development and divergent epigenetic and imprinting states, illuminating an early barrier to hybridization. [5]</w:t>
      </w:r>
    </w:p>
    <w:p>
      <w:pPr>
        <w:pStyle w:val="Heading1"/>
        <w:spacing w:before="120"/>
      </w:pPr>
      <w:r>
        <w:rPr>
          <w:color w:val="000000"/>
        </w:rPr>
        <w:t>Population genetics of mobile DNA</w:t>
      </w:r>
    </w:p>
    <w:p>
      <w:pPr>
        <w:spacing w:after="120"/>
      </w:pPr>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 Puzey and I contributed equally to this study. [6]</w:t>
      </w:r>
    </w:p>
    <w:p>
      <w:pPr>
        <w:pStyle w:val="Heading1"/>
        <w:spacing w:before="120"/>
      </w:pPr>
      <w:r>
        <w:rPr>
          <w:color w:val="000000"/>
        </w:rPr>
        <w:t>Selected joint publications</w:t>
      </w:r>
    </w:p>
    <w:p>
      <w:pPr>
        <w:spacing w:after="4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4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4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4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4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4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p>
      <w:pPr>
        <w:spacing w:before="80" w:after="0" w:line="240" w:lineRule="auto"/>
      </w:pPr>
      <w:r>
        <w:rPr>
          <w:b/>
          <w:sz w:val="19"/>
        </w:rPr>
        <w:t xml:space="preserve">Selected funding: </w:t>
      </w:r>
      <w:r>
        <w:rPr>
          <w:sz w:val="19"/>
        </w:rPr>
        <w:t xml:space="preserve">NSF </w:t>
      </w:r>
      <w:hyperlink r:id="rId15">
        <w:r>
          <w:rPr>
            <w:sz w:val="19"/>
            <w:color w:val="000000"/>
          </w:rPr>
          <w:t>DEB-2031275</w:t>
        </w:r>
      </w:hyperlink>
      <w:r>
        <w:rPr>
          <w:sz w:val="19"/>
        </w:rPr>
        <w:t xml:space="preserve">, </w:t>
      </w:r>
      <w:hyperlink r:id="rId16">
        <w:r>
          <w:rPr>
            <w:sz w:val="19"/>
            <w:color w:val="000000"/>
          </w:rPr>
          <w:t>DEB-1754080</w:t>
        </w:r>
      </w:hyperlink>
      <w:r>
        <w:rPr>
          <w:sz w:val="19"/>
        </w:rPr>
        <w:t xml:space="preserve">, </w:t>
      </w:r>
      <w:hyperlink r:id="rId17">
        <w:r>
          <w:rPr>
            <w:sz w:val="19"/>
            <w:color w:val="000000"/>
          </w:rPr>
          <w:t>DEB-1754075</w:t>
        </w:r>
      </w:hyperlink>
      <w:r>
        <w:rPr>
          <w:sz w:val="19"/>
        </w:rPr>
        <w:t xml:space="preserve">, </w:t>
      </w:r>
      <w:hyperlink r:id="rId18">
        <w:r>
          <w:rPr>
            <w:sz w:val="19"/>
            <w:color w:val="000000"/>
          </w:rPr>
          <w:t>DEB-1655311</w:t>
        </w:r>
      </w:hyperlink>
      <w:r>
        <w:rPr>
          <w:sz w:val="19"/>
        </w:rPr>
        <w:t xml:space="preserve">, </w:t>
      </w:r>
      <w:hyperlink r:id="rId19">
        <w:r>
          <w:rPr>
            <w:sz w:val="19"/>
            <w:color w:val="000000"/>
          </w:rPr>
          <w:t>DMS-1951646</w:t>
        </w:r>
      </w:hyperlink>
      <w:r>
        <w:rPr>
          <w:sz w:val="19"/>
        </w:rPr>
        <w:t xml:space="preserve"> and </w:t>
      </w:r>
      <w:hyperlink r:id="rId20">
        <w:r>
          <w:rPr>
            <w:sz w:val="19"/>
            <w:color w:val="000000"/>
          </w:rPr>
          <w:t>DMS-1121606</w:t>
        </w:r>
      </w:hyperlink>
      <w:r>
        <w:rPr>
          <w:sz w:val="19"/>
        </w:rPr>
        <w:t xml:space="preserve">, plus NSF microMORPH training support; NIH/NCCIH </w:t>
      </w:r>
      <w:hyperlink r:id="rId21">
        <w:r>
          <w:rPr>
            <w:sz w:val="19"/>
            <w:color w:val="000000"/>
          </w:rPr>
          <w:t>R01AT010816</w:t>
        </w:r>
      </w:hyperlink>
      <w:r>
        <w:rPr>
          <w:sz w:val="19"/>
        </w:rPr>
        <w:t>; Murdock life-sciences awards (</w:t>
      </w:r>
      <w:hyperlink r:id="rId9">
        <w:r>
          <w:rPr>
            <w:sz w:val="19"/>
            <w:color w:val="000000"/>
          </w:rPr>
          <w:t>2015270</w:t>
        </w:r>
      </w:hyperlink>
      <w:r>
        <w:rPr>
          <w:sz w:val="19"/>
        </w:rPr>
        <w:t xml:space="preserve"> and </w:t>
      </w:r>
      <w:hyperlink r:id="rId11">
        <w:r>
          <w:rPr>
            <w:sz w:val="19"/>
            <w:color w:val="000000"/>
          </w:rPr>
          <w:t>2013265</w:t>
        </w:r>
      </w:hyperlink>
      <w:r>
        <w:rPr>
          <w:sz w:val="19"/>
        </w:rPr>
        <w:t>); William &amp; Mary research awards and the Biomathematics Initiative.</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 Id="rId15" Type="http://schemas.openxmlformats.org/officeDocument/2006/relationships/hyperlink" Target="https://api.nsf.gov/services/v1/awards/2031275.json" TargetMode="External"/><Relationship Id="rId16" Type="http://schemas.openxmlformats.org/officeDocument/2006/relationships/hyperlink" Target="https://api.nsf.gov/services/v1/awards/1754080.json" TargetMode="External"/><Relationship Id="rId17" Type="http://schemas.openxmlformats.org/officeDocument/2006/relationships/hyperlink" Target="https://api.nsf.gov/services/v1/awards/1754075.json" TargetMode="External"/><Relationship Id="rId18" Type="http://schemas.openxmlformats.org/officeDocument/2006/relationships/hyperlink" Target="https://api.nsf.gov/services/v1/awards/1655311.json" TargetMode="External"/><Relationship Id="rId19" Type="http://schemas.openxmlformats.org/officeDocument/2006/relationships/hyperlink" Target="https://api.nsf.gov/services/v1/awards/1951646.json" TargetMode="External"/><Relationship Id="rId20" Type="http://schemas.openxmlformats.org/officeDocument/2006/relationships/hyperlink" Target="https://api.nsf.gov/services/v1/awards/1121606.json" TargetMode="External"/><Relationship Id="rId21" Type="http://schemas.openxmlformats.org/officeDocument/2006/relationships/hyperlink" Target="https://journals.plos.org/plosone/article?id=10.1371/journal.pone.0270839" TargetMode="External"/><Relationship Id="rId22"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 Joshua R. Puzey; Arielle Cooley; Emily Simmons; Ron Smith</dc:creator>
  <cp:keywords/>
  <dc:description/>
  <cp:lastModifiedBy/>
  <cp:revision>1</cp:revision>
  <dcterms:created xsi:type="dcterms:W3CDTF">2013-12-23T23:15:00Z</dcterms:created>
  <dcterms:modified xsi:type="dcterms:W3CDTF">2013-12-23T23:15:00Z</dcterms:modified>
  <cp:category/>
</cp:coreProperties>
</file>