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 [1]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 [2]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 [3]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17"/>
        </w:rPr>
        <w:t xml:space="preserve">[1] Hammack RH, Smith GD (2017). Cycle bases of reduced powers of graphs. Ars Mathematica Contemporanea 12(1):183–203. </w:t>
      </w:r>
      <w:hyperlink r:id="rId9">
        <w:r>
          <w:rPr>
            <w:color w:val="000000"/>
            <w:sz w:val="17"/>
          </w:rPr>
          <w:t>doi:10.26493/1855-3974.856.4d2</w:t>
        </w:r>
      </w:hyperlink>
      <w:r>
        <w:rPr>
          <w:sz w:val="17"/>
        </w:rPr>
        <w:t>.</w:t>
      </w:r>
    </w:p>
    <w:p>
      <w:pPr>
        <w:spacing w:after="80"/>
      </w:pPr>
      <w:r>
        <w:rPr>
          <w:sz w:val="17"/>
        </w:rPr>
        <w:t xml:space="preserve">[2] Conradi Smith GD (2020). Allostery in oligomeric receptor models. Mathematical Medicine and Biology 37(3):313–333. </w:t>
      </w:r>
      <w:hyperlink r:id="rId10">
        <w:r>
          <w:rPr>
            <w:color w:val="000000"/>
            <w:sz w:val="17"/>
          </w:rPr>
          <w:t>doi:10.1093/imammb/dqz016</w:t>
        </w:r>
      </w:hyperlink>
      <w:r>
        <w:rPr>
          <w:sz w:val="17"/>
        </w:rPr>
        <w:t>.</w:t>
      </w:r>
    </w:p>
    <w:p>
      <w:pPr>
        <w:spacing w:after="80"/>
      </w:pPr>
      <w:r>
        <w:rPr>
          <w:sz w:val="17"/>
        </w:rPr>
        <w:t xml:space="preserve">[3] Conradi Smith GD (2025). Receptor Modeling Jupyter Book. Unrefereed computational resource supported by NSF DMS-1951646. </w:t>
      </w:r>
      <w:hyperlink r:id="rId11">
        <w:r>
          <w:rPr>
            <w:color w:val="000000"/>
            <w:sz w:val="17"/>
          </w:rPr>
          <w:t>gregconradismith.github.io/receptor-modeling-jupyter-book/intro.html</w:t>
        </w:r>
      </w:hyperlink>
    </w:p>
    <w:p>
      <w:pPr>
        <w:spacing w:before="80" w:after="0" w:line="240" w:lineRule="auto"/>
      </w:pPr>
      <w:r>
        <w:rPr>
          <w:b/>
          <w:sz w:val="19"/>
        </w:rPr>
        <w:t xml:space="preserve">Funding: </w:t>
      </w:r>
      <w:r>
        <w:rPr>
          <w:sz w:val="19"/>
        </w:rPr>
        <w:t xml:space="preserve">National Science Foundation </w:t>
      </w:r>
      <w:hyperlink r:id="rId12">
        <w:r>
          <w:rPr>
            <w:sz w:val="19"/>
            <w:color w:val="000000"/>
          </w:rPr>
          <w:t>DMS-1951646</w:t>
        </w:r>
      </w:hyperlink>
      <w:r>
        <w:rPr>
          <w:sz w:val="19"/>
        </w:rPr>
        <w:t xml:space="preserve">, Cycle representations of receptor complex signal transduction (Conradi Smith). Foundational cycle-basis work was supported by NSF </w:t>
      </w:r>
      <w:hyperlink r:id="rId13">
        <w:r>
          <w:rPr>
            <w:sz w:val="19"/>
            <w:color w:val="000000"/>
          </w:rPr>
          <w:t>DMS-1121606</w:t>
        </w:r>
      </w:hyperlink>
      <w:r>
        <w:rPr>
          <w:sz w:val="19"/>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 Id="rId12" Type="http://schemas.openxmlformats.org/officeDocument/2006/relationships/hyperlink" Target="https://api.nsf.gov/services/v1/awards/1951646.json" TargetMode="External"/><Relationship Id="rId13" Type="http://schemas.openxmlformats.org/officeDocument/2006/relationships/hyperlink" Target="https://api.nsf.gov/services/v1/awards/1121606.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