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7211E" w14:textId="77777777" w:rsidR="007A4153" w:rsidRDefault="007A4153"/>
    <w:p w14:paraId="1CEE6E77" w14:textId="77777777" w:rsidR="007A4153" w:rsidRDefault="007A4153"/>
    <w:p w14:paraId="02109ABC" w14:textId="77777777" w:rsidR="007A4153" w:rsidRDefault="007A4153"/>
    <w:p w14:paraId="520CC70F" w14:textId="77777777" w:rsidR="007A4153" w:rsidRDefault="007A4153"/>
    <w:p w14:paraId="4F3D5D19" w14:textId="77777777" w:rsidR="007A4153" w:rsidRDefault="007A4153"/>
    <w:p w14:paraId="00295FFA" w14:textId="77777777" w:rsidR="007A4153" w:rsidRDefault="007A4153"/>
    <w:p w14:paraId="4E53AFC5" w14:textId="77777777" w:rsidR="007A4153" w:rsidRDefault="00194B6C">
      <w:pPr>
        <w:jc w:val="center"/>
      </w:pPr>
      <w:r>
        <w:rPr>
          <w:b/>
          <w:color w:val="1F3864"/>
          <w:sz w:val="56"/>
        </w:rPr>
        <w:t>CCRS Requirements v4</w:t>
      </w:r>
    </w:p>
    <w:p w14:paraId="7B8AEA03" w14:textId="77777777" w:rsidR="007A4153" w:rsidRDefault="00194B6C">
      <w:pPr>
        <w:jc w:val="center"/>
      </w:pPr>
      <w:r>
        <w:rPr>
          <w:color w:val="2E5090"/>
          <w:sz w:val="32"/>
        </w:rPr>
        <w:t>Technical Stack Review &amp; Recommendations</w:t>
      </w:r>
    </w:p>
    <w:p w14:paraId="1B406E54" w14:textId="77777777" w:rsidR="007A4153" w:rsidRDefault="007A4153"/>
    <w:p w14:paraId="11D53C19" w14:textId="77777777" w:rsidR="007A4153" w:rsidRDefault="00194B6C">
      <w:pPr>
        <w:jc w:val="center"/>
      </w:pPr>
      <w:r>
        <w:rPr>
          <w:color w:val="CCCCCC"/>
        </w:rPr>
        <w:t>____________________________________________________________</w:t>
      </w:r>
    </w:p>
    <w:p w14:paraId="3C6F4BAC" w14:textId="77777777" w:rsidR="007A4153" w:rsidRDefault="007A4153"/>
    <w:p w14:paraId="14B6CEFE" w14:textId="77777777" w:rsidR="007A4153" w:rsidRDefault="00194B6C">
      <w:pPr>
        <w:jc w:val="center"/>
      </w:pPr>
      <w:r>
        <w:rPr>
          <w:b/>
          <w:color w:val="1F3864"/>
        </w:rPr>
        <w:t xml:space="preserve">Prepared by: </w:t>
      </w:r>
      <w:r>
        <w:t>Digital Engineering</w:t>
      </w:r>
    </w:p>
    <w:p w14:paraId="442FA104" w14:textId="77777777" w:rsidR="007A4153" w:rsidRDefault="00194B6C">
      <w:pPr>
        <w:jc w:val="center"/>
      </w:pPr>
      <w:r>
        <w:rPr>
          <w:b/>
          <w:color w:val="1F3864"/>
        </w:rPr>
        <w:t xml:space="preserve">Date: </w:t>
      </w:r>
      <w:r>
        <w:t>19 February 2026</w:t>
      </w:r>
    </w:p>
    <w:p w14:paraId="7240FFE0" w14:textId="77777777" w:rsidR="007A4153" w:rsidRDefault="00194B6C">
      <w:pPr>
        <w:jc w:val="center"/>
      </w:pPr>
      <w:r>
        <w:rPr>
          <w:b/>
          <w:color w:val="1F3864"/>
        </w:rPr>
        <w:t xml:space="preserve">Document reviewed: </w:t>
      </w:r>
      <w:r>
        <w:t>CCRS Requirements Specification v3.0 (Board Edition, 16 Feb 2026)</w:t>
      </w:r>
    </w:p>
    <w:p w14:paraId="42A52405" w14:textId="77777777" w:rsidR="007A4153" w:rsidRDefault="00194B6C">
      <w:pPr>
        <w:jc w:val="center"/>
      </w:pPr>
      <w:r>
        <w:rPr>
          <w:b/>
          <w:color w:val="1F3864"/>
        </w:rPr>
        <w:t xml:space="preserve">Classification: </w:t>
      </w:r>
      <w:r>
        <w:t>Internal</w:t>
      </w:r>
    </w:p>
    <w:p w14:paraId="5463A02B" w14:textId="77777777" w:rsidR="007A4153" w:rsidRDefault="00194B6C">
      <w:r>
        <w:br w:type="page"/>
      </w:r>
    </w:p>
    <w:p w14:paraId="0D046EFC" w14:textId="77777777" w:rsidR="007A4153" w:rsidRDefault="00194B6C">
      <w:pPr>
        <w:pStyle w:val="Heading1"/>
      </w:pPr>
      <w:r>
        <w:lastRenderedPageBreak/>
        <w:t>1. Executive Summary</w:t>
      </w:r>
    </w:p>
    <w:p w14:paraId="7E227975" w14:textId="77777777" w:rsidR="007A4153" w:rsidRDefault="00194B6C">
      <w:r>
        <w:t>This document provides a technical review of the Contract &amp; Merchant Agreement Repository System (CCRS) Requirements Specification v3.0 (Board Edition). The review focuses on the proposed technology stack and its alignment with Digittal Group's existing infrastructure, team capabilities, and operational practices.</w:t>
      </w:r>
    </w:p>
    <w:p w14:paraId="0B9A7B63" w14:textId="77777777" w:rsidR="007A4153" w:rsidRDefault="00194B6C">
      <w:r>
        <w:t>The functional requirements are well-structured, comprehensive, and suitable for board-level approval. The delivery phasing is sensible and the epic breakdown provides clear acceptance criteria.</w:t>
      </w:r>
    </w:p>
    <w:p w14:paraId="407C3E6F" w14:textId="77777777" w:rsidR="007A4153" w:rsidRDefault="00194B6C">
      <w:r>
        <w:t>However, the recommended technology stack introduces significant new infrastructure that duplicates capabilities already available in our existing environment. This review recommends retaining the functional specification while realigning the technology stack to our established platforms, reducing delivery risk, operational overhead, and cost.</w:t>
      </w:r>
    </w:p>
    <w:p w14:paraId="79740E60" w14:textId="77777777" w:rsidR="007A4153" w:rsidRDefault="00194B6C">
      <w:pPr>
        <w:pStyle w:val="Heading1"/>
      </w:pPr>
      <w:r>
        <w:t>2. Functional Requirements Assessment</w:t>
      </w:r>
    </w:p>
    <w:p w14:paraId="745861D9" w14:textId="77777777" w:rsidR="007A4153" w:rsidRDefault="00194B6C">
      <w:r>
        <w:t>The functional requirements are thorough and represent genuine business needs. The following capabilities are well-defined and should proceed as specified:</w:t>
      </w:r>
    </w:p>
    <w:p w14:paraId="7DAEAE1A" w14:textId="77777777" w:rsidR="007A4153" w:rsidRDefault="00194B6C">
      <w:pPr>
        <w:pStyle w:val="ListBullet"/>
      </w:pPr>
      <w:r>
        <w:rPr>
          <w:b/>
        </w:rPr>
        <w:t xml:space="preserve">Central Contract Repository: </w:t>
      </w:r>
      <w:r>
        <w:t>Hierarchical org structure, RBAC, metadata search, versioning, and immutable executed copies.</w:t>
      </w:r>
    </w:p>
    <w:p w14:paraId="315A076B" w14:textId="77777777" w:rsidR="007A4153" w:rsidRDefault="00194B6C">
      <w:pPr>
        <w:pStyle w:val="ListBullet"/>
      </w:pPr>
      <w:r>
        <w:rPr>
          <w:b/>
        </w:rPr>
        <w:t xml:space="preserve">AI Contract Intelligence: </w:t>
      </w:r>
      <w:r>
        <w:t>Hybrid approach using autonomous agents for complex analysis and direct API calls for lightweight tasks. Cost controls per agent are correctly specified.</w:t>
      </w:r>
    </w:p>
    <w:p w14:paraId="65DB63F8" w14:textId="77777777" w:rsidR="007A4153" w:rsidRDefault="00194B6C">
      <w:pPr>
        <w:pStyle w:val="ListBullet"/>
      </w:pPr>
      <w:r>
        <w:rPr>
          <w:b/>
        </w:rPr>
        <w:t xml:space="preserve">Workflow Engine &amp; Visual Builder: </w:t>
      </w:r>
      <w:r>
        <w:t>Configurable per contract type with drag-and-drop editor, versioned templates, and validation rules.</w:t>
      </w:r>
    </w:p>
    <w:p w14:paraId="2C97019A" w14:textId="77777777" w:rsidR="007A4153" w:rsidRDefault="00194B6C">
      <w:pPr>
        <w:pStyle w:val="ListBullet"/>
      </w:pPr>
      <w:r>
        <w:rPr>
          <w:b/>
        </w:rPr>
        <w:t xml:space="preserve">LLM-Assisted Workflow Generation: </w:t>
      </w:r>
      <w:r>
        <w:t>Natural language to workflow draft via AI agents querying org structure and authority matrix. Requires explicit admin approval before publishing.</w:t>
      </w:r>
    </w:p>
    <w:p w14:paraId="382548FD" w14:textId="77777777" w:rsidR="007A4153" w:rsidRDefault="00194B6C">
      <w:pPr>
        <w:pStyle w:val="ListBullet"/>
      </w:pPr>
      <w:r>
        <w:rPr>
          <w:b/>
        </w:rPr>
        <w:t xml:space="preserve">Merchant Agreement Automation: </w:t>
      </w:r>
      <w:r>
        <w:t>Template-based generation with Boldsign signing and TiTo enforcement for POS deployment.</w:t>
      </w:r>
    </w:p>
    <w:p w14:paraId="096DD5CD" w14:textId="77777777" w:rsidR="007A4153" w:rsidRDefault="00194B6C">
      <w:pPr>
        <w:pStyle w:val="ListBullet"/>
      </w:pPr>
      <w:r>
        <w:rPr>
          <w:b/>
        </w:rPr>
        <w:t xml:space="preserve">Counterparty Management &amp; Due Diligence: </w:t>
      </w:r>
      <w:r>
        <w:t>Master records, duplicate detection, status management (Active/Suspended/Blacklisted), and override audit trails.</w:t>
      </w:r>
    </w:p>
    <w:p w14:paraId="55AFBC50" w14:textId="77777777" w:rsidR="007A4153" w:rsidRDefault="00194B6C">
      <w:pPr>
        <w:pStyle w:val="ListBullet"/>
      </w:pPr>
      <w:r>
        <w:rPr>
          <w:b/>
        </w:rPr>
        <w:t xml:space="preserve">Contract Amendments &amp; Renewals: </w:t>
      </w:r>
      <w:r>
        <w:t>Linked amendment/renewal/side letter records with inherited classification and independent workflow instances.</w:t>
      </w:r>
    </w:p>
    <w:p w14:paraId="51D834A9" w14:textId="77777777" w:rsidR="007A4153" w:rsidRDefault="00194B6C">
      <w:pPr>
        <w:pStyle w:val="ListBullet"/>
      </w:pPr>
      <w:r>
        <w:rPr>
          <w:b/>
        </w:rPr>
        <w:t xml:space="preserve">Escalation Framework: </w:t>
      </w:r>
      <w:r>
        <w:t>Multi-tier escalation paths with SLA-based triggers and executive dashboard.</w:t>
      </w:r>
    </w:p>
    <w:p w14:paraId="6E690AF0" w14:textId="77777777" w:rsidR="007A4153" w:rsidRDefault="00194B6C">
      <w:pPr>
        <w:pStyle w:val="ListBullet"/>
      </w:pPr>
      <w:r>
        <w:rPr>
          <w:b/>
        </w:rPr>
        <w:t xml:space="preserve">Integrations: </w:t>
      </w:r>
      <w:r>
        <w:t>Boldsign e-signatures, SharePoint collaboration, Microsoft Entra ID SSO, and TiTo validation APIs.</w:t>
      </w:r>
    </w:p>
    <w:p w14:paraId="4ED58755" w14:textId="77777777" w:rsidR="007A4153" w:rsidRDefault="00194B6C">
      <w:r>
        <w:t>No material changes are recommended to the functional requirements or delivery phasing. The concerns in this review are confined to the technology stack in Section 6 of the specification.</w:t>
      </w:r>
    </w:p>
    <w:p w14:paraId="70B5A251" w14:textId="77777777" w:rsidR="007A4153" w:rsidRDefault="00194B6C">
      <w:pPr>
        <w:pStyle w:val="Heading1"/>
      </w:pPr>
      <w:r>
        <w:lastRenderedPageBreak/>
        <w:t>3. Technology Stack: Proposed vs. Existing</w:t>
      </w:r>
    </w:p>
    <w:p w14:paraId="0320E07C" w14:textId="77777777" w:rsidR="007A4153" w:rsidRDefault="00194B6C">
      <w:r>
        <w:t>The specification proposes a technology stack that diverges significantly from Digittal Group's current infrastructure and team expertise. The table below summarises the key misalignments:</w:t>
      </w:r>
    </w:p>
    <w:tbl>
      <w:tblPr>
        <w:tblW w:w="0" w:type="auto"/>
        <w:jc w:val="center"/>
        <w:tblLook w:val="04A0" w:firstRow="1" w:lastRow="0" w:firstColumn="1" w:lastColumn="0" w:noHBand="0" w:noVBand="1"/>
      </w:tblPr>
      <w:tblGrid>
        <w:gridCol w:w="1691"/>
        <w:gridCol w:w="2255"/>
        <w:gridCol w:w="2534"/>
        <w:gridCol w:w="3096"/>
      </w:tblGrid>
      <w:tr w:rsidR="007A4153" w14:paraId="09E5FFA0" w14:textId="77777777">
        <w:trPr>
          <w:jc w:val="center"/>
        </w:trPr>
        <w:tc>
          <w:tcPr>
            <w:tcW w:w="1701" w:type="dxa"/>
            <w:tcBorders>
              <w:top w:val="single" w:sz="4" w:space="0" w:color="1F3864"/>
              <w:left w:val="single" w:sz="4" w:space="0" w:color="1F3864"/>
              <w:bottom w:val="single" w:sz="4" w:space="0" w:color="1F3864"/>
              <w:right w:val="single" w:sz="4" w:space="0" w:color="1F3864"/>
            </w:tcBorders>
            <w:shd w:val="clear" w:color="auto" w:fill="1F3864"/>
          </w:tcPr>
          <w:p w14:paraId="1F50AD9F" w14:textId="77777777" w:rsidR="007A4153" w:rsidRDefault="00194B6C">
            <w:r>
              <w:rPr>
                <w:b/>
                <w:color w:val="FFFFFF"/>
                <w:sz w:val="19"/>
              </w:rPr>
              <w:t>Area</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7521658F" w14:textId="77777777" w:rsidR="007A4153" w:rsidRDefault="00194B6C">
            <w:r>
              <w:rPr>
                <w:b/>
                <w:color w:val="FFFFFF"/>
                <w:sz w:val="19"/>
              </w:rPr>
              <w:t>Proposed in CCRS v3</w:t>
            </w:r>
          </w:p>
        </w:tc>
        <w:tc>
          <w:tcPr>
            <w:tcW w:w="2551" w:type="dxa"/>
            <w:tcBorders>
              <w:top w:val="single" w:sz="4" w:space="0" w:color="1F3864"/>
              <w:left w:val="single" w:sz="4" w:space="0" w:color="1F3864"/>
              <w:bottom w:val="single" w:sz="4" w:space="0" w:color="1F3864"/>
              <w:right w:val="single" w:sz="4" w:space="0" w:color="1F3864"/>
            </w:tcBorders>
            <w:shd w:val="clear" w:color="auto" w:fill="1F3864"/>
          </w:tcPr>
          <w:p w14:paraId="1D4203A8" w14:textId="77777777" w:rsidR="007A4153" w:rsidRDefault="00194B6C">
            <w:r>
              <w:rPr>
                <w:b/>
                <w:color w:val="FFFFFF"/>
                <w:sz w:val="19"/>
              </w:rPr>
              <w:t>Existing at Digittal Group</w:t>
            </w:r>
          </w:p>
        </w:tc>
        <w:tc>
          <w:tcPr>
            <w:tcW w:w="3118" w:type="dxa"/>
            <w:tcBorders>
              <w:top w:val="single" w:sz="4" w:space="0" w:color="1F3864"/>
              <w:left w:val="single" w:sz="4" w:space="0" w:color="1F3864"/>
              <w:bottom w:val="single" w:sz="4" w:space="0" w:color="1F3864"/>
              <w:right w:val="single" w:sz="4" w:space="0" w:color="1F3864"/>
            </w:tcBorders>
            <w:shd w:val="clear" w:color="auto" w:fill="1F3864"/>
          </w:tcPr>
          <w:p w14:paraId="0892FC4E" w14:textId="77777777" w:rsidR="007A4153" w:rsidRDefault="00194B6C">
            <w:r>
              <w:rPr>
                <w:b/>
                <w:color w:val="FFFFFF"/>
                <w:sz w:val="19"/>
              </w:rPr>
              <w:t>Risk</w:t>
            </w:r>
          </w:p>
        </w:tc>
      </w:tr>
      <w:tr w:rsidR="007A4153" w14:paraId="5F00DDD3" w14:textId="77777777">
        <w:trP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2F2F2"/>
          </w:tcPr>
          <w:p w14:paraId="578C54F2" w14:textId="77777777" w:rsidR="007A4153" w:rsidRDefault="00194B6C">
            <w:r>
              <w:rPr>
                <w:sz w:val="19"/>
              </w:rPr>
              <w:t>Backend</w:t>
            </w:r>
          </w:p>
        </w:tc>
        <w:tc>
          <w:tcPr>
            <w:tcW w:w="2268" w:type="dxa"/>
            <w:tcBorders>
              <w:top w:val="single" w:sz="4" w:space="0" w:color="D9D9D9"/>
              <w:left w:val="single" w:sz="4" w:space="0" w:color="D9D9D9"/>
              <w:bottom w:val="single" w:sz="4" w:space="0" w:color="D9D9D9"/>
              <w:right w:val="single" w:sz="4" w:space="0" w:color="D9D9D9"/>
            </w:tcBorders>
            <w:shd w:val="clear" w:color="auto" w:fill="F2F2F2"/>
          </w:tcPr>
          <w:p w14:paraId="3DA3AE1E" w14:textId="77777777" w:rsidR="007A4153" w:rsidRDefault="00194B6C">
            <w:r>
              <w:rPr>
                <w:sz w:val="19"/>
              </w:rPr>
              <w:t>Python / FastAPI</w:t>
            </w:r>
          </w:p>
        </w:tc>
        <w:tc>
          <w:tcPr>
            <w:tcW w:w="2551" w:type="dxa"/>
            <w:tcBorders>
              <w:top w:val="single" w:sz="4" w:space="0" w:color="D9D9D9"/>
              <w:left w:val="single" w:sz="4" w:space="0" w:color="D9D9D9"/>
              <w:bottom w:val="single" w:sz="4" w:space="0" w:color="D9D9D9"/>
              <w:right w:val="single" w:sz="4" w:space="0" w:color="D9D9D9"/>
            </w:tcBorders>
            <w:shd w:val="clear" w:color="auto" w:fill="F2F2F2"/>
          </w:tcPr>
          <w:p w14:paraId="4B5B8572" w14:textId="77777777" w:rsidR="007A4153" w:rsidRDefault="00194B6C">
            <w:r>
              <w:rPr>
                <w:b/>
                <w:sz w:val="19"/>
              </w:rPr>
              <w:t>PHP / Laravel</w:t>
            </w:r>
          </w:p>
        </w:tc>
        <w:tc>
          <w:tcPr>
            <w:tcW w:w="3118" w:type="dxa"/>
            <w:tcBorders>
              <w:top w:val="single" w:sz="4" w:space="0" w:color="D9D9D9"/>
              <w:left w:val="single" w:sz="4" w:space="0" w:color="D9D9D9"/>
              <w:bottom w:val="single" w:sz="4" w:space="0" w:color="D9D9D9"/>
              <w:right w:val="single" w:sz="4" w:space="0" w:color="D9D9D9"/>
            </w:tcBorders>
            <w:shd w:val="clear" w:color="auto" w:fill="F2F2F2"/>
          </w:tcPr>
          <w:p w14:paraId="111B4A5F" w14:textId="77777777" w:rsidR="007A4153" w:rsidRDefault="00194B6C">
            <w:r>
              <w:rPr>
                <w:sz w:val="19"/>
              </w:rPr>
              <w:t>New runtime, new framework, new deployment pipeline. Team retraining required.</w:t>
            </w:r>
          </w:p>
        </w:tc>
      </w:tr>
      <w:tr w:rsidR="007A4153" w14:paraId="11677373" w14:textId="77777777">
        <w:trP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3F4AD426" w14:textId="77777777" w:rsidR="007A4153" w:rsidRDefault="00194B6C">
            <w:r>
              <w:rPr>
                <w:sz w:val="19"/>
              </w:rPr>
              <w:t>Frontend</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34B9903F" w14:textId="77777777" w:rsidR="007A4153" w:rsidRDefault="00194B6C">
            <w:r>
              <w:rPr>
                <w:sz w:val="19"/>
              </w:rPr>
              <w:t>Next.js / React / TypeScript</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Pr>
          <w:p w14:paraId="4DDF7D94" w14:textId="77777777" w:rsidR="007A4153" w:rsidRDefault="00194B6C">
            <w:r>
              <w:rPr>
                <w:b/>
                <w:sz w:val="19"/>
              </w:rPr>
              <w:t>PHP / Laravel (Filament / Livewire)</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Pr>
          <w:p w14:paraId="11E1758E" w14:textId="77777777" w:rsidR="007A4153" w:rsidRDefault="00194B6C">
            <w:r>
              <w:rPr>
                <w:sz w:val="19"/>
              </w:rPr>
              <w:t>Decoupled SPA unnecessary for back-office tool. Adds separate build pipeline and API layer.</w:t>
            </w:r>
          </w:p>
        </w:tc>
      </w:tr>
      <w:tr w:rsidR="007A4153" w14:paraId="56358193" w14:textId="77777777">
        <w:trP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2F2F2"/>
          </w:tcPr>
          <w:p w14:paraId="48C4B25B" w14:textId="77777777" w:rsidR="007A4153" w:rsidRDefault="00194B6C">
            <w:r>
              <w:rPr>
                <w:sz w:val="19"/>
              </w:rPr>
              <w:t>Database</w:t>
            </w:r>
          </w:p>
        </w:tc>
        <w:tc>
          <w:tcPr>
            <w:tcW w:w="2268" w:type="dxa"/>
            <w:tcBorders>
              <w:top w:val="single" w:sz="4" w:space="0" w:color="D9D9D9"/>
              <w:left w:val="single" w:sz="4" w:space="0" w:color="D9D9D9"/>
              <w:bottom w:val="single" w:sz="4" w:space="0" w:color="D9D9D9"/>
              <w:right w:val="single" w:sz="4" w:space="0" w:color="D9D9D9"/>
            </w:tcBorders>
            <w:shd w:val="clear" w:color="auto" w:fill="F2F2F2"/>
          </w:tcPr>
          <w:p w14:paraId="3CFB3403" w14:textId="77777777" w:rsidR="007A4153" w:rsidRDefault="00194B6C">
            <w:r>
              <w:rPr>
                <w:sz w:val="19"/>
              </w:rPr>
              <w:t>PostgreSQL</w:t>
            </w:r>
          </w:p>
        </w:tc>
        <w:tc>
          <w:tcPr>
            <w:tcW w:w="2551" w:type="dxa"/>
            <w:tcBorders>
              <w:top w:val="single" w:sz="4" w:space="0" w:color="D9D9D9"/>
              <w:left w:val="single" w:sz="4" w:space="0" w:color="D9D9D9"/>
              <w:bottom w:val="single" w:sz="4" w:space="0" w:color="D9D9D9"/>
              <w:right w:val="single" w:sz="4" w:space="0" w:color="D9D9D9"/>
            </w:tcBorders>
            <w:shd w:val="clear" w:color="auto" w:fill="F2F2F2"/>
          </w:tcPr>
          <w:p w14:paraId="0C072099" w14:textId="77777777" w:rsidR="007A4153" w:rsidRDefault="00194B6C">
            <w:r>
              <w:rPr>
                <w:b/>
                <w:sz w:val="19"/>
              </w:rPr>
              <w:t>MySQL (Kubernetes Operator)</w:t>
            </w:r>
          </w:p>
        </w:tc>
        <w:tc>
          <w:tcPr>
            <w:tcW w:w="3118" w:type="dxa"/>
            <w:tcBorders>
              <w:top w:val="single" w:sz="4" w:space="0" w:color="D9D9D9"/>
              <w:left w:val="single" w:sz="4" w:space="0" w:color="D9D9D9"/>
              <w:bottom w:val="single" w:sz="4" w:space="0" w:color="D9D9D9"/>
              <w:right w:val="single" w:sz="4" w:space="0" w:color="D9D9D9"/>
            </w:tcBorders>
            <w:shd w:val="clear" w:color="auto" w:fill="F2F2F2"/>
          </w:tcPr>
          <w:p w14:paraId="087A4854" w14:textId="77777777" w:rsidR="007A4153" w:rsidRDefault="00194B6C">
            <w:r>
              <w:rPr>
                <w:sz w:val="19"/>
              </w:rPr>
              <w:t>New database engine alongside existing MySQL infrastructure. Duplicate operational burden.</w:t>
            </w:r>
          </w:p>
        </w:tc>
      </w:tr>
      <w:tr w:rsidR="007A4153" w14:paraId="384761B2" w14:textId="77777777">
        <w:trP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5DB8D40B" w14:textId="77777777" w:rsidR="007A4153" w:rsidRDefault="00194B6C">
            <w:r>
              <w:rPr>
                <w:sz w:val="19"/>
              </w:rPr>
              <w:t>Hosting</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16AB9C90" w14:textId="77777777" w:rsidR="007A4153" w:rsidRDefault="00194B6C">
            <w:r>
              <w:rPr>
                <w:sz w:val="19"/>
              </w:rPr>
              <w:t>Azure Container Apps / AWS ECS / Fargate</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Pr>
          <w:p w14:paraId="50A20FBC" w14:textId="77777777" w:rsidR="007A4153" w:rsidRDefault="00194B6C">
            <w:r>
              <w:rPr>
                <w:b/>
                <w:sz w:val="19"/>
              </w:rPr>
              <w:t>Kubernetes clusters (deployed)</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Pr>
          <w:p w14:paraId="74428DD0" w14:textId="77777777" w:rsidR="007A4153" w:rsidRDefault="00194B6C">
            <w:r>
              <w:rPr>
                <w:sz w:val="19"/>
              </w:rPr>
              <w:t>New hosting platform with separate billing, monitoring, and ops tooling.</w:t>
            </w:r>
          </w:p>
        </w:tc>
      </w:tr>
      <w:tr w:rsidR="007A4153" w14:paraId="1B8D2609" w14:textId="77777777">
        <w:trP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2F2F2"/>
          </w:tcPr>
          <w:p w14:paraId="257BAA54" w14:textId="77777777" w:rsidR="007A4153" w:rsidRDefault="00194B6C">
            <w:r>
              <w:rPr>
                <w:sz w:val="19"/>
              </w:rPr>
              <w:t>Job Queue</w:t>
            </w:r>
          </w:p>
        </w:tc>
        <w:tc>
          <w:tcPr>
            <w:tcW w:w="2268" w:type="dxa"/>
            <w:tcBorders>
              <w:top w:val="single" w:sz="4" w:space="0" w:color="D9D9D9"/>
              <w:left w:val="single" w:sz="4" w:space="0" w:color="D9D9D9"/>
              <w:bottom w:val="single" w:sz="4" w:space="0" w:color="D9D9D9"/>
              <w:right w:val="single" w:sz="4" w:space="0" w:color="D9D9D9"/>
            </w:tcBorders>
            <w:shd w:val="clear" w:color="auto" w:fill="F2F2F2"/>
          </w:tcPr>
          <w:p w14:paraId="144228FE" w14:textId="77777777" w:rsidR="007A4153" w:rsidRDefault="00194B6C">
            <w:r>
              <w:rPr>
                <w:sz w:val="19"/>
              </w:rPr>
              <w:t>Celery + Redis or Temporal.io</w:t>
            </w:r>
          </w:p>
        </w:tc>
        <w:tc>
          <w:tcPr>
            <w:tcW w:w="2551" w:type="dxa"/>
            <w:tcBorders>
              <w:top w:val="single" w:sz="4" w:space="0" w:color="D9D9D9"/>
              <w:left w:val="single" w:sz="4" w:space="0" w:color="D9D9D9"/>
              <w:bottom w:val="single" w:sz="4" w:space="0" w:color="D9D9D9"/>
              <w:right w:val="single" w:sz="4" w:space="0" w:color="D9D9D9"/>
            </w:tcBorders>
            <w:shd w:val="clear" w:color="auto" w:fill="F2F2F2"/>
          </w:tcPr>
          <w:p w14:paraId="492B4EE5" w14:textId="77777777" w:rsidR="007A4153" w:rsidRDefault="00194B6C">
            <w:r>
              <w:rPr>
                <w:b/>
                <w:sz w:val="19"/>
              </w:rPr>
              <w:t>Laravel Queues (Redis/DB)</w:t>
            </w:r>
          </w:p>
        </w:tc>
        <w:tc>
          <w:tcPr>
            <w:tcW w:w="3118" w:type="dxa"/>
            <w:tcBorders>
              <w:top w:val="single" w:sz="4" w:space="0" w:color="D9D9D9"/>
              <w:left w:val="single" w:sz="4" w:space="0" w:color="D9D9D9"/>
              <w:bottom w:val="single" w:sz="4" w:space="0" w:color="D9D9D9"/>
              <w:right w:val="single" w:sz="4" w:space="0" w:color="D9D9D9"/>
            </w:tcBorders>
            <w:shd w:val="clear" w:color="auto" w:fill="F2F2F2"/>
          </w:tcPr>
          <w:p w14:paraId="1D7E90FE" w14:textId="77777777" w:rsidR="007A4153" w:rsidRDefault="00194B6C">
            <w:r>
              <w:rPr>
                <w:sz w:val="19"/>
              </w:rPr>
              <w:t>New job infrastructure. Temporal.io carries significant operational overhead.</w:t>
            </w:r>
          </w:p>
        </w:tc>
      </w:tr>
      <w:tr w:rsidR="007A4153" w14:paraId="277002EE" w14:textId="77777777">
        <w:trP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Pr>
          <w:p w14:paraId="10F8DEDF" w14:textId="77777777" w:rsidR="007A4153" w:rsidRDefault="00194B6C">
            <w:r>
              <w:rPr>
                <w:sz w:val="19"/>
              </w:rPr>
              <w:t>Search</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368ABBF2" w14:textId="77777777" w:rsidR="007A4153" w:rsidRDefault="00194B6C">
            <w:r>
              <w:rPr>
                <w:sz w:val="19"/>
              </w:rPr>
              <w:t>Elasticsearch / Azure AI Search / Meilisearch</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Pr>
          <w:p w14:paraId="03590FD4" w14:textId="77777777" w:rsidR="007A4153" w:rsidRDefault="00194B6C">
            <w:r>
              <w:rPr>
                <w:b/>
                <w:sz w:val="19"/>
              </w:rPr>
              <w:t>MySQL fulltext (available)</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Pr>
          <w:p w14:paraId="0AC0F47D" w14:textId="77777777" w:rsidR="007A4153" w:rsidRDefault="00194B6C">
            <w:r>
              <w:rPr>
                <w:sz w:val="19"/>
              </w:rPr>
              <w:t>Premature infrastructure for Phase 1 contract volumes.</w:t>
            </w:r>
          </w:p>
        </w:tc>
      </w:tr>
    </w:tbl>
    <w:p w14:paraId="0F2D1BB0" w14:textId="77777777" w:rsidR="007A4153" w:rsidRDefault="007A4153"/>
    <w:p w14:paraId="508BDD64" w14:textId="77777777" w:rsidR="007A4153" w:rsidRDefault="00194B6C">
      <w:r>
        <w:t>Adopting the proposed stack means introducing six new infrastructure components that the team has no existing operational experience with, while equivalent capabilities already exist in the current environment.</w:t>
      </w:r>
    </w:p>
    <w:p w14:paraId="20B936D9" w14:textId="77777777" w:rsidR="007A4153" w:rsidRDefault="00194B6C">
      <w:pPr>
        <w:pStyle w:val="Heading1"/>
      </w:pPr>
      <w:r>
        <w:t>4. Recommendations</w:t>
      </w:r>
    </w:p>
    <w:p w14:paraId="7C79DD6C" w14:textId="77777777" w:rsidR="007A4153" w:rsidRDefault="00194B6C">
      <w:pPr>
        <w:pStyle w:val="Heading2"/>
      </w:pPr>
      <w:r>
        <w:t>4.1 Backend: Use Laravel, not FastAPI</w:t>
      </w:r>
    </w:p>
    <w:p w14:paraId="6A307A15" w14:textId="77777777" w:rsidR="007A4153" w:rsidRDefault="00194B6C">
      <w:r>
        <w:t>Laravel is the established backend framework at Digittal Group with existing developers, deployment pipelines, and operational knowledge. The CCRS functional requirements (RBAC, workflow state machines, webhook handling, REST APIs, background jobs, scheduling) are all first-class capabilities in Laravel.</w:t>
      </w:r>
    </w:p>
    <w:p w14:paraId="60C86F96" w14:textId="77777777" w:rsidR="007A4153" w:rsidRDefault="00194B6C">
      <w:r>
        <w:t>The only dependency on Python is the Anthropic Claude SDK for AI processing. This should be isolated as a dedicated AI worker microservice deployed alongside the Laravel application on Kubernetes, rather than used as justification to rebuild the entire backend in Python.</w:t>
      </w:r>
    </w:p>
    <w:p w14:paraId="046DC648" w14:textId="77777777" w:rsidR="007A4153" w:rsidRDefault="00194B6C">
      <w:r>
        <w:rPr>
          <w:b/>
        </w:rPr>
        <w:t xml:space="preserve">Architecture: </w:t>
      </w:r>
      <w:r>
        <w:t xml:space="preserve">Laravel handles all application logic, API endpoints, workflow orchestration, RBAC, and integrations. A Python-based AI worker service consumes jobs from the queue, processes contracts </w:t>
      </w:r>
      <w:r>
        <w:lastRenderedPageBreak/>
        <w:t>using the Claude Agent SDK / Messages API, and returns results. Communication is via Laravel's queue system (Redis) or HTTP callbacks.</w:t>
      </w:r>
    </w:p>
    <w:p w14:paraId="025C6425" w14:textId="77777777" w:rsidR="007A4153" w:rsidRDefault="00194B6C">
      <w:pPr>
        <w:pStyle w:val="Heading2"/>
      </w:pPr>
      <w:r>
        <w:t>4.2 Frontend: Use Laravel Filament, not Next.js / React</w:t>
      </w:r>
    </w:p>
    <w:p w14:paraId="2D7A8475" w14:textId="77777777" w:rsidR="007A4153" w:rsidRDefault="00194B6C">
      <w:r>
        <w:t>The specification proposes Next.js with React and TypeScript as a decoupled single-page application. This introduces a separate frontend framework, build pipeline, API serialisation layer, and state management system — all maintained independently from the backend.</w:t>
      </w:r>
    </w:p>
    <w:p w14:paraId="50384C01" w14:textId="77777777" w:rsidR="007A4153" w:rsidRDefault="00194B6C">
      <w:r>
        <w:t>CCRS is fundamentally a back-office application: forms, tables, dashboards, RBAC-gated views, workflow management, and reporting. This is precisely the category of application where Laravel's native frontend ecosystem excels.</w:t>
      </w:r>
    </w:p>
    <w:p w14:paraId="1AC8A87E" w14:textId="77777777" w:rsidR="007A4153" w:rsidRDefault="00194B6C">
      <w:r>
        <w:rPr>
          <w:b/>
        </w:rPr>
        <w:t xml:space="preserve">Recommended: Filament (built on Laravel Livewire). </w:t>
      </w:r>
      <w:r>
        <w:t>Filament is a full-featured administration panel framework for Laravel that provides out-of-the-box support for: resource CRUD with relationship management, form builders with validation, table builders with sorting/filtering/export, dashboard widgets and charts, RBAC and policy integration, notification system, and responsive design. The majority of CCRS screens (contract listing, counterparty management, org structure admin, audit trails, reporting dashboards) map directly to Filament resources and pages.</w:t>
      </w:r>
    </w:p>
    <w:p w14:paraId="1EF4B35B" w14:textId="77777777" w:rsidR="007A4153" w:rsidRDefault="00194B6C">
      <w:r>
        <w:t>For the visual workflow builder (drag-and-drop graph editor), Filament supports custom Livewire components that can embed JavaScript libraries. A workflow editor can be built as a custom Filament page using a JS graph library (e.g. Flowy, Drawflow, or React Flow embedded via Alpine.js) without adopting React for the entire application.</w:t>
      </w:r>
    </w:p>
    <w:p w14:paraId="2C916BC6" w14:textId="77777777" w:rsidR="007A4153" w:rsidRDefault="00194B6C">
      <w:r>
        <w:rPr>
          <w:b/>
        </w:rPr>
        <w:t xml:space="preserve">Key advantages over a decoupled SPA: </w:t>
      </w:r>
      <w:r>
        <w:t>No separate frontend build pipeline or deployment. No API serialisation layer to maintain. Backend developers build the UI directly using PHP/Blade. Authentication, authorisation, and session management are handled natively by Laravel. Significantly faster development velocity for data-heavy administrative interfaces.</w:t>
      </w:r>
    </w:p>
    <w:p w14:paraId="61E049DE" w14:textId="77777777" w:rsidR="007A4153" w:rsidRDefault="00194B6C">
      <w:r>
        <w:t>Digittal Group's existing Flutter expertise remains valuable for client-facing mobile applications (e.g. TiTo). CCRS, as an internal back-office tool, benefits more from tight Laravel integration than from a decoupled SPA architecture.</w:t>
      </w:r>
    </w:p>
    <w:p w14:paraId="747EB9AA" w14:textId="77777777" w:rsidR="007A4153" w:rsidRDefault="00194B6C">
      <w:pPr>
        <w:pStyle w:val="Heading2"/>
      </w:pPr>
      <w:r>
        <w:t>4.3 Database: Use MySQL, not PostgreSQL</w:t>
      </w:r>
    </w:p>
    <w:p w14:paraId="3CA59DCD" w14:textId="77777777" w:rsidR="007A4153" w:rsidRDefault="00194B6C">
      <w:r>
        <w:t>Digittal Group operates MySQL via the MySQL Operator on Kubernetes with established backup, monitoring, and failover procedures. Nothing in the CCRS specification requires PostgreSQL-specific features. MySQL 8+ supports JSON columns, CTEs, window functions, fulltext indexing, and all data modelling requirements for CCRS.</w:t>
      </w:r>
    </w:p>
    <w:p w14:paraId="38A3A2CE" w14:textId="77777777" w:rsidR="007A4153" w:rsidRDefault="00194B6C">
      <w:r>
        <w:t>Introducing PostgreSQL means a parallel database platform with separate operational knowledge, separate backup tooling, and separate incident response procedures. This is unnecessary cost and risk.</w:t>
      </w:r>
    </w:p>
    <w:p w14:paraId="78A990CC" w14:textId="77777777" w:rsidR="007A4153" w:rsidRDefault="00194B6C">
      <w:pPr>
        <w:pStyle w:val="Heading2"/>
      </w:pPr>
      <w:r>
        <w:lastRenderedPageBreak/>
        <w:t>4.4 Hosting: Deploy on Existing Kubernetes, not ACA / ECS</w:t>
      </w:r>
    </w:p>
    <w:p w14:paraId="1C24EBC1" w14:textId="77777777" w:rsidR="007A4153" w:rsidRDefault="00194B6C">
      <w:r>
        <w:t>The specification suggests Azure Container Apps, AWS ECS/Fargate, or Kubernetes. Since Kubernetes clusters are already deployed and operational, CCRS should be containerised (Docker) and deployed to the existing clusters using standard Kubernetes resources (Deployments, Services, Ingress, ConfigMaps, Secrets).</w:t>
      </w:r>
    </w:p>
    <w:p w14:paraId="4F751883" w14:textId="77777777" w:rsidR="007A4153" w:rsidRDefault="00194B6C">
      <w:r>
        <w:t>This avoids new cloud service subscriptions, new billing dimensions, and new infrastructure management tooling. Secrets management should use the existing Kubernetes secrets infrastructure or HashiCorp Vault if already deployed.</w:t>
      </w:r>
    </w:p>
    <w:p w14:paraId="5A3A4BC7" w14:textId="77777777" w:rsidR="007A4153" w:rsidRDefault="00194B6C">
      <w:pPr>
        <w:pStyle w:val="Heading2"/>
      </w:pPr>
      <w:r>
        <w:t>4.5 Job Queue: Use Laravel Queues, not Celery / Temporal</w:t>
      </w:r>
    </w:p>
    <w:p w14:paraId="097A0A9B" w14:textId="77777777" w:rsidR="007A4153" w:rsidRDefault="00194B6C">
      <w:r>
        <w:t>Laravel's native queue system supports Redis, database, and SQS drivers with built-in retry logic, failure handling, rate limiting, and job chaining. Laravel's task scheduler handles recurring jobs (reminders, escalation checks, SLA monitoring).</w:t>
      </w:r>
    </w:p>
    <w:p w14:paraId="29F592B5" w14:textId="77777777" w:rsidR="007A4153" w:rsidRDefault="00194B6C">
      <w:r>
        <w:t>For the workflow state machine, a Laravel package such as laravel-eloquent-state-machines or a similar library provides the required state transitions, guards, and audit logging without introducing Temporal.io (which is a distributed systems platform with its own server infrastructure, monitoring, and operational complexity).</w:t>
      </w:r>
    </w:p>
    <w:p w14:paraId="4D09FEA6" w14:textId="77777777" w:rsidR="007A4153" w:rsidRDefault="00194B6C">
      <w:r>
        <w:t>The Python AI worker service can use its own lightweight job consumption (e.g. a Redis queue listener) without requiring Celery infrastructure.</w:t>
      </w:r>
    </w:p>
    <w:p w14:paraId="137AF86E" w14:textId="77777777" w:rsidR="007A4153" w:rsidRDefault="00194B6C">
      <w:pPr>
        <w:pStyle w:val="Heading2"/>
      </w:pPr>
      <w:r>
        <w:t>4.6 Search: Start with MySQL Fulltext, Scale Later</w:t>
      </w:r>
    </w:p>
    <w:p w14:paraId="6F994A6E" w14:textId="77777777" w:rsidR="007A4153" w:rsidRDefault="00194B6C">
      <w:r>
        <w:t>For Phase 1, MySQL fulltext indexing combined with metadata filtering provides adequate search performance for the initial contract volumes. The 2-second search SLA is achievable with proper indexing.</w:t>
      </w:r>
    </w:p>
    <w:p w14:paraId="66C9602F" w14:textId="77777777" w:rsidR="007A4153" w:rsidRDefault="00194B6C">
      <w:r>
        <w:t>If search requirements grow beyond MySQL capabilities (complex faceted search, fuzzy matching at scale, relevance tuning), Meilisearch is a lightweight, self-hosted option that runs easily on Kubernetes. This decision can be deferred to Phase 1c or later without architectural risk, as the search interface can be abstracted behind a service layer.</w:t>
      </w:r>
    </w:p>
    <w:p w14:paraId="567BDF96" w14:textId="77777777" w:rsidR="007A4153" w:rsidRDefault="00194B6C">
      <w:pPr>
        <w:pStyle w:val="Heading2"/>
      </w:pPr>
      <w:r>
        <w:t>4.7 AI Architecture: Retain the Design, Isolate the Runtime</w:t>
      </w:r>
    </w:p>
    <w:p w14:paraId="693D68A3" w14:textId="77777777" w:rsidR="007A4153" w:rsidRDefault="00194B6C">
      <w:r>
        <w:t>The hybrid AI architecture described in the specification is well-designed and should be retained:</w:t>
      </w:r>
    </w:p>
    <w:p w14:paraId="73E42BAC" w14:textId="77777777" w:rsidR="007A4153" w:rsidRDefault="00194B6C">
      <w:pPr>
        <w:pStyle w:val="ListBullet"/>
      </w:pPr>
      <w:r>
        <w:rPr>
          <w:b/>
        </w:rPr>
        <w:t xml:space="preserve">Claude Agent SDK: </w:t>
      </w:r>
      <w:r>
        <w:t>for complex multi-step tasks (full contract analysis, risk scoring, template deviation, obligation extraction, workflow generation).</w:t>
      </w:r>
    </w:p>
    <w:p w14:paraId="136C6C5C" w14:textId="77777777" w:rsidR="007A4153" w:rsidRDefault="00194B6C">
      <w:pPr>
        <w:pStyle w:val="ListBullet"/>
      </w:pPr>
      <w:r>
        <w:rPr>
          <w:b/>
        </w:rPr>
        <w:t xml:space="preserve">Anthropic Messages API: </w:t>
      </w:r>
      <w:r>
        <w:t>for high-throughput single-turn tasks (summaries, classification, language detection).</w:t>
      </w:r>
    </w:p>
    <w:p w14:paraId="4185B719" w14:textId="77777777" w:rsidR="007A4153" w:rsidRDefault="00194B6C">
      <w:pPr>
        <w:pStyle w:val="ListBullet"/>
      </w:pPr>
      <w:r>
        <w:rPr>
          <w:b/>
        </w:rPr>
        <w:t xml:space="preserve">MCP tool integrations: </w:t>
      </w:r>
      <w:r>
        <w:t>for agents to query internal systems (org structure, authority matrix, templates).</w:t>
      </w:r>
    </w:p>
    <w:p w14:paraId="41CE2455" w14:textId="77777777" w:rsidR="007A4153" w:rsidRDefault="00194B6C">
      <w:pPr>
        <w:pStyle w:val="ListBullet"/>
      </w:pPr>
      <w:r>
        <w:rPr>
          <w:b/>
        </w:rPr>
        <w:t xml:space="preserve">Cost controls: </w:t>
      </w:r>
      <w:r>
        <w:t>per-agent budget limits, token logging, and monitoring dashboards.</w:t>
      </w:r>
    </w:p>
    <w:p w14:paraId="1C549A16" w14:textId="77777777" w:rsidR="007A4153" w:rsidRDefault="00194B6C">
      <w:r>
        <w:lastRenderedPageBreak/>
        <w:t>The change is deployment architecture only: the AI components run as a dedicated Python microservice on Kubernetes, receiving work from the Laravel application via queue jobs. MCP tools should call back to the Laravel API for data access rather than connecting directly to the database.</w:t>
      </w:r>
    </w:p>
    <w:p w14:paraId="74A80339" w14:textId="77777777" w:rsidR="007A4153" w:rsidRDefault="00194B6C">
      <w:r>
        <w:rPr>
          <w:b/>
          <w:color w:val="C0392B"/>
        </w:rPr>
        <w:t xml:space="preserve">Cost warning: </w:t>
      </w:r>
      <w:r>
        <w:t>At 50,000+ contracts with autonomous agent processing, AI costs could be substantial. A detailed cost model must be produced during discovery, including per-contract cost estimates for agent-based analysis vs. direct API calls, projected monthly spend at full volume, and break-even analysis for the AI features versus manual review.</w:t>
      </w:r>
    </w:p>
    <w:p w14:paraId="6C909B9D" w14:textId="77777777" w:rsidR="007A4153" w:rsidRDefault="00194B6C">
      <w:pPr>
        <w:pStyle w:val="Heading1"/>
      </w:pPr>
      <w:r>
        <w:t>5. Revised Technology Stack Summary</w:t>
      </w:r>
    </w:p>
    <w:tbl>
      <w:tblPr>
        <w:tblW w:w="0" w:type="auto"/>
        <w:jc w:val="center"/>
        <w:tblLook w:val="04A0" w:firstRow="1" w:lastRow="0" w:firstColumn="1" w:lastColumn="0" w:noHBand="0" w:noVBand="1"/>
      </w:tblPr>
      <w:tblGrid>
        <w:gridCol w:w="1814"/>
        <w:gridCol w:w="2438"/>
        <w:gridCol w:w="5102"/>
      </w:tblGrid>
      <w:tr w:rsidR="007A4153" w14:paraId="41F96303" w14:textId="77777777">
        <w:trPr>
          <w:jc w:val="center"/>
        </w:trPr>
        <w:tc>
          <w:tcPr>
            <w:tcW w:w="1814" w:type="dxa"/>
            <w:tcBorders>
              <w:top w:val="single" w:sz="4" w:space="0" w:color="1F3864"/>
              <w:left w:val="single" w:sz="4" w:space="0" w:color="1F3864"/>
              <w:bottom w:val="single" w:sz="4" w:space="0" w:color="1F3864"/>
              <w:right w:val="single" w:sz="4" w:space="0" w:color="1F3864"/>
            </w:tcBorders>
            <w:shd w:val="clear" w:color="auto" w:fill="1F3864"/>
          </w:tcPr>
          <w:p w14:paraId="02AEC442" w14:textId="77777777" w:rsidR="007A4153" w:rsidRDefault="00194B6C">
            <w:r>
              <w:rPr>
                <w:b/>
                <w:color w:val="FFFFFF"/>
                <w:sz w:val="19"/>
              </w:rPr>
              <w:t>Component</w:t>
            </w:r>
          </w:p>
        </w:tc>
        <w:tc>
          <w:tcPr>
            <w:tcW w:w="2438" w:type="dxa"/>
            <w:tcBorders>
              <w:top w:val="single" w:sz="4" w:space="0" w:color="1F3864"/>
              <w:left w:val="single" w:sz="4" w:space="0" w:color="1F3864"/>
              <w:bottom w:val="single" w:sz="4" w:space="0" w:color="1F3864"/>
              <w:right w:val="single" w:sz="4" w:space="0" w:color="1F3864"/>
            </w:tcBorders>
            <w:shd w:val="clear" w:color="auto" w:fill="1F3864"/>
          </w:tcPr>
          <w:p w14:paraId="05ABD2F3" w14:textId="77777777" w:rsidR="007A4153" w:rsidRDefault="00194B6C">
            <w:r>
              <w:rPr>
                <w:b/>
                <w:color w:val="FFFFFF"/>
                <w:sz w:val="19"/>
              </w:rPr>
              <w:t>Recommendation</w:t>
            </w:r>
          </w:p>
        </w:tc>
        <w:tc>
          <w:tcPr>
            <w:tcW w:w="5102" w:type="dxa"/>
            <w:tcBorders>
              <w:top w:val="single" w:sz="4" w:space="0" w:color="1F3864"/>
              <w:left w:val="single" w:sz="4" w:space="0" w:color="1F3864"/>
              <w:bottom w:val="single" w:sz="4" w:space="0" w:color="1F3864"/>
              <w:right w:val="single" w:sz="4" w:space="0" w:color="1F3864"/>
            </w:tcBorders>
            <w:shd w:val="clear" w:color="auto" w:fill="1F3864"/>
          </w:tcPr>
          <w:p w14:paraId="2BC865E2" w14:textId="77777777" w:rsidR="007A4153" w:rsidRDefault="00194B6C">
            <w:r>
              <w:rPr>
                <w:b/>
                <w:color w:val="FFFFFF"/>
                <w:sz w:val="19"/>
              </w:rPr>
              <w:t>Notes</w:t>
            </w:r>
          </w:p>
        </w:tc>
      </w:tr>
      <w:tr w:rsidR="007A4153" w14:paraId="319BB676"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2F2F2"/>
          </w:tcPr>
          <w:p w14:paraId="17584578" w14:textId="77777777" w:rsidR="007A4153" w:rsidRDefault="00194B6C">
            <w:r>
              <w:rPr>
                <w:sz w:val="19"/>
              </w:rPr>
              <w:t>Backend</w:t>
            </w:r>
          </w:p>
        </w:tc>
        <w:tc>
          <w:tcPr>
            <w:tcW w:w="2438" w:type="dxa"/>
            <w:tcBorders>
              <w:top w:val="single" w:sz="4" w:space="0" w:color="D9D9D9"/>
              <w:left w:val="single" w:sz="4" w:space="0" w:color="D9D9D9"/>
              <w:bottom w:val="single" w:sz="4" w:space="0" w:color="D9D9D9"/>
              <w:right w:val="single" w:sz="4" w:space="0" w:color="D9D9D9"/>
            </w:tcBorders>
            <w:shd w:val="clear" w:color="auto" w:fill="F2F2F2"/>
          </w:tcPr>
          <w:p w14:paraId="306DC072" w14:textId="77777777" w:rsidR="007A4153" w:rsidRDefault="00194B6C">
            <w:r>
              <w:rPr>
                <w:b/>
                <w:sz w:val="19"/>
              </w:rPr>
              <w:t>PHP / Laravel</w:t>
            </w:r>
          </w:p>
        </w:tc>
        <w:tc>
          <w:tcPr>
            <w:tcW w:w="5102" w:type="dxa"/>
            <w:tcBorders>
              <w:top w:val="single" w:sz="4" w:space="0" w:color="D9D9D9"/>
              <w:left w:val="single" w:sz="4" w:space="0" w:color="D9D9D9"/>
              <w:bottom w:val="single" w:sz="4" w:space="0" w:color="D9D9D9"/>
              <w:right w:val="single" w:sz="4" w:space="0" w:color="D9D9D9"/>
            </w:tcBorders>
            <w:shd w:val="clear" w:color="auto" w:fill="F2F2F2"/>
          </w:tcPr>
          <w:p w14:paraId="7D7CA390" w14:textId="77777777" w:rsidR="007A4153" w:rsidRDefault="00194B6C">
            <w:r>
              <w:rPr>
                <w:sz w:val="19"/>
              </w:rPr>
              <w:t>Existing framework, team, and pipelines. Handles API, RBAC, workflows, integrations.</w:t>
            </w:r>
          </w:p>
        </w:tc>
      </w:tr>
      <w:tr w:rsidR="007A4153" w14:paraId="21F3CB2F"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Pr>
          <w:p w14:paraId="3DB39D1E" w14:textId="77777777" w:rsidR="007A4153" w:rsidRDefault="00194B6C">
            <w:r>
              <w:rPr>
                <w:sz w:val="19"/>
              </w:rPr>
              <w:t>Frontend</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Pr>
          <w:p w14:paraId="2E9F4FFB" w14:textId="77777777" w:rsidR="007A4153" w:rsidRDefault="00194B6C">
            <w:r>
              <w:rPr>
                <w:b/>
                <w:sz w:val="19"/>
              </w:rPr>
              <w:t>Laravel Filament (Livewire)</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Pr>
          <w:p w14:paraId="30CC1FFC" w14:textId="77777777" w:rsidR="007A4153" w:rsidRDefault="00194B6C">
            <w:r>
              <w:rPr>
                <w:sz w:val="19"/>
              </w:rPr>
              <w:t>Back-office UI built by backend devs. Custom Livewire component for workflow graph editor.</w:t>
            </w:r>
          </w:p>
        </w:tc>
      </w:tr>
      <w:tr w:rsidR="007A4153" w14:paraId="29C83F2C"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2F2F2"/>
          </w:tcPr>
          <w:p w14:paraId="20C68C3D" w14:textId="77777777" w:rsidR="007A4153" w:rsidRDefault="00194B6C">
            <w:r>
              <w:rPr>
                <w:sz w:val="19"/>
              </w:rPr>
              <w:t>Database</w:t>
            </w:r>
          </w:p>
        </w:tc>
        <w:tc>
          <w:tcPr>
            <w:tcW w:w="2438" w:type="dxa"/>
            <w:tcBorders>
              <w:top w:val="single" w:sz="4" w:space="0" w:color="D9D9D9"/>
              <w:left w:val="single" w:sz="4" w:space="0" w:color="D9D9D9"/>
              <w:bottom w:val="single" w:sz="4" w:space="0" w:color="D9D9D9"/>
              <w:right w:val="single" w:sz="4" w:space="0" w:color="D9D9D9"/>
            </w:tcBorders>
            <w:shd w:val="clear" w:color="auto" w:fill="F2F2F2"/>
          </w:tcPr>
          <w:p w14:paraId="7BFEC28B" w14:textId="77777777" w:rsidR="007A4153" w:rsidRDefault="00194B6C">
            <w:r>
              <w:rPr>
                <w:b/>
                <w:sz w:val="19"/>
              </w:rPr>
              <w:t>MySQL 8+ (K8s Operator)</w:t>
            </w:r>
          </w:p>
        </w:tc>
        <w:tc>
          <w:tcPr>
            <w:tcW w:w="5102" w:type="dxa"/>
            <w:tcBorders>
              <w:top w:val="single" w:sz="4" w:space="0" w:color="D9D9D9"/>
              <w:left w:val="single" w:sz="4" w:space="0" w:color="D9D9D9"/>
              <w:bottom w:val="single" w:sz="4" w:space="0" w:color="D9D9D9"/>
              <w:right w:val="single" w:sz="4" w:space="0" w:color="D9D9D9"/>
            </w:tcBorders>
            <w:shd w:val="clear" w:color="auto" w:fill="F2F2F2"/>
          </w:tcPr>
          <w:p w14:paraId="777A4C26" w14:textId="77777777" w:rsidR="007A4153" w:rsidRDefault="00194B6C">
            <w:r>
              <w:rPr>
                <w:sz w:val="19"/>
              </w:rPr>
              <w:t>Existing infrastructure, backups, monitoring. No PostgreSQL-specific needs.</w:t>
            </w:r>
          </w:p>
        </w:tc>
      </w:tr>
      <w:tr w:rsidR="007A4153" w14:paraId="2864A07A"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Pr>
          <w:p w14:paraId="022C4E15" w14:textId="77777777" w:rsidR="007A4153" w:rsidRDefault="00194B6C">
            <w:r>
              <w:rPr>
                <w:sz w:val="19"/>
              </w:rPr>
              <w:t>Hosting</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Pr>
          <w:p w14:paraId="78BC3FF6" w14:textId="77777777" w:rsidR="007A4153" w:rsidRDefault="00194B6C">
            <w:r>
              <w:rPr>
                <w:b/>
                <w:sz w:val="19"/>
              </w:rPr>
              <w:t>Existing Kubernetes clusters</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Pr>
          <w:p w14:paraId="68EEB362" w14:textId="77777777" w:rsidR="007A4153" w:rsidRDefault="00194B6C">
            <w:r>
              <w:rPr>
                <w:sz w:val="19"/>
              </w:rPr>
              <w:t>Docker containers on current K8s. No new cloud services.</w:t>
            </w:r>
          </w:p>
        </w:tc>
      </w:tr>
      <w:tr w:rsidR="007A4153" w14:paraId="799FBB10"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2F2F2"/>
          </w:tcPr>
          <w:p w14:paraId="376D350C" w14:textId="77777777" w:rsidR="007A4153" w:rsidRDefault="00194B6C">
            <w:r>
              <w:rPr>
                <w:sz w:val="19"/>
              </w:rPr>
              <w:t>Job Queue</w:t>
            </w:r>
          </w:p>
        </w:tc>
        <w:tc>
          <w:tcPr>
            <w:tcW w:w="2438" w:type="dxa"/>
            <w:tcBorders>
              <w:top w:val="single" w:sz="4" w:space="0" w:color="D9D9D9"/>
              <w:left w:val="single" w:sz="4" w:space="0" w:color="D9D9D9"/>
              <w:bottom w:val="single" w:sz="4" w:space="0" w:color="D9D9D9"/>
              <w:right w:val="single" w:sz="4" w:space="0" w:color="D9D9D9"/>
            </w:tcBorders>
            <w:shd w:val="clear" w:color="auto" w:fill="F2F2F2"/>
          </w:tcPr>
          <w:p w14:paraId="7398E732" w14:textId="77777777" w:rsidR="007A4153" w:rsidRDefault="00194B6C">
            <w:r>
              <w:rPr>
                <w:b/>
                <w:sz w:val="19"/>
              </w:rPr>
              <w:t>Laravel Queues (Redis)</w:t>
            </w:r>
          </w:p>
        </w:tc>
        <w:tc>
          <w:tcPr>
            <w:tcW w:w="5102" w:type="dxa"/>
            <w:tcBorders>
              <w:top w:val="single" w:sz="4" w:space="0" w:color="D9D9D9"/>
              <w:left w:val="single" w:sz="4" w:space="0" w:color="D9D9D9"/>
              <w:bottom w:val="single" w:sz="4" w:space="0" w:color="D9D9D9"/>
              <w:right w:val="single" w:sz="4" w:space="0" w:color="D9D9D9"/>
            </w:tcBorders>
            <w:shd w:val="clear" w:color="auto" w:fill="F2F2F2"/>
          </w:tcPr>
          <w:p w14:paraId="4BEA6133" w14:textId="77777777" w:rsidR="007A4153" w:rsidRDefault="00194B6C">
            <w:r>
              <w:rPr>
                <w:sz w:val="19"/>
              </w:rPr>
              <w:t>Native scheduler for reminders/escalations. State machine package for workflows.</w:t>
            </w:r>
          </w:p>
        </w:tc>
      </w:tr>
      <w:tr w:rsidR="007A4153" w14:paraId="5CEB6E9D"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Pr>
          <w:p w14:paraId="7FD85756" w14:textId="77777777" w:rsidR="007A4153" w:rsidRDefault="00194B6C">
            <w:r>
              <w:rPr>
                <w:sz w:val="19"/>
              </w:rPr>
              <w:t>Search</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Pr>
          <w:p w14:paraId="299B6844" w14:textId="77777777" w:rsidR="007A4153" w:rsidRDefault="00194B6C">
            <w:r>
              <w:rPr>
                <w:b/>
                <w:sz w:val="19"/>
              </w:rPr>
              <w:t>MySQL fulltext (Phase 1)</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Pr>
          <w:p w14:paraId="49FBD371" w14:textId="77777777" w:rsidR="007A4153" w:rsidRDefault="00194B6C">
            <w:r>
              <w:rPr>
                <w:sz w:val="19"/>
              </w:rPr>
              <w:t>Scale to Meilisearch on K8s if needed later.</w:t>
            </w:r>
          </w:p>
        </w:tc>
      </w:tr>
      <w:tr w:rsidR="007A4153" w14:paraId="14611692"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2F2F2"/>
          </w:tcPr>
          <w:p w14:paraId="4EFF71B3" w14:textId="77777777" w:rsidR="007A4153" w:rsidRDefault="00194B6C">
            <w:r>
              <w:rPr>
                <w:sz w:val="19"/>
              </w:rPr>
              <w:t>AI Processing</w:t>
            </w:r>
          </w:p>
        </w:tc>
        <w:tc>
          <w:tcPr>
            <w:tcW w:w="2438" w:type="dxa"/>
            <w:tcBorders>
              <w:top w:val="single" w:sz="4" w:space="0" w:color="D9D9D9"/>
              <w:left w:val="single" w:sz="4" w:space="0" w:color="D9D9D9"/>
              <w:bottom w:val="single" w:sz="4" w:space="0" w:color="D9D9D9"/>
              <w:right w:val="single" w:sz="4" w:space="0" w:color="D9D9D9"/>
            </w:tcBorders>
            <w:shd w:val="clear" w:color="auto" w:fill="F2F2F2"/>
          </w:tcPr>
          <w:p w14:paraId="38B9B2C0" w14:textId="77777777" w:rsidR="007A4153" w:rsidRDefault="00194B6C">
            <w:r>
              <w:rPr>
                <w:b/>
                <w:sz w:val="19"/>
              </w:rPr>
              <w:t>Python microservice on K8s</w:t>
            </w:r>
          </w:p>
        </w:tc>
        <w:tc>
          <w:tcPr>
            <w:tcW w:w="5102" w:type="dxa"/>
            <w:tcBorders>
              <w:top w:val="single" w:sz="4" w:space="0" w:color="D9D9D9"/>
              <w:left w:val="single" w:sz="4" w:space="0" w:color="D9D9D9"/>
              <w:bottom w:val="single" w:sz="4" w:space="0" w:color="D9D9D9"/>
              <w:right w:val="single" w:sz="4" w:space="0" w:color="D9D9D9"/>
            </w:tcBorders>
            <w:shd w:val="clear" w:color="auto" w:fill="F2F2F2"/>
          </w:tcPr>
          <w:p w14:paraId="470B379B" w14:textId="77777777" w:rsidR="007A4153" w:rsidRDefault="00194B6C">
            <w:r>
              <w:rPr>
                <w:sz w:val="19"/>
              </w:rPr>
              <w:t>Claude Agent SDK + Messages API. Isolated service, queue-driven.</w:t>
            </w:r>
          </w:p>
        </w:tc>
      </w:tr>
      <w:tr w:rsidR="007A4153" w14:paraId="689D4040"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Pr>
          <w:p w14:paraId="6BAB89AC" w14:textId="77777777" w:rsidR="007A4153" w:rsidRDefault="00194B6C">
            <w:r>
              <w:rPr>
                <w:sz w:val="19"/>
              </w:rPr>
              <w:t>AI Tooling</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Pr>
          <w:p w14:paraId="2ECD72E3" w14:textId="77777777" w:rsidR="007A4153" w:rsidRDefault="00194B6C">
            <w:r>
              <w:rPr>
                <w:b/>
                <w:sz w:val="19"/>
              </w:rPr>
              <w:t>MCP tools via Laravel API</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Pr>
          <w:p w14:paraId="1ABD3B6B" w14:textId="77777777" w:rsidR="007A4153" w:rsidRDefault="00194B6C">
            <w:r>
              <w:rPr>
                <w:sz w:val="19"/>
              </w:rPr>
              <w:t>Agents access org/authority/templates through Laravel endpoints.</w:t>
            </w:r>
          </w:p>
        </w:tc>
      </w:tr>
      <w:tr w:rsidR="007A4153" w14:paraId="6E00394E"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2F2F2"/>
          </w:tcPr>
          <w:p w14:paraId="73B6C2EB" w14:textId="77777777" w:rsidR="007A4153" w:rsidRDefault="00194B6C">
            <w:r>
              <w:rPr>
                <w:sz w:val="19"/>
              </w:rPr>
              <w:t>Document Gen</w:t>
            </w:r>
          </w:p>
        </w:tc>
        <w:tc>
          <w:tcPr>
            <w:tcW w:w="2438" w:type="dxa"/>
            <w:tcBorders>
              <w:top w:val="single" w:sz="4" w:space="0" w:color="D9D9D9"/>
              <w:left w:val="single" w:sz="4" w:space="0" w:color="D9D9D9"/>
              <w:bottom w:val="single" w:sz="4" w:space="0" w:color="D9D9D9"/>
              <w:right w:val="single" w:sz="4" w:space="0" w:color="D9D9D9"/>
            </w:tcBorders>
            <w:shd w:val="clear" w:color="auto" w:fill="F2F2F2"/>
          </w:tcPr>
          <w:p w14:paraId="4560B23F" w14:textId="77777777" w:rsidR="007A4153" w:rsidRDefault="00194B6C">
            <w:r>
              <w:rPr>
                <w:b/>
                <w:sz w:val="19"/>
              </w:rPr>
              <w:t>Laravel + templating</w:t>
            </w:r>
          </w:p>
        </w:tc>
        <w:tc>
          <w:tcPr>
            <w:tcW w:w="5102" w:type="dxa"/>
            <w:tcBorders>
              <w:top w:val="single" w:sz="4" w:space="0" w:color="D9D9D9"/>
              <w:left w:val="single" w:sz="4" w:space="0" w:color="D9D9D9"/>
              <w:bottom w:val="single" w:sz="4" w:space="0" w:color="D9D9D9"/>
              <w:right w:val="single" w:sz="4" w:space="0" w:color="D9D9D9"/>
            </w:tcBorders>
            <w:shd w:val="clear" w:color="auto" w:fill="F2F2F2"/>
          </w:tcPr>
          <w:p w14:paraId="29A304E9" w14:textId="77777777" w:rsidR="007A4153" w:rsidRDefault="00194B6C">
            <w:r>
              <w:rPr>
                <w:sz w:val="19"/>
              </w:rPr>
              <w:t>Laravel-native or Python sidecar (python-docx-template / WeasyPrint).</w:t>
            </w:r>
          </w:p>
        </w:tc>
      </w:tr>
      <w:tr w:rsidR="007A4153" w14:paraId="29EBFAE2"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Pr>
          <w:p w14:paraId="19A35D4C" w14:textId="77777777" w:rsidR="007A4153" w:rsidRDefault="00194B6C">
            <w:r>
              <w:rPr>
                <w:sz w:val="19"/>
              </w:rPr>
              <w:t>Observability</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Pr>
          <w:p w14:paraId="2B3EFF1B" w14:textId="77777777" w:rsidR="007A4153" w:rsidRDefault="00194B6C">
            <w:r>
              <w:rPr>
                <w:b/>
                <w:sz w:val="19"/>
              </w:rPr>
              <w:t>OpenTelemetry + existing stack</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Pr>
          <w:p w14:paraId="2ACD8820" w14:textId="77777777" w:rsidR="007A4153" w:rsidRDefault="00194B6C">
            <w:r>
              <w:rPr>
                <w:sz w:val="19"/>
              </w:rPr>
              <w:t>Structured logging, APM, health checks. Export to existing monitoring.</w:t>
            </w:r>
          </w:p>
        </w:tc>
      </w:tr>
      <w:tr w:rsidR="007A4153" w14:paraId="7A058A56"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2F2F2"/>
          </w:tcPr>
          <w:p w14:paraId="5D047FF9" w14:textId="77777777" w:rsidR="007A4153" w:rsidRDefault="00194B6C">
            <w:r>
              <w:rPr>
                <w:sz w:val="19"/>
              </w:rPr>
              <w:t>Identity / SSO</w:t>
            </w:r>
          </w:p>
        </w:tc>
        <w:tc>
          <w:tcPr>
            <w:tcW w:w="2438" w:type="dxa"/>
            <w:tcBorders>
              <w:top w:val="single" w:sz="4" w:space="0" w:color="D9D9D9"/>
              <w:left w:val="single" w:sz="4" w:space="0" w:color="D9D9D9"/>
              <w:bottom w:val="single" w:sz="4" w:space="0" w:color="D9D9D9"/>
              <w:right w:val="single" w:sz="4" w:space="0" w:color="D9D9D9"/>
            </w:tcBorders>
            <w:shd w:val="clear" w:color="auto" w:fill="F2F2F2"/>
          </w:tcPr>
          <w:p w14:paraId="10AE656D" w14:textId="77777777" w:rsidR="007A4153" w:rsidRDefault="00194B6C">
            <w:r>
              <w:rPr>
                <w:b/>
                <w:sz w:val="19"/>
              </w:rPr>
              <w:t>Microsoft Entra ID (OIDC)</w:t>
            </w:r>
          </w:p>
        </w:tc>
        <w:tc>
          <w:tcPr>
            <w:tcW w:w="5102" w:type="dxa"/>
            <w:tcBorders>
              <w:top w:val="single" w:sz="4" w:space="0" w:color="D9D9D9"/>
              <w:left w:val="single" w:sz="4" w:space="0" w:color="D9D9D9"/>
              <w:bottom w:val="single" w:sz="4" w:space="0" w:color="D9D9D9"/>
              <w:right w:val="single" w:sz="4" w:space="0" w:color="D9D9D9"/>
            </w:tcBorders>
            <w:shd w:val="clear" w:color="auto" w:fill="F2F2F2"/>
          </w:tcPr>
          <w:p w14:paraId="0D75C4A4" w14:textId="77777777" w:rsidR="007A4153" w:rsidRDefault="00194B6C">
            <w:r>
              <w:rPr>
                <w:sz w:val="19"/>
              </w:rPr>
              <w:t>No change from specification. Laravel Socialite or custom OIDC.</w:t>
            </w:r>
          </w:p>
        </w:tc>
      </w:tr>
      <w:tr w:rsidR="007A4153" w14:paraId="50C8DA2F"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Pr>
          <w:p w14:paraId="4198FF60" w14:textId="77777777" w:rsidR="007A4153" w:rsidRDefault="00194B6C">
            <w:r>
              <w:rPr>
                <w:sz w:val="19"/>
              </w:rPr>
              <w:t>E-Signatures</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Pr>
          <w:p w14:paraId="2589E2B7" w14:textId="77777777" w:rsidR="007A4153" w:rsidRDefault="00194B6C">
            <w:r>
              <w:rPr>
                <w:b/>
                <w:sz w:val="19"/>
              </w:rPr>
              <w:t>Boldsign</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Pr>
          <w:p w14:paraId="35CB3BFB" w14:textId="77777777" w:rsidR="007A4153" w:rsidRDefault="00194B6C">
            <w:r>
              <w:rPr>
                <w:sz w:val="19"/>
              </w:rPr>
              <w:t>No change from specification. Webhook-driven status updates.</w:t>
            </w:r>
          </w:p>
        </w:tc>
      </w:tr>
      <w:tr w:rsidR="007A4153" w14:paraId="255F974C" w14:textId="77777777">
        <w:trP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2F2F2"/>
          </w:tcPr>
          <w:p w14:paraId="44671A49" w14:textId="77777777" w:rsidR="007A4153" w:rsidRDefault="00194B6C">
            <w:r>
              <w:rPr>
                <w:sz w:val="19"/>
              </w:rPr>
              <w:t>Collaboration</w:t>
            </w:r>
          </w:p>
        </w:tc>
        <w:tc>
          <w:tcPr>
            <w:tcW w:w="2438" w:type="dxa"/>
            <w:tcBorders>
              <w:top w:val="single" w:sz="4" w:space="0" w:color="D9D9D9"/>
              <w:left w:val="single" w:sz="4" w:space="0" w:color="D9D9D9"/>
              <w:bottom w:val="single" w:sz="4" w:space="0" w:color="D9D9D9"/>
              <w:right w:val="single" w:sz="4" w:space="0" w:color="D9D9D9"/>
            </w:tcBorders>
            <w:shd w:val="clear" w:color="auto" w:fill="F2F2F2"/>
          </w:tcPr>
          <w:p w14:paraId="42683ADC" w14:textId="77777777" w:rsidR="007A4153" w:rsidRDefault="00194B6C">
            <w:r>
              <w:rPr>
                <w:b/>
                <w:sz w:val="19"/>
              </w:rPr>
              <w:t>SharePoint / MS Graph</w:t>
            </w:r>
          </w:p>
        </w:tc>
        <w:tc>
          <w:tcPr>
            <w:tcW w:w="5102" w:type="dxa"/>
            <w:tcBorders>
              <w:top w:val="single" w:sz="4" w:space="0" w:color="D9D9D9"/>
              <w:left w:val="single" w:sz="4" w:space="0" w:color="D9D9D9"/>
              <w:bottom w:val="single" w:sz="4" w:space="0" w:color="D9D9D9"/>
              <w:right w:val="single" w:sz="4" w:space="0" w:color="D9D9D9"/>
            </w:tcBorders>
            <w:shd w:val="clear" w:color="auto" w:fill="F2F2F2"/>
          </w:tcPr>
          <w:p w14:paraId="33A6E9AE" w14:textId="77777777" w:rsidR="007A4153" w:rsidRDefault="00194B6C">
            <w:r>
              <w:rPr>
                <w:sz w:val="19"/>
              </w:rPr>
              <w:t>No change from specification. Tracked changes, Teams/email notifications.</w:t>
            </w:r>
          </w:p>
        </w:tc>
      </w:tr>
    </w:tbl>
    <w:p w14:paraId="5F3C0557" w14:textId="77777777" w:rsidR="007A4153" w:rsidRDefault="00194B6C">
      <w:pPr>
        <w:pStyle w:val="Heading1"/>
      </w:pPr>
      <w:r>
        <w:lastRenderedPageBreak/>
        <w:t>6. Impact Assessment</w:t>
      </w:r>
    </w:p>
    <w:p w14:paraId="1CA5C66E" w14:textId="77777777" w:rsidR="007A4153" w:rsidRDefault="00194B6C">
      <w:pPr>
        <w:pStyle w:val="Heading2"/>
      </w:pPr>
      <w:r>
        <w:t>6.1 What Changes</w:t>
      </w:r>
    </w:p>
    <w:p w14:paraId="1EBA2C0D" w14:textId="77777777" w:rsidR="007A4153" w:rsidRDefault="00194B6C">
      <w:pPr>
        <w:pStyle w:val="ListBullet"/>
      </w:pPr>
      <w:r>
        <w:t>Section 6 of the CCRS specification (Recommended Technology Stack) is replaced with the revised stack above.</w:t>
      </w:r>
    </w:p>
    <w:p w14:paraId="6738AA24" w14:textId="77777777" w:rsidR="007A4153" w:rsidRDefault="00194B6C">
      <w:pPr>
        <w:pStyle w:val="ListBullet"/>
      </w:pPr>
      <w:r>
        <w:t>AI components are deployed as a sidecar microservice rather than being the primary backend.</w:t>
      </w:r>
    </w:p>
    <w:p w14:paraId="03E4027F" w14:textId="77777777" w:rsidR="007A4153" w:rsidRDefault="00194B6C">
      <w:pPr>
        <w:pStyle w:val="ListBullet"/>
      </w:pPr>
      <w:r>
        <w:t>No new cloud hosting platforms are provisioned; all services deploy to existing Kubernetes.</w:t>
      </w:r>
    </w:p>
    <w:p w14:paraId="5D406653" w14:textId="77777777" w:rsidR="007A4153" w:rsidRDefault="00194B6C">
      <w:pPr>
        <w:pStyle w:val="ListBullet"/>
      </w:pPr>
      <w:r>
        <w:t>No new database engine is introduced; MySQL is used throughout.</w:t>
      </w:r>
    </w:p>
    <w:p w14:paraId="0AA27418" w14:textId="77777777" w:rsidR="007A4153" w:rsidRDefault="00194B6C">
      <w:pPr>
        <w:pStyle w:val="Heading2"/>
      </w:pPr>
      <w:r>
        <w:t>6.2 What Does Not Change</w:t>
      </w:r>
    </w:p>
    <w:p w14:paraId="154C6C73" w14:textId="77777777" w:rsidR="007A4153" w:rsidRDefault="00194B6C">
      <w:pPr>
        <w:pStyle w:val="ListBullet"/>
      </w:pPr>
      <w:r>
        <w:t>All functional requirements (Sections 1–4) remain as specified.</w:t>
      </w:r>
    </w:p>
    <w:p w14:paraId="2FE9464E" w14:textId="77777777" w:rsidR="007A4153" w:rsidRDefault="00194B6C">
      <w:pPr>
        <w:pStyle w:val="ListBullet"/>
      </w:pPr>
      <w:r>
        <w:t>Non-functional requirements (Section 5) remain as specified.</w:t>
      </w:r>
    </w:p>
    <w:p w14:paraId="233ADF9A" w14:textId="77777777" w:rsidR="007A4153" w:rsidRDefault="00194B6C">
      <w:pPr>
        <w:pStyle w:val="ListBullet"/>
      </w:pPr>
      <w:r>
        <w:t>Delivery phasing (Section 7) remains as specified.</w:t>
      </w:r>
    </w:p>
    <w:p w14:paraId="24A0D271" w14:textId="77777777" w:rsidR="007A4153" w:rsidRDefault="00194B6C">
      <w:pPr>
        <w:pStyle w:val="ListBullet"/>
      </w:pPr>
      <w:r>
        <w:t>The AI architecture concept (hybrid agents + direct API) remains as designed.</w:t>
      </w:r>
    </w:p>
    <w:p w14:paraId="48B5F511" w14:textId="77777777" w:rsidR="007A4153" w:rsidRDefault="00194B6C">
      <w:pPr>
        <w:pStyle w:val="ListBullet"/>
      </w:pPr>
      <w:r>
        <w:t>All integrations (Boldsign, SharePoint, Entra ID, TiTo) remain as specified.</w:t>
      </w:r>
    </w:p>
    <w:p w14:paraId="078779FA" w14:textId="77777777" w:rsidR="007A4153" w:rsidRDefault="00194B6C">
      <w:pPr>
        <w:pStyle w:val="ListBullet"/>
      </w:pPr>
      <w:r>
        <w:t>The epic backlog (Annexure 1) remains suitable for Jira/ADO import and discovery refinement.</w:t>
      </w:r>
    </w:p>
    <w:p w14:paraId="735F1567" w14:textId="77777777" w:rsidR="007A4153" w:rsidRDefault="00194B6C">
      <w:pPr>
        <w:pStyle w:val="Heading2"/>
      </w:pPr>
      <w:r>
        <w:t>6.3 Benefits of Revision</w:t>
      </w:r>
    </w:p>
    <w:tbl>
      <w:tblPr>
        <w:tblW w:w="0" w:type="auto"/>
        <w:jc w:val="center"/>
        <w:tblLook w:val="04A0" w:firstRow="1" w:lastRow="0" w:firstColumn="1" w:lastColumn="0" w:noHBand="0" w:noVBand="1"/>
      </w:tblPr>
      <w:tblGrid>
        <w:gridCol w:w="2258"/>
        <w:gridCol w:w="7318"/>
      </w:tblGrid>
      <w:tr w:rsidR="007A4153" w14:paraId="0FCC9D10" w14:textId="77777777">
        <w:trPr>
          <w:jc w:val="center"/>
        </w:trPr>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21C5095B" w14:textId="77777777" w:rsidR="007A4153" w:rsidRDefault="00194B6C">
            <w:r>
              <w:rPr>
                <w:b/>
                <w:color w:val="FFFFFF"/>
                <w:sz w:val="19"/>
              </w:rPr>
              <w:t>Benefit</w:t>
            </w:r>
          </w:p>
        </w:tc>
        <w:tc>
          <w:tcPr>
            <w:tcW w:w="7370" w:type="dxa"/>
            <w:tcBorders>
              <w:top w:val="single" w:sz="4" w:space="0" w:color="1F3864"/>
              <w:left w:val="single" w:sz="4" w:space="0" w:color="1F3864"/>
              <w:bottom w:val="single" w:sz="4" w:space="0" w:color="1F3864"/>
              <w:right w:val="single" w:sz="4" w:space="0" w:color="1F3864"/>
            </w:tcBorders>
            <w:shd w:val="clear" w:color="auto" w:fill="1F3864"/>
          </w:tcPr>
          <w:p w14:paraId="1F04A221" w14:textId="77777777" w:rsidR="007A4153" w:rsidRDefault="00194B6C">
            <w:r>
              <w:rPr>
                <w:b/>
                <w:color w:val="FFFFFF"/>
                <w:sz w:val="19"/>
              </w:rPr>
              <w:t>Detail</w:t>
            </w:r>
          </w:p>
        </w:tc>
      </w:tr>
      <w:tr w:rsidR="007A4153" w14:paraId="22957105" w14:textId="77777777">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2F2F2"/>
          </w:tcPr>
          <w:p w14:paraId="37B236D2" w14:textId="77777777" w:rsidR="007A4153" w:rsidRDefault="00194B6C">
            <w:r>
              <w:rPr>
                <w:sz w:val="19"/>
              </w:rPr>
              <w:t>Reduced delivery risk</w:t>
            </w:r>
          </w:p>
        </w:tc>
        <w:tc>
          <w:tcPr>
            <w:tcW w:w="7370" w:type="dxa"/>
            <w:tcBorders>
              <w:top w:val="single" w:sz="4" w:space="0" w:color="D9D9D9"/>
              <w:left w:val="single" w:sz="4" w:space="0" w:color="D9D9D9"/>
              <w:bottom w:val="single" w:sz="4" w:space="0" w:color="D9D9D9"/>
              <w:right w:val="single" w:sz="4" w:space="0" w:color="D9D9D9"/>
            </w:tcBorders>
            <w:shd w:val="clear" w:color="auto" w:fill="F2F2F2"/>
          </w:tcPr>
          <w:p w14:paraId="4AEDDF1E" w14:textId="77777777" w:rsidR="007A4153" w:rsidRDefault="00194B6C">
            <w:r>
              <w:rPr>
                <w:sz w:val="19"/>
              </w:rPr>
              <w:t>Team builds on known frameworks and infrastructure. No learning curve for core platform.</w:t>
            </w:r>
          </w:p>
        </w:tc>
      </w:tr>
      <w:tr w:rsidR="007A4153" w14:paraId="5433A7E0" w14:textId="77777777">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5A1D8E9A" w14:textId="77777777" w:rsidR="007A4153" w:rsidRDefault="00194B6C">
            <w:r>
              <w:rPr>
                <w:sz w:val="19"/>
              </w:rPr>
              <w:t>Lower operational cost</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Pr>
          <w:p w14:paraId="3AF49638" w14:textId="77777777" w:rsidR="007A4153" w:rsidRDefault="00194B6C">
            <w:r>
              <w:rPr>
                <w:sz w:val="19"/>
              </w:rPr>
              <w:t>No new database, hosting platform, or job infrastructure to operate and maintain.</w:t>
            </w:r>
          </w:p>
        </w:tc>
      </w:tr>
      <w:tr w:rsidR="007A4153" w14:paraId="3728B992" w14:textId="77777777">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2F2F2"/>
          </w:tcPr>
          <w:p w14:paraId="5CBC2BCB" w14:textId="77777777" w:rsidR="007A4153" w:rsidRDefault="00194B6C">
            <w:r>
              <w:rPr>
                <w:sz w:val="19"/>
              </w:rPr>
              <w:t>Faster time to delivery</w:t>
            </w:r>
          </w:p>
        </w:tc>
        <w:tc>
          <w:tcPr>
            <w:tcW w:w="7370" w:type="dxa"/>
            <w:tcBorders>
              <w:top w:val="single" w:sz="4" w:space="0" w:color="D9D9D9"/>
              <w:left w:val="single" w:sz="4" w:space="0" w:color="D9D9D9"/>
              <w:bottom w:val="single" w:sz="4" w:space="0" w:color="D9D9D9"/>
              <w:right w:val="single" w:sz="4" w:space="0" w:color="D9D9D9"/>
            </w:tcBorders>
            <w:shd w:val="clear" w:color="auto" w:fill="F2F2F2"/>
          </w:tcPr>
          <w:p w14:paraId="39E8E868" w14:textId="77777777" w:rsidR="007A4153" w:rsidRDefault="00194B6C">
            <w:r>
              <w:rPr>
                <w:sz w:val="19"/>
              </w:rPr>
              <w:t>Existing CI/CD pipelines, deployment patterns, and monitoring can be reused.</w:t>
            </w:r>
          </w:p>
        </w:tc>
      </w:tr>
      <w:tr w:rsidR="007A4153" w14:paraId="5B3A2EFA" w14:textId="77777777">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3063DD13" w14:textId="77777777" w:rsidR="007A4153" w:rsidRDefault="00194B6C">
            <w:r>
              <w:rPr>
                <w:sz w:val="19"/>
              </w:rPr>
              <w:t>Simplified hiring</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Pr>
          <w:p w14:paraId="0224DCE0" w14:textId="77777777" w:rsidR="007A4153" w:rsidRDefault="00194B6C">
            <w:r>
              <w:rPr>
                <w:sz w:val="19"/>
              </w:rPr>
              <w:t>New team members need Laravel/MySQL skills. Filament UI is built by backend devs, no separate frontend team.</w:t>
            </w:r>
          </w:p>
        </w:tc>
      </w:tr>
      <w:tr w:rsidR="007A4153" w14:paraId="41272316" w14:textId="77777777">
        <w:trP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2F2F2"/>
          </w:tcPr>
          <w:p w14:paraId="6229101A" w14:textId="77777777" w:rsidR="007A4153" w:rsidRDefault="00194B6C">
            <w:r>
              <w:rPr>
                <w:sz w:val="19"/>
              </w:rPr>
              <w:t>Contained AI complexity</w:t>
            </w:r>
          </w:p>
        </w:tc>
        <w:tc>
          <w:tcPr>
            <w:tcW w:w="7370" w:type="dxa"/>
            <w:tcBorders>
              <w:top w:val="single" w:sz="4" w:space="0" w:color="D9D9D9"/>
              <w:left w:val="single" w:sz="4" w:space="0" w:color="D9D9D9"/>
              <w:bottom w:val="single" w:sz="4" w:space="0" w:color="D9D9D9"/>
              <w:right w:val="single" w:sz="4" w:space="0" w:color="D9D9D9"/>
            </w:tcBorders>
            <w:shd w:val="clear" w:color="auto" w:fill="F2F2F2"/>
          </w:tcPr>
          <w:p w14:paraId="5C5B99C6" w14:textId="77777777" w:rsidR="007A4153" w:rsidRDefault="00194B6C">
            <w:r>
              <w:rPr>
                <w:sz w:val="19"/>
              </w:rPr>
              <w:t>Python is isolated to the AI worker, limiting blast radius of a less-familiar runtime.</w:t>
            </w:r>
          </w:p>
        </w:tc>
      </w:tr>
    </w:tbl>
    <w:p w14:paraId="1579DAE3" w14:textId="77777777" w:rsidR="007A4153" w:rsidRDefault="00194B6C">
      <w:pPr>
        <w:pStyle w:val="Heading1"/>
      </w:pPr>
      <w:r>
        <w:t>7. Recommended Next Steps</w:t>
      </w:r>
    </w:p>
    <w:p w14:paraId="7ECEEC69" w14:textId="77777777" w:rsidR="007A4153" w:rsidRDefault="00194B6C">
      <w:r>
        <w:rPr>
          <w:b/>
        </w:rPr>
        <w:t xml:space="preserve">1. Approve revised stack: </w:t>
      </w:r>
      <w:r>
        <w:t>Update Section 6 of the CCRS specification to reflect the recommendations in this review.</w:t>
      </w:r>
    </w:p>
    <w:p w14:paraId="63506FF4" w14:textId="77777777" w:rsidR="007A4153" w:rsidRDefault="00194B6C">
      <w:r>
        <w:rPr>
          <w:b/>
        </w:rPr>
        <w:t xml:space="preserve">2. AI cost modelling: </w:t>
      </w:r>
      <w:r>
        <w:t>Produce detailed cost estimates for Claude Agent SDK and Messages API usage at projected contract volumes (50,000+). Define cost thresholds and fallback strategies.</w:t>
      </w:r>
    </w:p>
    <w:p w14:paraId="1FE3CE91" w14:textId="77777777" w:rsidR="007A4153" w:rsidRDefault="00194B6C">
      <w:r>
        <w:rPr>
          <w:b/>
        </w:rPr>
        <w:t xml:space="preserve">3. Discovery sprint: </w:t>
      </w:r>
      <w:r>
        <w:t>Conduct a technical discovery sprint to validate the revised architecture, define the AI worker service contract, and refine the backlog for Phase 1a.</w:t>
      </w:r>
    </w:p>
    <w:p w14:paraId="01784BE0" w14:textId="77777777" w:rsidR="007A4153" w:rsidRDefault="00194B6C">
      <w:r>
        <w:rPr>
          <w:b/>
        </w:rPr>
        <w:t xml:space="preserve">4. Proof of concept: </w:t>
      </w:r>
      <w:r>
        <w:t>Build a vertical slice covering contract upload, AI extraction (via Python worker), and display of results in Filament to validate the integration pattern.</w:t>
      </w:r>
    </w:p>
    <w:p w14:paraId="7F037084" w14:textId="77777777" w:rsidR="007A4153" w:rsidRDefault="00194B6C">
      <w:r>
        <w:rPr>
          <w:b/>
        </w:rPr>
        <w:lastRenderedPageBreak/>
        <w:t xml:space="preserve">5. Board approval: </w:t>
      </w:r>
      <w:r>
        <w:t>Present the revised specification with updated Section 6 for board sign-off before commencing Phase 1a development.</w:t>
      </w:r>
    </w:p>
    <w:p w14:paraId="4200753C" w14:textId="77777777" w:rsidR="007A4153" w:rsidRDefault="00194B6C">
      <w:pPr>
        <w:pStyle w:val="Heading1"/>
      </w:pPr>
      <w:r>
        <w:t>8. Sandbox Development Environment</w:t>
      </w:r>
    </w:p>
    <w:p w14:paraId="269E58CA" w14:textId="77777777" w:rsidR="007A4153" w:rsidRDefault="00194B6C">
      <w:r>
        <w:t>To support rapid prototyping and experimentation by executive stakeholders and other contributors who should not have direct access to Docker registries or Kubernetes clusters, we recommend establishing a self-service sandbox environment with automated CI/CD and infrastructure guardrails.</w:t>
      </w:r>
    </w:p>
    <w:p w14:paraId="23C0F6A1" w14:textId="77777777" w:rsidR="007A4153" w:rsidRDefault="00194B6C">
      <w:pPr>
        <w:pStyle w:val="Heading2"/>
      </w:pPr>
      <w:r>
        <w:t>8.1 Principle: Git Push Is the Only Interface</w:t>
      </w:r>
    </w:p>
    <w:p w14:paraId="3CC24FA3" w14:textId="77777777" w:rsidR="007A4153" w:rsidRDefault="00194B6C">
      <w:r>
        <w:t>The contributor pushes code to a GitHub repository. A CI/CD pipeline automatically builds the Docker image, pushes it to the internal registry, and deploys it to an isolated Kubernetes namespace. The contributor never requires docker login credentials, kubectl access, or SSH access to any infrastructure. They receive a URL where their application is running.</w:t>
      </w:r>
    </w:p>
    <w:p w14:paraId="0575EF31" w14:textId="77777777" w:rsidR="007A4153" w:rsidRDefault="00194B6C">
      <w:r>
        <w:rPr>
          <w:b/>
        </w:rPr>
        <w:t xml:space="preserve">Workflow: </w:t>
      </w:r>
      <w:r>
        <w:t>Contributor pushes code to GitHub → GitHub Actions pipeline builds Docker image → Image pushed to internal registry (using CI service account credentials the contributor cannot see) → Deployment updated in sandboxed Kubernetes namespace → Application accessible at *.sandbox.digittal.mobi.</w:t>
      </w:r>
    </w:p>
    <w:p w14:paraId="1865EF83" w14:textId="77777777" w:rsidR="007A4153" w:rsidRDefault="00194B6C">
      <w:pPr>
        <w:pStyle w:val="Heading2"/>
      </w:pPr>
      <w:r>
        <w:t>8.2 GitHub Actions on Free Tier</w:t>
      </w:r>
    </w:p>
    <w:p w14:paraId="19A23DB9" w14:textId="77777777" w:rsidR="007A4153" w:rsidRDefault="00194B6C">
      <w:r>
        <w:t>GitHub Actions is available on all GitHub plans including Free. For private repositories, the Free tier provides 2,000 minutes per month of hosted runner time. However, this limit does not apply to self-hosted runners.</w:t>
      </w:r>
    </w:p>
    <w:p w14:paraId="0026A07A" w14:textId="77777777" w:rsidR="007A4153" w:rsidRDefault="00194B6C">
      <w:r>
        <w:rPr>
          <w:b/>
        </w:rPr>
        <w:t xml:space="preserve">Recommendation: Deploy a self-hosted GitHub Actions runner on Kubernetes. </w:t>
      </w:r>
      <w:r>
        <w:t>Self-hosted runners provide unlimited build minutes on any GitHub plan, including Free. The runner executes inside the cluster with access to the internal Docker registry and Kubernetes API, while the contributor only interacts with GitHub. The Actions Runner Controller (ARC) can manage runner pods as ephemeral, auto-scaling workloads on the existing cluster.</w:t>
      </w:r>
    </w:p>
    <w:p w14:paraId="64E7199F" w14:textId="77777777" w:rsidR="007A4153" w:rsidRDefault="00194B6C">
      <w:r>
        <w:t>This eliminates any need for Jenkins or other external CI/CD infrastructure. GitHub Actions provides workflow definitions as YAML files committed to the repository, with built-in support for secrets management, environment approvals, and status checks.</w:t>
      </w:r>
    </w:p>
    <w:p w14:paraId="10CED689" w14:textId="77777777" w:rsidR="007A4153" w:rsidRDefault="00194B6C">
      <w:pPr>
        <w:pStyle w:val="Heading2"/>
      </w:pPr>
      <w:r>
        <w:t>8.3 Sandboxed Kubernetes Namespace</w:t>
      </w:r>
    </w:p>
    <w:p w14:paraId="6A090B9A" w14:textId="77777777" w:rsidR="007A4153" w:rsidRDefault="00194B6C">
      <w:r>
        <w:t>Each sandbox contributor (or project) receives a dedicated Kubernetes namespace with strict resource quotas and network policies. This prevents accidental or excessive resource consumption and isolates sandbox workloads from production services.</w:t>
      </w:r>
    </w:p>
    <w:p w14:paraId="780EF7DF" w14:textId="77777777" w:rsidR="007A4153" w:rsidRDefault="00194B6C">
      <w:pPr>
        <w:pStyle w:val="Heading3"/>
      </w:pPr>
      <w:r>
        <w:lastRenderedPageBreak/>
        <w:t>Resource Quotas</w:t>
      </w:r>
    </w:p>
    <w:p w14:paraId="7148198C" w14:textId="77777777" w:rsidR="007A4153" w:rsidRDefault="00194B6C">
      <w:r>
        <w:t>The following resource quota limits apply per sandbox namespace to prevent runaway resource consumption:</w:t>
      </w:r>
    </w:p>
    <w:tbl>
      <w:tblPr>
        <w:tblW w:w="0" w:type="auto"/>
        <w:jc w:val="center"/>
        <w:tblLook w:val="04A0" w:firstRow="1" w:lastRow="0" w:firstColumn="1" w:lastColumn="0" w:noHBand="0" w:noVBand="1"/>
      </w:tblPr>
      <w:tblGrid>
        <w:gridCol w:w="2537"/>
        <w:gridCol w:w="1410"/>
        <w:gridCol w:w="5629"/>
      </w:tblGrid>
      <w:tr w:rsidR="007A4153" w14:paraId="42AF5F68" w14:textId="77777777">
        <w:trPr>
          <w:jc w:val="center"/>
        </w:trPr>
        <w:tc>
          <w:tcPr>
            <w:tcW w:w="2551" w:type="dxa"/>
            <w:tcBorders>
              <w:top w:val="single" w:sz="4" w:space="0" w:color="1F3864"/>
              <w:left w:val="single" w:sz="4" w:space="0" w:color="1F3864"/>
              <w:bottom w:val="single" w:sz="4" w:space="0" w:color="1F3864"/>
              <w:right w:val="single" w:sz="4" w:space="0" w:color="1F3864"/>
            </w:tcBorders>
            <w:shd w:val="clear" w:color="auto" w:fill="1F3864"/>
          </w:tcPr>
          <w:p w14:paraId="760913A8" w14:textId="77777777" w:rsidR="007A4153" w:rsidRDefault="00194B6C">
            <w:r>
              <w:rPr>
                <w:b/>
                <w:color w:val="FFFFFF"/>
                <w:sz w:val="19"/>
              </w:rPr>
              <w:t>Resource</w:t>
            </w:r>
          </w:p>
        </w:tc>
        <w:tc>
          <w:tcPr>
            <w:tcW w:w="1417" w:type="dxa"/>
            <w:tcBorders>
              <w:top w:val="single" w:sz="4" w:space="0" w:color="1F3864"/>
              <w:left w:val="single" w:sz="4" w:space="0" w:color="1F3864"/>
              <w:bottom w:val="single" w:sz="4" w:space="0" w:color="1F3864"/>
              <w:right w:val="single" w:sz="4" w:space="0" w:color="1F3864"/>
            </w:tcBorders>
            <w:shd w:val="clear" w:color="auto" w:fill="1F3864"/>
          </w:tcPr>
          <w:p w14:paraId="5544015A" w14:textId="77777777" w:rsidR="007A4153" w:rsidRDefault="00194B6C">
            <w:r>
              <w:rPr>
                <w:b/>
                <w:color w:val="FFFFFF"/>
                <w:sz w:val="19"/>
              </w:rPr>
              <w:t>Limit</w:t>
            </w:r>
          </w:p>
        </w:tc>
        <w:tc>
          <w:tcPr>
            <w:tcW w:w="5669" w:type="dxa"/>
            <w:tcBorders>
              <w:top w:val="single" w:sz="4" w:space="0" w:color="1F3864"/>
              <w:left w:val="single" w:sz="4" w:space="0" w:color="1F3864"/>
              <w:bottom w:val="single" w:sz="4" w:space="0" w:color="1F3864"/>
              <w:right w:val="single" w:sz="4" w:space="0" w:color="1F3864"/>
            </w:tcBorders>
            <w:shd w:val="clear" w:color="auto" w:fill="1F3864"/>
          </w:tcPr>
          <w:p w14:paraId="2CF4B423" w14:textId="77777777" w:rsidR="007A4153" w:rsidRDefault="00194B6C">
            <w:r>
              <w:rPr>
                <w:b/>
                <w:color w:val="FFFFFF"/>
                <w:sz w:val="19"/>
              </w:rPr>
              <w:t>Purpose</w:t>
            </w:r>
          </w:p>
        </w:tc>
      </w:tr>
      <w:tr w:rsidR="007A4153" w14:paraId="430EDE17" w14:textId="77777777">
        <w:trP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2F2F2"/>
          </w:tcPr>
          <w:p w14:paraId="5CEBF790" w14:textId="77777777" w:rsidR="007A4153" w:rsidRDefault="00194B6C">
            <w:r>
              <w:rPr>
                <w:sz w:val="19"/>
              </w:rPr>
              <w:t>CPU requests</w:t>
            </w:r>
          </w:p>
        </w:tc>
        <w:tc>
          <w:tcPr>
            <w:tcW w:w="1417" w:type="dxa"/>
            <w:tcBorders>
              <w:top w:val="single" w:sz="4" w:space="0" w:color="D9D9D9"/>
              <w:left w:val="single" w:sz="4" w:space="0" w:color="D9D9D9"/>
              <w:bottom w:val="single" w:sz="4" w:space="0" w:color="D9D9D9"/>
              <w:right w:val="single" w:sz="4" w:space="0" w:color="D9D9D9"/>
            </w:tcBorders>
            <w:shd w:val="clear" w:color="auto" w:fill="F2F2F2"/>
          </w:tcPr>
          <w:p w14:paraId="638546E5" w14:textId="77777777" w:rsidR="007A4153" w:rsidRDefault="00194B6C">
            <w:r>
              <w:rPr>
                <w:sz w:val="19"/>
              </w:rPr>
              <w:t>2 cores</w:t>
            </w:r>
          </w:p>
        </w:tc>
        <w:tc>
          <w:tcPr>
            <w:tcW w:w="5669" w:type="dxa"/>
            <w:tcBorders>
              <w:top w:val="single" w:sz="4" w:space="0" w:color="D9D9D9"/>
              <w:left w:val="single" w:sz="4" w:space="0" w:color="D9D9D9"/>
              <w:bottom w:val="single" w:sz="4" w:space="0" w:color="D9D9D9"/>
              <w:right w:val="single" w:sz="4" w:space="0" w:color="D9D9D9"/>
            </w:tcBorders>
            <w:shd w:val="clear" w:color="auto" w:fill="F2F2F2"/>
          </w:tcPr>
          <w:p w14:paraId="0AFDBB80" w14:textId="77777777" w:rsidR="007A4153" w:rsidRDefault="00194B6C">
            <w:r>
              <w:rPr>
                <w:sz w:val="19"/>
              </w:rPr>
              <w:t>Prevents over-provisioning of cluster CPU.</w:t>
            </w:r>
          </w:p>
        </w:tc>
      </w:tr>
      <w:tr w:rsidR="007A4153" w14:paraId="69B4BA5F" w14:textId="77777777">
        <w:trP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Pr>
          <w:p w14:paraId="2C6AE1DD" w14:textId="77777777" w:rsidR="007A4153" w:rsidRDefault="00194B6C">
            <w:r>
              <w:rPr>
                <w:sz w:val="19"/>
              </w:rPr>
              <w:t>CPU limits</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Pr>
          <w:p w14:paraId="1B679608" w14:textId="77777777" w:rsidR="007A4153" w:rsidRDefault="00194B6C">
            <w:r>
              <w:rPr>
                <w:sz w:val="19"/>
              </w:rPr>
              <w:t>4 cores</w:t>
            </w:r>
          </w:p>
        </w:tc>
        <w:tc>
          <w:tcPr>
            <w:tcW w:w="5669" w:type="dxa"/>
            <w:tcBorders>
              <w:top w:val="single" w:sz="4" w:space="0" w:color="D9D9D9"/>
              <w:left w:val="single" w:sz="4" w:space="0" w:color="D9D9D9"/>
              <w:bottom w:val="single" w:sz="4" w:space="0" w:color="D9D9D9"/>
              <w:right w:val="single" w:sz="4" w:space="0" w:color="D9D9D9"/>
            </w:tcBorders>
            <w:shd w:val="clear" w:color="auto" w:fill="FFFFFF"/>
          </w:tcPr>
          <w:p w14:paraId="6FF373F7" w14:textId="77777777" w:rsidR="007A4153" w:rsidRDefault="00194B6C">
            <w:r>
              <w:rPr>
                <w:sz w:val="19"/>
              </w:rPr>
              <w:t>Hard ceiling on burst CPU usage.</w:t>
            </w:r>
          </w:p>
        </w:tc>
      </w:tr>
      <w:tr w:rsidR="007A4153" w14:paraId="35B2D8AD" w14:textId="77777777">
        <w:trP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2F2F2"/>
          </w:tcPr>
          <w:p w14:paraId="555EC13A" w14:textId="77777777" w:rsidR="007A4153" w:rsidRDefault="00194B6C">
            <w:r>
              <w:rPr>
                <w:sz w:val="19"/>
              </w:rPr>
              <w:t>Memory requests</w:t>
            </w:r>
          </w:p>
        </w:tc>
        <w:tc>
          <w:tcPr>
            <w:tcW w:w="1417" w:type="dxa"/>
            <w:tcBorders>
              <w:top w:val="single" w:sz="4" w:space="0" w:color="D9D9D9"/>
              <w:left w:val="single" w:sz="4" w:space="0" w:color="D9D9D9"/>
              <w:bottom w:val="single" w:sz="4" w:space="0" w:color="D9D9D9"/>
              <w:right w:val="single" w:sz="4" w:space="0" w:color="D9D9D9"/>
            </w:tcBorders>
            <w:shd w:val="clear" w:color="auto" w:fill="F2F2F2"/>
          </w:tcPr>
          <w:p w14:paraId="2F27AB6F" w14:textId="77777777" w:rsidR="007A4153" w:rsidRDefault="00194B6C">
            <w:r>
              <w:rPr>
                <w:sz w:val="19"/>
              </w:rPr>
              <w:t>4 Gi</w:t>
            </w:r>
          </w:p>
        </w:tc>
        <w:tc>
          <w:tcPr>
            <w:tcW w:w="5669" w:type="dxa"/>
            <w:tcBorders>
              <w:top w:val="single" w:sz="4" w:space="0" w:color="D9D9D9"/>
              <w:left w:val="single" w:sz="4" w:space="0" w:color="D9D9D9"/>
              <w:bottom w:val="single" w:sz="4" w:space="0" w:color="D9D9D9"/>
              <w:right w:val="single" w:sz="4" w:space="0" w:color="D9D9D9"/>
            </w:tcBorders>
            <w:shd w:val="clear" w:color="auto" w:fill="F2F2F2"/>
          </w:tcPr>
          <w:p w14:paraId="1FE8813E" w14:textId="77777777" w:rsidR="007A4153" w:rsidRDefault="00194B6C">
            <w:r>
              <w:rPr>
                <w:sz w:val="19"/>
              </w:rPr>
              <w:t>Prevents over-provisioning of cluster memory.</w:t>
            </w:r>
          </w:p>
        </w:tc>
      </w:tr>
      <w:tr w:rsidR="007A4153" w14:paraId="7FFC0541" w14:textId="77777777">
        <w:trP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Pr>
          <w:p w14:paraId="292F44AF" w14:textId="77777777" w:rsidR="007A4153" w:rsidRDefault="00194B6C">
            <w:r>
              <w:rPr>
                <w:sz w:val="19"/>
              </w:rPr>
              <w:t>Memory limits</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Pr>
          <w:p w14:paraId="156AAD44" w14:textId="77777777" w:rsidR="007A4153" w:rsidRDefault="00194B6C">
            <w:r>
              <w:rPr>
                <w:sz w:val="19"/>
              </w:rPr>
              <w:t>8 Gi</w:t>
            </w:r>
          </w:p>
        </w:tc>
        <w:tc>
          <w:tcPr>
            <w:tcW w:w="5669" w:type="dxa"/>
            <w:tcBorders>
              <w:top w:val="single" w:sz="4" w:space="0" w:color="D9D9D9"/>
              <w:left w:val="single" w:sz="4" w:space="0" w:color="D9D9D9"/>
              <w:bottom w:val="single" w:sz="4" w:space="0" w:color="D9D9D9"/>
              <w:right w:val="single" w:sz="4" w:space="0" w:color="D9D9D9"/>
            </w:tcBorders>
            <w:shd w:val="clear" w:color="auto" w:fill="FFFFFF"/>
          </w:tcPr>
          <w:p w14:paraId="3885CC51" w14:textId="77777777" w:rsidR="007A4153" w:rsidRDefault="00194B6C">
            <w:r>
              <w:rPr>
                <w:sz w:val="19"/>
              </w:rPr>
              <w:t>Hard ceiling on burst memory usage.</w:t>
            </w:r>
          </w:p>
        </w:tc>
      </w:tr>
      <w:tr w:rsidR="007A4153" w14:paraId="3A552C96" w14:textId="77777777">
        <w:trP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2F2F2"/>
          </w:tcPr>
          <w:p w14:paraId="026299E9" w14:textId="77777777" w:rsidR="007A4153" w:rsidRDefault="00194B6C">
            <w:r>
              <w:rPr>
                <w:sz w:val="19"/>
              </w:rPr>
              <w:t>Pods</w:t>
            </w:r>
          </w:p>
        </w:tc>
        <w:tc>
          <w:tcPr>
            <w:tcW w:w="1417" w:type="dxa"/>
            <w:tcBorders>
              <w:top w:val="single" w:sz="4" w:space="0" w:color="D9D9D9"/>
              <w:left w:val="single" w:sz="4" w:space="0" w:color="D9D9D9"/>
              <w:bottom w:val="single" w:sz="4" w:space="0" w:color="D9D9D9"/>
              <w:right w:val="single" w:sz="4" w:space="0" w:color="D9D9D9"/>
            </w:tcBorders>
            <w:shd w:val="clear" w:color="auto" w:fill="F2F2F2"/>
          </w:tcPr>
          <w:p w14:paraId="1BB72689" w14:textId="77777777" w:rsidR="007A4153" w:rsidRDefault="00194B6C">
            <w:r>
              <w:rPr>
                <w:sz w:val="19"/>
              </w:rPr>
              <w:t>10</w:t>
            </w:r>
          </w:p>
        </w:tc>
        <w:tc>
          <w:tcPr>
            <w:tcW w:w="5669" w:type="dxa"/>
            <w:tcBorders>
              <w:top w:val="single" w:sz="4" w:space="0" w:color="D9D9D9"/>
              <w:left w:val="single" w:sz="4" w:space="0" w:color="D9D9D9"/>
              <w:bottom w:val="single" w:sz="4" w:space="0" w:color="D9D9D9"/>
              <w:right w:val="single" w:sz="4" w:space="0" w:color="D9D9D9"/>
            </w:tcBorders>
            <w:shd w:val="clear" w:color="auto" w:fill="F2F2F2"/>
          </w:tcPr>
          <w:p w14:paraId="5C4E13A9" w14:textId="77777777" w:rsidR="007A4153" w:rsidRDefault="00194B6C">
            <w:r>
              <w:rPr>
                <w:sz w:val="19"/>
              </w:rPr>
              <w:t>Prevents uncontrolled replica scaling.</w:t>
            </w:r>
          </w:p>
        </w:tc>
      </w:tr>
      <w:tr w:rsidR="007A4153" w14:paraId="2AA52259" w14:textId="77777777">
        <w:trP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Pr>
          <w:p w14:paraId="709C496F" w14:textId="77777777" w:rsidR="007A4153" w:rsidRDefault="00194B6C">
            <w:r>
              <w:rPr>
                <w:sz w:val="19"/>
              </w:rPr>
              <w:t>Services</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Pr>
          <w:p w14:paraId="36BA2A73" w14:textId="77777777" w:rsidR="007A4153" w:rsidRDefault="00194B6C">
            <w:r>
              <w:rPr>
                <w:sz w:val="19"/>
              </w:rPr>
              <w:t>5</w:t>
            </w:r>
          </w:p>
        </w:tc>
        <w:tc>
          <w:tcPr>
            <w:tcW w:w="5669" w:type="dxa"/>
            <w:tcBorders>
              <w:top w:val="single" w:sz="4" w:space="0" w:color="D9D9D9"/>
              <w:left w:val="single" w:sz="4" w:space="0" w:color="D9D9D9"/>
              <w:bottom w:val="single" w:sz="4" w:space="0" w:color="D9D9D9"/>
              <w:right w:val="single" w:sz="4" w:space="0" w:color="D9D9D9"/>
            </w:tcBorders>
            <w:shd w:val="clear" w:color="auto" w:fill="FFFFFF"/>
          </w:tcPr>
          <w:p w14:paraId="1EFB52D3" w14:textId="77777777" w:rsidR="007A4153" w:rsidRDefault="00194B6C">
            <w:r>
              <w:rPr>
                <w:sz w:val="19"/>
              </w:rPr>
              <w:t>Limits service proliferation.</w:t>
            </w:r>
          </w:p>
        </w:tc>
      </w:tr>
      <w:tr w:rsidR="007A4153" w14:paraId="32376044" w14:textId="77777777">
        <w:trP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2F2F2"/>
          </w:tcPr>
          <w:p w14:paraId="1C2384EE" w14:textId="77777777" w:rsidR="007A4153" w:rsidRDefault="00194B6C">
            <w:r>
              <w:rPr>
                <w:sz w:val="19"/>
              </w:rPr>
              <w:t>Persistent volume claims</w:t>
            </w:r>
          </w:p>
        </w:tc>
        <w:tc>
          <w:tcPr>
            <w:tcW w:w="1417" w:type="dxa"/>
            <w:tcBorders>
              <w:top w:val="single" w:sz="4" w:space="0" w:color="D9D9D9"/>
              <w:left w:val="single" w:sz="4" w:space="0" w:color="D9D9D9"/>
              <w:bottom w:val="single" w:sz="4" w:space="0" w:color="D9D9D9"/>
              <w:right w:val="single" w:sz="4" w:space="0" w:color="D9D9D9"/>
            </w:tcBorders>
            <w:shd w:val="clear" w:color="auto" w:fill="F2F2F2"/>
          </w:tcPr>
          <w:p w14:paraId="19AF54B6" w14:textId="77777777" w:rsidR="007A4153" w:rsidRDefault="00194B6C">
            <w:r>
              <w:rPr>
                <w:sz w:val="19"/>
              </w:rPr>
              <w:t>3</w:t>
            </w:r>
          </w:p>
        </w:tc>
        <w:tc>
          <w:tcPr>
            <w:tcW w:w="5669" w:type="dxa"/>
            <w:tcBorders>
              <w:top w:val="single" w:sz="4" w:space="0" w:color="D9D9D9"/>
              <w:left w:val="single" w:sz="4" w:space="0" w:color="D9D9D9"/>
              <w:bottom w:val="single" w:sz="4" w:space="0" w:color="D9D9D9"/>
              <w:right w:val="single" w:sz="4" w:space="0" w:color="D9D9D9"/>
            </w:tcBorders>
            <w:shd w:val="clear" w:color="auto" w:fill="F2F2F2"/>
          </w:tcPr>
          <w:p w14:paraId="76519112" w14:textId="77777777" w:rsidR="007A4153" w:rsidRDefault="00194B6C">
            <w:r>
              <w:rPr>
                <w:sz w:val="19"/>
              </w:rPr>
              <w:t>Limits storage consumption.</w:t>
            </w:r>
          </w:p>
        </w:tc>
      </w:tr>
      <w:tr w:rsidR="007A4153" w14:paraId="42CD6ECE" w14:textId="77777777">
        <w:trP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Pr>
          <w:p w14:paraId="1174ECF1" w14:textId="77777777" w:rsidR="007A4153" w:rsidRDefault="00194B6C">
            <w:r>
              <w:rPr>
                <w:sz w:val="19"/>
              </w:rPr>
              <w:t>Load balancers</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Pr>
          <w:p w14:paraId="4DB2A407" w14:textId="77777777" w:rsidR="007A4153" w:rsidRDefault="00194B6C">
            <w:r>
              <w:rPr>
                <w:sz w:val="19"/>
              </w:rPr>
              <w:t>0</w:t>
            </w:r>
          </w:p>
        </w:tc>
        <w:tc>
          <w:tcPr>
            <w:tcW w:w="5669" w:type="dxa"/>
            <w:tcBorders>
              <w:top w:val="single" w:sz="4" w:space="0" w:color="D9D9D9"/>
              <w:left w:val="single" w:sz="4" w:space="0" w:color="D9D9D9"/>
              <w:bottom w:val="single" w:sz="4" w:space="0" w:color="D9D9D9"/>
              <w:right w:val="single" w:sz="4" w:space="0" w:color="D9D9D9"/>
            </w:tcBorders>
            <w:shd w:val="clear" w:color="auto" w:fill="FFFFFF"/>
          </w:tcPr>
          <w:p w14:paraId="594B8F83" w14:textId="77777777" w:rsidR="007A4153" w:rsidRDefault="00194B6C">
            <w:r>
              <w:rPr>
                <w:sz w:val="19"/>
              </w:rPr>
              <w:t>Blocked. All external access via shared ingress only.</w:t>
            </w:r>
          </w:p>
        </w:tc>
      </w:tr>
    </w:tbl>
    <w:p w14:paraId="5E20A2FC" w14:textId="77777777" w:rsidR="007A4153" w:rsidRDefault="007A4153"/>
    <w:p w14:paraId="251988B2" w14:textId="77777777" w:rsidR="007A4153" w:rsidRDefault="00194B6C">
      <w:r>
        <w:t>A LimitRange is also applied so that every container receives default CPU and memory requests/limits even if the contributor's deployment does not specify them. This prevents unbounded resource consumption from misconfigured or missing resource specifications.</w:t>
      </w:r>
    </w:p>
    <w:p w14:paraId="5F9DE4C3" w14:textId="77777777" w:rsidR="007A4153" w:rsidRDefault="00194B6C">
      <w:pPr>
        <w:pStyle w:val="Heading3"/>
      </w:pPr>
      <w:r>
        <w:t>Network Isolation</w:t>
      </w:r>
    </w:p>
    <w:p w14:paraId="475DED59" w14:textId="77777777" w:rsidR="007A4153" w:rsidRDefault="00194B6C">
      <w:r>
        <w:t>A Kubernetes NetworkPolicy restricts the sandbox namespace so that pods:</w:t>
      </w:r>
    </w:p>
    <w:p w14:paraId="7967475F" w14:textId="77777777" w:rsidR="007A4153" w:rsidRDefault="00194B6C">
      <w:pPr>
        <w:pStyle w:val="ListBullet"/>
      </w:pPr>
      <w:r>
        <w:t>Cannot communicate with production namespaces or production databases.</w:t>
      </w:r>
    </w:p>
    <w:p w14:paraId="0A29F1C3" w14:textId="77777777" w:rsidR="007A4153" w:rsidRDefault="00194B6C">
      <w:pPr>
        <w:pStyle w:val="ListBullet"/>
      </w:pPr>
      <w:r>
        <w:t>Can make outbound HTTPS/HTTP connections (for external APIs, package registries, etc.).</w:t>
      </w:r>
    </w:p>
    <w:p w14:paraId="062C8F33" w14:textId="77777777" w:rsidR="007A4153" w:rsidRDefault="00194B6C">
      <w:pPr>
        <w:pStyle w:val="ListBullet"/>
      </w:pPr>
      <w:r>
        <w:t>Can resolve DNS within the cluster.</w:t>
      </w:r>
    </w:p>
    <w:p w14:paraId="767E4455" w14:textId="77777777" w:rsidR="007A4153" w:rsidRDefault="00194B6C">
      <w:pPr>
        <w:pStyle w:val="ListBullet"/>
      </w:pPr>
      <w:r>
        <w:t>Can receive inbound traffic only from the ingress controller (for serving the application URL).</w:t>
      </w:r>
    </w:p>
    <w:p w14:paraId="6510628B" w14:textId="77777777" w:rsidR="007A4153" w:rsidRDefault="00194B6C">
      <w:r>
        <w:t>If the sandbox application requires database access, a dedicated MySQL database is provisioned on the MySQL Operator specifically for the sandbox namespace. Connection credentials are injected as Kubernetes Secrets by the CI/CD pipeline. The contributor never sees or manages these credentials directly.</w:t>
      </w:r>
    </w:p>
    <w:p w14:paraId="40A15D77" w14:textId="77777777" w:rsidR="007A4153" w:rsidRDefault="00194B6C">
      <w:pPr>
        <w:pStyle w:val="Heading2"/>
      </w:pPr>
      <w:r>
        <w:t>8.4 Wildcard DNS and Ingress</w:t>
      </w:r>
    </w:p>
    <w:p w14:paraId="098B7873" w14:textId="77777777" w:rsidR="007A4153" w:rsidRDefault="00194B6C">
      <w:r>
        <w:t>A wildcard DNS record *.sandbox.digittal.mobi is pointed to the cluster's ingress controller. The CI/CD pipeline creates an Ingress resource for each sandbox application automatically, mapping the application name to a subdomain.</w:t>
      </w:r>
    </w:p>
    <w:p w14:paraId="46987B90" w14:textId="77777777" w:rsidR="007A4153" w:rsidRDefault="00194B6C">
      <w:r>
        <w:rPr>
          <w:b/>
        </w:rPr>
        <w:t xml:space="preserve">Example: </w:t>
      </w:r>
      <w:r>
        <w:t>A repository named "ccrs-prototype" is automatically accessible at ccrs-prototype.sandbox.digittal.mobi after a successful deployment. No manual DNS or ingress configuration is required by the contributor.</w:t>
      </w:r>
    </w:p>
    <w:p w14:paraId="62C92E75" w14:textId="77777777" w:rsidR="007A4153" w:rsidRDefault="00194B6C">
      <w:r>
        <w:lastRenderedPageBreak/>
        <w:t>TLS certificates are provisioned automatically via cert-manager with Let's Encrypt or the organisation's existing certificate infrastructure.</w:t>
      </w:r>
    </w:p>
    <w:p w14:paraId="5B0834F7" w14:textId="77777777" w:rsidR="007A4153" w:rsidRDefault="00194B6C">
      <w:pPr>
        <w:pStyle w:val="Heading2"/>
      </w:pPr>
      <w:r>
        <w:t>8.5 CI/CD Pipeline Template</w:t>
      </w:r>
    </w:p>
    <w:p w14:paraId="64E4C83C" w14:textId="77777777" w:rsidR="007A4153" w:rsidRDefault="00194B6C">
      <w:r>
        <w:t>The engineering team provides a standard GitHub Actions workflow file and Dockerfile that is committed to each sandbox repository. The contributor does not need to understand or modify these files. The pipeline performs the following steps on each push to the main branch:</w:t>
      </w:r>
    </w:p>
    <w:p w14:paraId="37E2A434" w14:textId="77777777" w:rsidR="007A4153" w:rsidRDefault="00194B6C">
      <w:pPr>
        <w:pStyle w:val="ListBullet"/>
      </w:pPr>
      <w:r>
        <w:rPr>
          <w:b/>
        </w:rPr>
        <w:t xml:space="preserve">Build: </w:t>
      </w:r>
      <w:r>
        <w:t>Builds a Docker image from the repository's Dockerfile using the self-hosted runner.</w:t>
      </w:r>
    </w:p>
    <w:p w14:paraId="0CC222C7" w14:textId="77777777" w:rsidR="007A4153" w:rsidRDefault="00194B6C">
      <w:pPr>
        <w:pStyle w:val="ListBullet"/>
      </w:pPr>
      <w:r>
        <w:rPr>
          <w:b/>
        </w:rPr>
        <w:t xml:space="preserve">Push: </w:t>
      </w:r>
      <w:r>
        <w:t>Pushes the image to the internal container registry using a CI service account. Credentials are stored as GitHub Actions secrets and are not visible to the contributor.</w:t>
      </w:r>
    </w:p>
    <w:p w14:paraId="0EBCF580" w14:textId="77777777" w:rsidR="007A4153" w:rsidRDefault="00194B6C">
      <w:pPr>
        <w:pStyle w:val="ListBullet"/>
      </w:pPr>
      <w:r>
        <w:rPr>
          <w:b/>
        </w:rPr>
        <w:t xml:space="preserve">Deploy: </w:t>
      </w:r>
      <w:r>
        <w:t>Updates the Kubernetes Deployment in the sandbox namespace with the new image. Creates the Deployment and Service if they do not yet exist.</w:t>
      </w:r>
    </w:p>
    <w:p w14:paraId="0222F4BD" w14:textId="77777777" w:rsidR="007A4153" w:rsidRDefault="00194B6C">
      <w:pPr>
        <w:pStyle w:val="ListBullet"/>
      </w:pPr>
      <w:r>
        <w:rPr>
          <w:b/>
        </w:rPr>
        <w:t xml:space="preserve">Ingress: </w:t>
      </w:r>
      <w:r>
        <w:t>Creates or updates the Ingress resource to route {repo-name}.sandbox.digittal.mobi to the application.</w:t>
      </w:r>
    </w:p>
    <w:p w14:paraId="1213A3D8" w14:textId="77777777" w:rsidR="007A4153" w:rsidRDefault="00194B6C">
      <w:pPr>
        <w:pStyle w:val="ListBullet"/>
      </w:pPr>
      <w:r>
        <w:rPr>
          <w:b/>
        </w:rPr>
        <w:t xml:space="preserve">Verify: </w:t>
      </w:r>
      <w:r>
        <w:t>Waits for the rollout to complete and reports success or failure as a GitHub commit status.</w:t>
      </w:r>
    </w:p>
    <w:p w14:paraId="16815D41" w14:textId="77777777" w:rsidR="007A4153" w:rsidRDefault="00194B6C">
      <w:pPr>
        <w:pStyle w:val="Heading2"/>
      </w:pPr>
      <w:r>
        <w:t>8.6 Optional Guardrails</w:t>
      </w:r>
    </w:p>
    <w:tbl>
      <w:tblPr>
        <w:tblW w:w="0" w:type="auto"/>
        <w:jc w:val="center"/>
        <w:tblLook w:val="04A0" w:firstRow="1" w:lastRow="0" w:firstColumn="1" w:lastColumn="0" w:noHBand="0" w:noVBand="1"/>
      </w:tblPr>
      <w:tblGrid>
        <w:gridCol w:w="1974"/>
        <w:gridCol w:w="4500"/>
        <w:gridCol w:w="3102"/>
      </w:tblGrid>
      <w:tr w:rsidR="007A4153" w14:paraId="44454563" w14:textId="77777777">
        <w:trPr>
          <w:jc w:val="center"/>
        </w:trPr>
        <w:tc>
          <w:tcPr>
            <w:tcW w:w="1984" w:type="dxa"/>
            <w:tcBorders>
              <w:top w:val="single" w:sz="4" w:space="0" w:color="1F3864"/>
              <w:left w:val="single" w:sz="4" w:space="0" w:color="1F3864"/>
              <w:bottom w:val="single" w:sz="4" w:space="0" w:color="1F3864"/>
              <w:right w:val="single" w:sz="4" w:space="0" w:color="1F3864"/>
            </w:tcBorders>
            <w:shd w:val="clear" w:color="auto" w:fill="1F3864"/>
          </w:tcPr>
          <w:p w14:paraId="7BE3518A" w14:textId="77777777" w:rsidR="007A4153" w:rsidRDefault="00194B6C">
            <w:r>
              <w:rPr>
                <w:b/>
                <w:color w:val="FFFFFF"/>
                <w:sz w:val="19"/>
              </w:rPr>
              <w:t>Guardrail</w:t>
            </w:r>
          </w:p>
        </w:tc>
        <w:tc>
          <w:tcPr>
            <w:tcW w:w="4535" w:type="dxa"/>
            <w:tcBorders>
              <w:top w:val="single" w:sz="4" w:space="0" w:color="1F3864"/>
              <w:left w:val="single" w:sz="4" w:space="0" w:color="1F3864"/>
              <w:bottom w:val="single" w:sz="4" w:space="0" w:color="1F3864"/>
              <w:right w:val="single" w:sz="4" w:space="0" w:color="1F3864"/>
            </w:tcBorders>
            <w:shd w:val="clear" w:color="auto" w:fill="1F3864"/>
          </w:tcPr>
          <w:p w14:paraId="5ABC0D8C" w14:textId="77777777" w:rsidR="007A4153" w:rsidRDefault="00194B6C">
            <w:r>
              <w:rPr>
                <w:b/>
                <w:color w:val="FFFFFF"/>
                <w:sz w:val="19"/>
              </w:rPr>
              <w:t>Description</w:t>
            </w:r>
          </w:p>
        </w:tc>
        <w:tc>
          <w:tcPr>
            <w:tcW w:w="3118" w:type="dxa"/>
            <w:tcBorders>
              <w:top w:val="single" w:sz="4" w:space="0" w:color="1F3864"/>
              <w:left w:val="single" w:sz="4" w:space="0" w:color="1F3864"/>
              <w:bottom w:val="single" w:sz="4" w:space="0" w:color="1F3864"/>
              <w:right w:val="single" w:sz="4" w:space="0" w:color="1F3864"/>
            </w:tcBorders>
            <w:shd w:val="clear" w:color="auto" w:fill="1F3864"/>
          </w:tcPr>
          <w:p w14:paraId="7B609BC8" w14:textId="77777777" w:rsidR="007A4153" w:rsidRDefault="00194B6C">
            <w:r>
              <w:rPr>
                <w:b/>
                <w:color w:val="FFFFFF"/>
                <w:sz w:val="19"/>
              </w:rPr>
              <w:t>Recommendation</w:t>
            </w:r>
          </w:p>
        </w:tc>
      </w:tr>
      <w:tr w:rsidR="007A4153" w14:paraId="722A5A88" w14:textId="77777777">
        <w:trP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2F2F2"/>
          </w:tcPr>
          <w:p w14:paraId="3083B903" w14:textId="77777777" w:rsidR="007A4153" w:rsidRDefault="00194B6C">
            <w:r>
              <w:rPr>
                <w:sz w:val="19"/>
              </w:rPr>
              <w:t>Pull request gate</w:t>
            </w:r>
          </w:p>
        </w:tc>
        <w:tc>
          <w:tcPr>
            <w:tcW w:w="4535" w:type="dxa"/>
            <w:tcBorders>
              <w:top w:val="single" w:sz="4" w:space="0" w:color="D9D9D9"/>
              <w:left w:val="single" w:sz="4" w:space="0" w:color="D9D9D9"/>
              <w:bottom w:val="single" w:sz="4" w:space="0" w:color="D9D9D9"/>
              <w:right w:val="single" w:sz="4" w:space="0" w:color="D9D9D9"/>
            </w:tcBorders>
            <w:shd w:val="clear" w:color="auto" w:fill="F2F2F2"/>
          </w:tcPr>
          <w:p w14:paraId="485D7DF5" w14:textId="77777777" w:rsidR="007A4153" w:rsidRDefault="00194B6C">
            <w:r>
              <w:rPr>
                <w:sz w:val="19"/>
              </w:rPr>
              <w:t>Require a PR and code review before merging to main. Deployments only trigger on merge, not direct push.</w:t>
            </w:r>
          </w:p>
        </w:tc>
        <w:tc>
          <w:tcPr>
            <w:tcW w:w="3118" w:type="dxa"/>
            <w:tcBorders>
              <w:top w:val="single" w:sz="4" w:space="0" w:color="D9D9D9"/>
              <w:left w:val="single" w:sz="4" w:space="0" w:color="D9D9D9"/>
              <w:bottom w:val="single" w:sz="4" w:space="0" w:color="D9D9D9"/>
              <w:right w:val="single" w:sz="4" w:space="0" w:color="D9D9D9"/>
            </w:tcBorders>
            <w:shd w:val="clear" w:color="auto" w:fill="F2F2F2"/>
          </w:tcPr>
          <w:p w14:paraId="45B5FFFD" w14:textId="77777777" w:rsidR="007A4153" w:rsidRDefault="00194B6C">
            <w:r>
              <w:rPr>
                <w:sz w:val="19"/>
              </w:rPr>
              <w:t>Recommended for CCRS and any project that may reach production.</w:t>
            </w:r>
          </w:p>
        </w:tc>
      </w:tr>
      <w:tr w:rsidR="007A4153" w14:paraId="5226BA57" w14:textId="77777777">
        <w:trP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Pr>
          <w:p w14:paraId="5DE01A80" w14:textId="77777777" w:rsidR="007A4153" w:rsidRDefault="00194B6C">
            <w:r>
              <w:rPr>
                <w:sz w:val="19"/>
              </w:rPr>
              <w:t>Template repositories</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Pr>
          <w:p w14:paraId="79658D84" w14:textId="77777777" w:rsidR="007A4153" w:rsidRDefault="00194B6C">
            <w:r>
              <w:rPr>
                <w:sz w:val="19"/>
              </w:rPr>
              <w:t>Provide pre-configured starter repositories (e.g. Laravel + Filament + Dockerfile + GitHub Actions workflow) that steer contributors toward the approved stack.</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Pr>
          <w:p w14:paraId="47F30C2B" w14:textId="77777777" w:rsidR="007A4153" w:rsidRDefault="00194B6C">
            <w:r>
              <w:rPr>
                <w:sz w:val="19"/>
              </w:rPr>
              <w:t>Strongly recommended. Reduces the chance of contributors selecting incompatible frameworks.</w:t>
            </w:r>
          </w:p>
        </w:tc>
      </w:tr>
      <w:tr w:rsidR="007A4153" w14:paraId="7F578104" w14:textId="77777777">
        <w:trP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2F2F2"/>
          </w:tcPr>
          <w:p w14:paraId="32C78AF3" w14:textId="77777777" w:rsidR="007A4153" w:rsidRDefault="00194B6C">
            <w:r>
              <w:rPr>
                <w:sz w:val="19"/>
              </w:rPr>
              <w:t>Cost alerting</w:t>
            </w:r>
          </w:p>
        </w:tc>
        <w:tc>
          <w:tcPr>
            <w:tcW w:w="4535" w:type="dxa"/>
            <w:tcBorders>
              <w:top w:val="single" w:sz="4" w:space="0" w:color="D9D9D9"/>
              <w:left w:val="single" w:sz="4" w:space="0" w:color="D9D9D9"/>
              <w:bottom w:val="single" w:sz="4" w:space="0" w:color="D9D9D9"/>
              <w:right w:val="single" w:sz="4" w:space="0" w:color="D9D9D9"/>
            </w:tcBorders>
            <w:shd w:val="clear" w:color="auto" w:fill="F2F2F2"/>
          </w:tcPr>
          <w:p w14:paraId="2C2A62F9" w14:textId="77777777" w:rsidR="007A4153" w:rsidRDefault="00194B6C">
            <w:r>
              <w:rPr>
                <w:sz w:val="19"/>
              </w:rPr>
              <w:t>Monitor CPU and memory utilisation on sandbox namespaces. Alert the infrastructure team if sustained usage exceeds thresholds.</w:t>
            </w:r>
          </w:p>
        </w:tc>
        <w:tc>
          <w:tcPr>
            <w:tcW w:w="3118" w:type="dxa"/>
            <w:tcBorders>
              <w:top w:val="single" w:sz="4" w:space="0" w:color="D9D9D9"/>
              <w:left w:val="single" w:sz="4" w:space="0" w:color="D9D9D9"/>
              <w:bottom w:val="single" w:sz="4" w:space="0" w:color="D9D9D9"/>
              <w:right w:val="single" w:sz="4" w:space="0" w:color="D9D9D9"/>
            </w:tcBorders>
            <w:shd w:val="clear" w:color="auto" w:fill="F2F2F2"/>
          </w:tcPr>
          <w:p w14:paraId="7123A400" w14:textId="77777777" w:rsidR="007A4153" w:rsidRDefault="00194B6C">
            <w:r>
              <w:rPr>
                <w:sz w:val="19"/>
              </w:rPr>
              <w:t>Recommended.</w:t>
            </w:r>
          </w:p>
        </w:tc>
      </w:tr>
      <w:tr w:rsidR="007A4153" w14:paraId="24B094C9" w14:textId="77777777">
        <w:trP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Pr>
          <w:p w14:paraId="5AFD81BE" w14:textId="77777777" w:rsidR="007A4153" w:rsidRDefault="00194B6C">
            <w:r>
              <w:rPr>
                <w:sz w:val="19"/>
              </w:rPr>
              <w:t>Auto-shutdown</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Pr>
          <w:p w14:paraId="4A6749A3" w14:textId="77777777" w:rsidR="007A4153" w:rsidRDefault="00194B6C">
            <w:r>
              <w:rPr>
                <w:sz w:val="19"/>
              </w:rPr>
              <w:t>A Kubernetes CronJob scales sandbox Deployments to zero replicas overnight and on weekends. Contributors can trigger a redeploy by pushing a commit or manually re-running the pipeline.</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Pr>
          <w:p w14:paraId="7780D677" w14:textId="77777777" w:rsidR="007A4153" w:rsidRDefault="00194B6C">
            <w:r>
              <w:rPr>
                <w:sz w:val="19"/>
              </w:rPr>
              <w:t>Optional. Useful if sandbox projects are experimental and do not require 24/7 availability.</w:t>
            </w:r>
          </w:p>
        </w:tc>
      </w:tr>
    </w:tbl>
    <w:p w14:paraId="254898BF" w14:textId="77777777" w:rsidR="007A4153" w:rsidRDefault="00194B6C">
      <w:pPr>
        <w:pStyle w:val="Heading2"/>
      </w:pPr>
      <w:r>
        <w:t>8.7 What the Contributor Experiences</w:t>
      </w:r>
    </w:p>
    <w:p w14:paraId="6D1893ED" w14:textId="77777777" w:rsidR="007A4153" w:rsidRDefault="00194B6C">
      <w:r>
        <w:t>From the contributor's perspective, the workflow is:</w:t>
      </w:r>
    </w:p>
    <w:p w14:paraId="62EFE24F" w14:textId="77777777" w:rsidR="007A4153" w:rsidRDefault="00194B6C">
      <w:r>
        <w:rPr>
          <w:b/>
        </w:rPr>
        <w:t xml:space="preserve">1. </w:t>
      </w:r>
      <w:r>
        <w:t>Clone the repository from GitHub (or create a new one from a template).</w:t>
      </w:r>
    </w:p>
    <w:p w14:paraId="27C9CA3E" w14:textId="77777777" w:rsidR="007A4153" w:rsidRDefault="00194B6C">
      <w:r>
        <w:rPr>
          <w:b/>
        </w:rPr>
        <w:t xml:space="preserve">2. </w:t>
      </w:r>
      <w:r>
        <w:t>Write code locally using their preferred editor or AI coding tool.</w:t>
      </w:r>
    </w:p>
    <w:p w14:paraId="03606253" w14:textId="77777777" w:rsidR="007A4153" w:rsidRDefault="00194B6C">
      <w:r>
        <w:rPr>
          <w:b/>
        </w:rPr>
        <w:t xml:space="preserve">3. </w:t>
      </w:r>
      <w:r>
        <w:t>Push to the main branch (or open a pull request if the PR gate is enabled).</w:t>
      </w:r>
    </w:p>
    <w:p w14:paraId="23A8CDAA" w14:textId="77777777" w:rsidR="007A4153" w:rsidRDefault="00194B6C">
      <w:r>
        <w:rPr>
          <w:b/>
        </w:rPr>
        <w:t xml:space="preserve">4. </w:t>
      </w:r>
      <w:r>
        <w:t>Within minutes, the application is live at {repo-name}.sandbox.digittal.mobi.</w:t>
      </w:r>
    </w:p>
    <w:p w14:paraId="1DE6BF7D" w14:textId="77777777" w:rsidR="007A4153" w:rsidRDefault="00194B6C">
      <w:r>
        <w:rPr>
          <w:b/>
        </w:rPr>
        <w:lastRenderedPageBreak/>
        <w:t xml:space="preserve">5. </w:t>
      </w:r>
      <w:r>
        <w:t>View build/deploy status directly in GitHub (commit status checks and Actions logs).</w:t>
      </w:r>
    </w:p>
    <w:p w14:paraId="384CD1E3" w14:textId="77777777" w:rsidR="007A4153" w:rsidRDefault="007A4153"/>
    <w:p w14:paraId="761CC322" w14:textId="77777777" w:rsidR="007A4153" w:rsidRDefault="00194B6C">
      <w:r>
        <w:rPr>
          <w:b/>
        </w:rPr>
        <w:t xml:space="preserve">What they do not need: </w:t>
      </w:r>
      <w:r>
        <w:t>Docker credentials, kubectl access, SSH keys, cloud console access, knowledge of Kubernetes, or any infrastructure permissions. The CI/CD pipeline and namespace isolation handle all infrastructure concerns transparently.</w:t>
      </w:r>
    </w:p>
    <w:p w14:paraId="4876EF1B" w14:textId="77777777" w:rsidR="007A4153" w:rsidRDefault="00194B6C">
      <w:pPr>
        <w:pStyle w:val="Heading2"/>
      </w:pPr>
      <w:r>
        <w:t>8.8 Promotion Path to Production</w:t>
      </w:r>
    </w:p>
    <w:p w14:paraId="15BFAD1D" w14:textId="77777777" w:rsidR="007A4153" w:rsidRDefault="00194B6C">
      <w:r>
        <w:t>If a sandbox prototype proves valuable and is approved for production deployment, the engineering team conducts a code review and, if the project was built on the approved stack (Laravel + Filament + MySQL), migrates it into the standard deployment pipeline with production-grade resources, monitoring, and RBAC.</w:t>
      </w:r>
    </w:p>
    <w:p w14:paraId="7560DDE4" w14:textId="77777777" w:rsidR="007A4153" w:rsidRDefault="00194B6C">
      <w:r>
        <w:t>Projects built on non-standard stacks during prototyping can still be evaluated for their functional value, but will require reimplementation on the approved stack before production deployment. The template repository approach (Section 8.6) significantly reduces this risk by making the approved stack the path of least resistance.</w:t>
      </w:r>
    </w:p>
    <w:p w14:paraId="202D620D" w14:textId="77777777" w:rsidR="007A4153" w:rsidRDefault="007A4153"/>
    <w:p w14:paraId="081747B2" w14:textId="77777777" w:rsidR="007A4153" w:rsidRDefault="00194B6C">
      <w:pPr>
        <w:jc w:val="center"/>
      </w:pPr>
      <w:r>
        <w:rPr>
          <w:color w:val="CCCCCC"/>
        </w:rPr>
        <w:t>____________________________________________________________</w:t>
      </w:r>
    </w:p>
    <w:p w14:paraId="00262945" w14:textId="77777777" w:rsidR="007A4153" w:rsidRDefault="00194B6C">
      <w:pPr>
        <w:jc w:val="center"/>
      </w:pPr>
      <w:r>
        <w:rPr>
          <w:i/>
          <w:color w:val="999999"/>
          <w:sz w:val="18"/>
        </w:rPr>
        <w:t>End of Document</w:t>
      </w:r>
    </w:p>
    <w:sectPr w:rsidR="007A415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0118583">
    <w:abstractNumId w:val="8"/>
  </w:num>
  <w:num w:numId="2" w16cid:durableId="77026065">
    <w:abstractNumId w:val="6"/>
  </w:num>
  <w:num w:numId="3" w16cid:durableId="365058693">
    <w:abstractNumId w:val="5"/>
  </w:num>
  <w:num w:numId="4" w16cid:durableId="872230070">
    <w:abstractNumId w:val="4"/>
  </w:num>
  <w:num w:numId="5" w16cid:durableId="1755972107">
    <w:abstractNumId w:val="7"/>
  </w:num>
  <w:num w:numId="6" w16cid:durableId="968244715">
    <w:abstractNumId w:val="3"/>
  </w:num>
  <w:num w:numId="7" w16cid:durableId="319818003">
    <w:abstractNumId w:val="2"/>
  </w:num>
  <w:num w:numId="8" w16cid:durableId="631595322">
    <w:abstractNumId w:val="1"/>
  </w:num>
  <w:num w:numId="9" w16cid:durableId="31622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C7C"/>
    <w:rsid w:val="0029639D"/>
    <w:rsid w:val="00326F90"/>
    <w:rsid w:val="00343597"/>
    <w:rsid w:val="007A415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CBE208"/>
  <w14:defaultImageDpi w14:val="300"/>
  <w15:docId w15:val="{3F58B56E-E669-417B-A7C0-EA822227F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509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3A6B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3043</Words>
  <Characters>19419</Characters>
  <Application>Microsoft Office Word</Application>
  <DocSecurity>0</DocSecurity>
  <Lines>431</Lines>
  <Paragraphs>287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Rauch</cp:lastModifiedBy>
  <cp:revision>2</cp:revision>
  <dcterms:created xsi:type="dcterms:W3CDTF">2013-12-23T23:15:00Z</dcterms:created>
  <dcterms:modified xsi:type="dcterms:W3CDTF">2026-02-19T12:10:00Z</dcterms:modified>
  <cp:category/>
</cp:coreProperties>
</file>