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left"/>
      </w:pPr>
      <w:r>
        <w:rPr>
          <w:rFonts w:ascii="Arial" w:cs="Arial" w:eastAsia="Arial" w:hAnsi="Arial"/>
          <w:b/>
          <w:bCs/>
          <w:caps/>
          <w:color w:val="2E5FA3"/>
          <w:spacing w:val="100"/>
          <w:sz w:val="20"/>
          <w:szCs w:val="20"/>
        </w:rPr>
        <w:t xml:space="preserve">VIRTUAL ANALYST</w:t>
      </w:r>
    </w:p>
    <w:p>
      <w:pPr>
        <w:pBdr>
          <w:bottom w:val="single" w:color="2E5FA3" w:sz="6" w:space="4"/>
        </w:pBdr>
        <w:spacing w:after="240" w:before="0"/>
      </w:pPr>
      <w:r>
        <w:rPr>
          <w:rFonts w:ascii="Arial" w:cs="Arial" w:eastAsia="Arial" w:hAnsi="Arial"/>
          <w:color w:val="4A5568"/>
          <w:sz w:val="22"/>
          <w:szCs w:val="22"/>
        </w:rPr>
        <w:t xml:space="preserve">Investment Intelligence Platform</w:t>
      </w:r>
    </w:p>
    <w:p>
      <w:pPr>
        <w:spacing w:after="0" w:before="320"/>
      </w:pPr>
      <w:r>
        <w:t xml:space="preserve"/>
      </w:r>
    </w:p>
    <w:p>
      <w:pPr>
        <w:spacing w:after="120" w:before="0"/>
      </w:pPr>
      <w:r>
        <w:rPr>
          <w:rFonts w:ascii="Arial" w:cs="Arial" w:eastAsia="Arial" w:hAnsi="Arial"/>
          <w:b/>
          <w:bCs/>
          <w:color w:val="1B3A6B"/>
          <w:sz w:val="56"/>
          <w:szCs w:val="56"/>
        </w:rPr>
        <w:t xml:space="preserve">Portfolio Intelligence Module</w:t>
      </w:r>
    </w:p>
    <w:p>
      <w:pPr>
        <w:spacing w:after="480" w:before="0"/>
      </w:pPr>
      <w:r>
        <w:rPr>
          <w:rFonts w:ascii="Arial" w:cs="Arial" w:eastAsia="Arial" w:hAnsi="Arial"/>
          <w:i/>
          <w:iCs/>
          <w:color w:val="2E5FA3"/>
          <w:sz w:val="28"/>
          <w:szCs w:val="28"/>
        </w:rPr>
        <w:t xml:space="preserve">Sentiment-Augmented Portfolio Construction, Backtesting &amp; Adaptive Prediction</w:t>
      </w:r>
    </w:p>
    <w:p>
      <w:pPr>
        <w:spacing w:after="0" w:before="160"/>
      </w:pPr>
      <w:r>
        <w:t xml:space="preserve"/>
      </w:r>
    </w:p>
    <w:p>
      <w:pPr>
        <w:spacing w:after="80" w:before="0"/>
      </w:pPr>
      <w:r>
        <w:rPr>
          <w:rFonts w:ascii="Arial" w:cs="Arial" w:eastAsia="Arial" w:hAnsi="Arial"/>
          <w:b/>
          <w:bCs/>
          <w:caps/>
          <w:color w:val="0D7377"/>
          <w:sz w:val="22"/>
          <w:szCs w:val="22"/>
        </w:rPr>
        <w:t xml:space="preserve">DESIGN SPECIFICATION v1.0</w:t>
      </w:r>
    </w:p>
    <w:p>
      <w:pPr>
        <w:spacing w:after="80" w:before="0"/>
      </w:pPr>
      <w:r>
        <w:rPr>
          <w:rFonts w:ascii="Arial" w:cs="Arial" w:eastAsia="Arial" w:hAnsi="Arial"/>
          <w:color w:val="1A1A2E"/>
          <w:sz w:val="22"/>
          <w:szCs w:val="22"/>
        </w:rPr>
        <w:t xml:space="preserve">Module Classification: Investment Professional Module (IPM)</w:t>
      </w:r>
    </w:p>
    <w:p>
      <w:pPr>
        <w:spacing w:after="80" w:before="0"/>
      </w:pPr>
      <w:r>
        <w:rPr>
          <w:rFonts w:ascii="Arial" w:cs="Arial" w:eastAsia="Arial" w:hAnsi="Arial"/>
          <w:color w:val="1A1A2E"/>
          <w:sz w:val="22"/>
          <w:szCs w:val="22"/>
        </w:rPr>
        <w:t xml:space="preserve">Status: Pre-Development Design</w:t>
      </w:r>
    </w:p>
    <w:p>
      <w:pPr>
        <w:spacing w:after="80" w:before="0"/>
      </w:pPr>
      <w:r>
        <w:rPr>
          <w:rFonts w:ascii="Arial" w:cs="Arial" w:eastAsia="Arial" w:hAnsi="Arial"/>
          <w:color w:val="1A1A2E"/>
          <w:sz w:val="22"/>
          <w:szCs w:val="22"/>
        </w:rPr>
        <w:t xml:space="preserve">Date: March 2026</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For Investment Professionals Only</w:t>
            </w:r>
          </w:p>
          <w:p>
            <w:pPr>
              <w:spacing w:after="0" w:before="0"/>
            </w:pPr>
            <w:r>
              <w:rPr>
                <w:rFonts w:ascii="Arial" w:cs="Arial" w:eastAsia="Arial" w:hAnsi="Arial"/>
                <w:i w:val="false"/>
                <w:iCs w:val="false"/>
                <w:color w:val="1A1A2E"/>
                <w:sz w:val="21"/>
                <w:szCs w:val="21"/>
              </w:rPr>
              <w:t xml:space="preserve">This document describes a module designed exclusively for use by qualified investment professionals, portfolio managers, and private equity practitioners. It is not intended for retail investors or general public distribution.</w:t>
            </w:r>
          </w:p>
        </w:tc>
      </w:tr>
    </w:tbl>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1. Executive Summary</w:t>
      </w:r>
    </w:p>
    <w:p>
      <w:pPr>
        <w:spacing w:after="80" w:before="80"/>
      </w:pPr>
      <w:r>
        <w:rPr>
          <w:rFonts w:ascii="Arial" w:cs="Arial" w:eastAsia="Arial" w:hAnsi="Arial"/>
          <w:b w:val="false"/>
          <w:bCs w:val="false"/>
          <w:color w:val="1A1A2E"/>
          <w:sz w:val="22"/>
          <w:szCs w:val="22"/>
        </w:rPr>
        <w:t xml:space="preserve">The Portfolio Intelligence Module (PIM) is a new major module for the Virtual Analyst platform, designed to augment traditional fundamental financial analysis with structured sentiment signals to build, backtest, and adaptively manage investment portfolios. The module is targeted at equity portfolio managers, sector analysts, and private equity professionals.</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core thesis is straightforward: financial fundamentals tell you what a company or sector is worth based on historical and projected data; sentiment tells you how the market perceives that value in real time. Combined, they provide a more complete picture of investment opportunity and risk than either approach alone.</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module is built around three interlocking capabilities:</w:t>
      </w:r>
    </w:p>
    <w:p>
      <w:pPr>
        <w:pStyle w:val="ListParagraph"/>
        <w:numPr>
          <w:ilvl w:val="0"/>
          <w:numId w:val="2"/>
        </w:numPr>
        <w:spacing w:after="40" w:before="40"/>
      </w:pPr>
      <w:r>
        <w:rPr>
          <w:rFonts w:ascii="Arial" w:cs="Arial" w:eastAsia="Arial" w:hAnsi="Arial"/>
          <w:color w:val="1A1A2E"/>
          <w:sz w:val="22"/>
          <w:szCs w:val="22"/>
        </w:rPr>
        <w:t xml:space="preserve">Fundamental + Sentiment Portfolio Construction — importing sector financials alongside structured sentiment signals to build scored, ranked portfolios;</w:t>
      </w:r>
    </w:p>
    <w:p>
      <w:pPr>
        <w:pStyle w:val="ListParagraph"/>
        <w:numPr>
          <w:ilvl w:val="0"/>
          <w:numId w:val="2"/>
        </w:numPr>
        <w:spacing w:after="40" w:before="40"/>
      </w:pPr>
      <w:r>
        <w:rPr>
          <w:rFonts w:ascii="Arial" w:cs="Arial" w:eastAsia="Arial" w:hAnsi="Arial"/>
          <w:color w:val="1A1A2E"/>
          <w:sz w:val="22"/>
          <w:szCs w:val="22"/>
        </w:rPr>
        <w:t xml:space="preserve">Backtesting &amp; Adaptive Prediction Engine — testing portfolio construction methodologies against historical data and measuring how well sentiment-augmented models predict future relative performance;</w:t>
      </w:r>
    </w:p>
    <w:p>
      <w:pPr>
        <w:pStyle w:val="ListParagraph"/>
        <w:numPr>
          <w:ilvl w:val="0"/>
          <w:numId w:val="2"/>
        </w:numPr>
        <w:spacing w:after="40" w:before="40"/>
      </w:pPr>
      <w:r>
        <w:rPr>
          <w:rFonts w:ascii="Arial" w:cs="Arial" w:eastAsia="Arial" w:hAnsi="Arial"/>
          <w:color w:val="1A1A2E"/>
          <w:sz w:val="22"/>
          <w:szCs w:val="22"/>
        </w:rPr>
        <w:t xml:space="preserve">Private Equity Sector Benchmarking — applying the same framework to private companies, benchmarking them against listed peers to isolate the management contribution from sector and macro factors.</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mathematical backbone is a dynamic Markov chain model that governs how many state transitions (iterations) are needed at any point in time, determined by the combined weight of sentiment intensity, local economic conditions, and global economic conditions. This adaptive iteration count is itself a learnable parameter — the system can tell you not just what the optimal portfolio looks like, but how confident you should be in that view at the current moment.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Strategic Value</w:t>
            </w:r>
          </w:p>
          <w:p>
            <w:pPr>
              <w:spacing w:after="0" w:before="0"/>
            </w:pPr>
            <w:r>
              <w:rPr>
                <w:rFonts w:ascii="Arial" w:cs="Arial" w:eastAsia="Arial" w:hAnsi="Arial"/>
                <w:i w:val="false"/>
                <w:iCs w:val="false"/>
                <w:color w:val="1A1A2E"/>
                <w:sz w:val="21"/>
                <w:szCs w:val="21"/>
              </w:rPr>
              <w:t xml:space="preserve">By stripping out macro and local economic sentiment from individual stock or sector signals, the module can identify which assets are genuinely driven by company-specific or sector-specific factors versus those that are simply riding (or being dragged by) the economic tide. This is particularly powerful for private equity due diligence, where the goal is to isolate management quality as the residual unexplained variable after all systematic factors are accounted for.</w:t>
            </w:r>
          </w:p>
        </w:tc>
      </w:tr>
    </w:tbl>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2. Platform Context &amp; Integration</w:t>
      </w:r>
    </w:p>
    <w:p>
      <w:pPr>
        <w:spacing w:after="80" w:before="80"/>
      </w:pPr>
      <w:r>
        <w:rPr>
          <w:rFonts w:ascii="Arial" w:cs="Arial" w:eastAsia="Arial" w:hAnsi="Arial"/>
          <w:b w:val="false"/>
          <w:bCs w:val="false"/>
          <w:color w:val="1A1A2E"/>
          <w:sz w:val="22"/>
          <w:szCs w:val="22"/>
        </w:rPr>
        <w:t xml:space="preserve">The Portfolio Intelligence Module (PIM) is designed as a new top-level module within the Virtual Analyst platform, sitting alongside the existing AFS Module, Budget Module, and Board Pack Module. It integrates with several existing platform capabilities: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 Component</w:t>
            </w:r>
          </w:p>
        </w:tc>
        <w:tc>
          <w:tcPr>
            <w:tcW w:type="dxa" w:w="55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with PIM</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 Engine (Baselines/Runs)</w:t>
            </w:r>
          </w:p>
        </w:tc>
        <w:tc>
          <w:tcPr>
            <w:tcW w:type="dxa" w:w="5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Imports fundamentals — P&amp;L, BS, CF, KPIs — from existing model runs as inputs to portfolio scoring</w:t>
            </w:r>
          </w:p>
        </w:tc>
      </w:tr>
      <w:tr>
        <w:tc>
          <w:tcPr>
            <w:tcW w:type="dxa" w:w="3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AFS Module (Trial Balance Analytics)</w:t>
            </w:r>
          </w:p>
        </w:tc>
        <w:tc>
          <w:tcPr>
            <w:tcW w:type="dxa" w:w="5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Sector ratio benchmarks from the AFS analytics engine feed into sector-level composite scoring</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Benchmark Module</w:t>
            </w:r>
          </w:p>
        </w:tc>
        <w:tc>
          <w:tcPr>
            <w:tcW w:type="dxa" w:w="5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Peer comparison data from benchmark aggregates enriches sector percentile positioning</w:t>
            </w:r>
          </w:p>
        </w:tc>
      </w:tr>
      <w:tr>
        <w:tc>
          <w:tcPr>
            <w:tcW w:type="dxa" w:w="3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LLM Router (Anthropic/OpenAI)</w:t>
            </w:r>
          </w:p>
        </w:tc>
        <w:tc>
          <w:tcPr>
            <w:tcW w:type="dxa" w:w="5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Generates structured sentiment interpretations, narrative commentary, and factor attribution summaries</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Monte Carlo Engine</w:t>
            </w:r>
          </w:p>
        </w:tc>
        <w:tc>
          <w:tcPr>
            <w:tcW w:type="dxa" w:w="5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Adapted for portfolio simulation — draws correlated return distributions across sector constituents</w:t>
            </w:r>
          </w:p>
        </w:tc>
      </w:tr>
      <w:tr>
        <w:tc>
          <w:tcPr>
            <w:tcW w:type="dxa" w:w="3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Draft &amp; Changesets</w:t>
            </w:r>
          </w:p>
        </w:tc>
        <w:tc>
          <w:tcPr>
            <w:tcW w:type="dxa" w:w="5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 thesis documents and assumption change tracking via existing draft/changeset infrastructure</w:t>
            </w:r>
          </w:p>
        </w:tc>
      </w:tr>
      <w:tr>
        <w:tc>
          <w:tcPr>
            <w:tcW w:type="dxa" w:w="3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Board Pack Module</w:t>
            </w:r>
          </w:p>
        </w:tc>
        <w:tc>
          <w:tcPr>
            <w:tcW w:type="dxa" w:w="5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Outputs portfolio analytics, factor attribution charts, and PE benchmarking summaries as exportable board pack sections</w:t>
            </w:r>
          </w:p>
        </w:tc>
      </w:tr>
      <w:tr>
        <w:tc>
          <w:tcPr>
            <w:tcW w:type="dxa" w:w="3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Ventures Module</w:t>
            </w:r>
          </w:p>
        </w:tc>
        <w:tc>
          <w:tcPr>
            <w:tcW w:type="dxa" w:w="5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 target assessment uses venture-style questionnaire to establish company profile before benchmarking against listed peers</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2.1 New Data Flows</w:t>
      </w:r>
    </w:p>
    <w:p>
      <w:pPr>
        <w:spacing w:after="80" w:before="80"/>
      </w:pPr>
      <w:r>
        <w:rPr>
          <w:rFonts w:ascii="Arial" w:cs="Arial" w:eastAsia="Arial" w:hAnsi="Arial"/>
          <w:b w:val="false"/>
          <w:bCs w:val="false"/>
          <w:color w:val="1A1A2E"/>
          <w:sz w:val="22"/>
          <w:szCs w:val="22"/>
        </w:rPr>
        <w:t xml:space="preserve">The PIM introduces three new categories of data that do not currently exist in the platform:</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Sentiment Data — structured signals derived from news, analyst reports, social/media, earnings call transcripts, and regulatory filings. Processed by the LLM layer into scored, timestamped sentiment vectors per company and sector.</w:t>
      </w:r>
    </w:p>
    <w:p>
      <w:pPr>
        <w:pStyle w:val="ListParagraph"/>
        <w:numPr>
          <w:ilvl w:val="0"/>
          <w:numId w:val="2"/>
        </w:numPr>
        <w:spacing w:after="40" w:before="40"/>
      </w:pPr>
      <w:r>
        <w:rPr>
          <w:rFonts w:ascii="Arial" w:cs="Arial" w:eastAsia="Arial" w:hAnsi="Arial"/>
          <w:color w:val="1A1A2E"/>
          <w:sz w:val="22"/>
          <w:szCs w:val="22"/>
        </w:rPr>
        <w:t xml:space="preserve">Economic Context Data — local (country/regional) and global macroeconomic indicators: PMI, CPI, interest rate spreads, credit conditions, FX volatility, and commodity indices. These are imported via API connectors or manual upload.</w:t>
      </w:r>
    </w:p>
    <w:p>
      <w:pPr>
        <w:pStyle w:val="ListParagraph"/>
        <w:numPr>
          <w:ilvl w:val="0"/>
          <w:numId w:val="2"/>
        </w:numPr>
        <w:spacing w:after="40" w:before="40"/>
      </w:pPr>
      <w:r>
        <w:rPr>
          <w:rFonts w:ascii="Arial" w:cs="Arial" w:eastAsia="Arial" w:hAnsi="Arial"/>
          <w:color w:val="1A1A2E"/>
          <w:sz w:val="22"/>
          <w:szCs w:val="22"/>
        </w:rPr>
        <w:t xml:space="preserve">Relative Performance Data — actual observed price returns, total returns, and risk-adjusted returns for listed companies within defined sectors. This is the ground truth against which prediction quality is measured.</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3. Module Architecture</w:t>
      </w:r>
    </w:p>
    <w:p>
      <w:pPr>
        <w:pStyle w:val="Heading2"/>
        <w:spacing w:after="120" w:before="360"/>
      </w:pPr>
      <w:r>
        <w:rPr>
          <w:rFonts w:ascii="Arial" w:cs="Arial" w:eastAsia="Arial" w:hAnsi="Arial"/>
          <w:b/>
          <w:bCs/>
          <w:color w:val="2E5FA3"/>
          <w:sz w:val="28"/>
          <w:szCs w:val="28"/>
        </w:rPr>
        <w:t xml:space="preserve">3.1 High-Level Component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Architecture Philosophy</w:t>
            </w:r>
          </w:p>
          <w:p>
            <w:pPr>
              <w:spacing w:after="0" w:before="0"/>
            </w:pPr>
            <w:r>
              <w:rPr>
                <w:rFonts w:ascii="Arial" w:cs="Arial" w:eastAsia="Arial" w:hAnsi="Arial"/>
                <w:i w:val="false"/>
                <w:iCs w:val="false"/>
                <w:color w:val="1A1A2E"/>
                <w:sz w:val="21"/>
                <w:szCs w:val="21"/>
              </w:rPr>
              <w:t xml:space="preserve">The PIM follows the same layered architecture as the rest of Virtual Analyst: a deterministic computational core (factor scoring, Markov chain engine, backtesting statistics), an LLM-assisted interpretation layer (sentiment structuring, narrative generation), and a workflow-enabled frontend for investment professionals. Each layer is independently testable.</w:t>
            </w:r>
          </w:p>
        </w:tc>
      </w:tr>
    </w:tbl>
    <w:p>
      <w:pPr>
        <w:spacing w:after="0" w:before="160"/>
      </w:pPr>
      <w:r>
        <w:t xml:space="preserve"/>
      </w:r>
    </w:p>
    <w:p>
      <w:pPr>
        <w:spacing w:after="80" w:before="80"/>
      </w:pPr>
      <w:r>
        <w:rPr>
          <w:rFonts w:ascii="Arial" w:cs="Arial" w:eastAsia="Arial" w:hAnsi="Arial"/>
          <w:b w:val="false"/>
          <w:bCs w:val="false"/>
          <w:color w:val="1A1A2E"/>
          <w:sz w:val="22"/>
          <w:szCs w:val="22"/>
        </w:rPr>
        <w:t xml:space="preserve">The module comprises seven primary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6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9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Technology</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Sentiment Ingestion &amp; Scoring Engine</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Processes raw text (news, filings, transcripts) into structured scored sentiment vectors per company/sector/period</w:t>
            </w:r>
          </w:p>
        </w:tc>
        <w:tc>
          <w:tcPr>
            <w:tcW w:type="dxa" w:w="2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Router + deterministic post-processing</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Economic Context Registry</w:t>
            </w:r>
          </w:p>
        </w:tc>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Maintains per-period local and global macro indicator snapshots; supports multiple country/region contexts simultaneously</w:t>
            </w:r>
          </w:p>
        </w:tc>
        <w:tc>
          <w:tcPr>
            <w:tcW w:type="dxa" w:w="29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asyncpg + new DB tables</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Fundamental Aggregator</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Pulls financial metrics from existing model runs and AFS analytics into sector-level composite inputs</w:t>
            </w:r>
          </w:p>
        </w:tc>
        <w:tc>
          <w:tcPr>
            <w:tcW w:type="dxa" w:w="2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engine + new aggregation layer</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 Scoring Engine</w:t>
            </w:r>
          </w:p>
        </w:tc>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Combines fundamental scores and sentiment scores with configurable weights into ranked portfolio candidates</w:t>
            </w:r>
          </w:p>
        </w:tc>
        <w:tc>
          <w:tcPr>
            <w:tcW w:type="dxa" w:w="29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Python numerical engine</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Markov Chain Prediction Engine</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state-transition model that determines adaptive iteration count and generates forward-looking relative performance predictions</w:t>
            </w:r>
          </w:p>
        </w:tc>
        <w:tc>
          <w:tcPr>
            <w:tcW w:type="dxa" w:w="2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NumPy/SciPy + existing MC infrastructure</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Backtesting &amp; Validation Framework</w:t>
            </w:r>
          </w:p>
        </w:tc>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Tests methodology quality against historical data; measures sentiment contribution to prediction accuracy at varying time horizons t+i</w:t>
            </w:r>
          </w:p>
        </w:tc>
        <w:tc>
          <w:tcPr>
            <w:tcW w:type="dxa" w:w="29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Statistical testing harness</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 Benchmarking Engine</w:t>
            </w:r>
          </w:p>
        </w:tc>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Applies the listed-market model to private companies, benchmarking against sector peers and isolating management as the residual variable</w:t>
            </w:r>
          </w:p>
        </w:tc>
        <w:tc>
          <w:tcPr>
            <w:tcW w:type="dxa" w:w="2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Extends existing benchmark module</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3.2 Data Model</w:t>
      </w:r>
    </w:p>
    <w:p>
      <w:pPr>
        <w:spacing w:after="80" w:before="80"/>
      </w:pPr>
      <w:r>
        <w:rPr>
          <w:rFonts w:ascii="Arial" w:cs="Arial" w:eastAsia="Arial" w:hAnsi="Arial"/>
          <w:b w:val="false"/>
          <w:bCs w:val="false"/>
          <w:color w:val="1A1A2E"/>
          <w:sz w:val="22"/>
          <w:szCs w:val="22"/>
        </w:rPr>
        <w:t xml:space="preserve">The PIM introduces the following new database tables, following the existing tenanted RLS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4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Key</w:t>
            </w:r>
          </w:p>
        </w:tc>
        <w:tc>
          <w:tcPr>
            <w:tcW w:type="dxa" w:w="37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pim_universes</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(tenant_id, universe_id)</w:t>
            </w:r>
          </w:p>
        </w:tc>
        <w:tc>
          <w:tcPr>
            <w:tcW w:type="dxa" w:w="3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Defines a portfolio universe: sector(s), geographic scope, listed exchange(s), time horizon parameters</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pim_sentiment_signals</w:t>
            </w:r>
          </w:p>
        </w:tc>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(tenant_id, signal_id)</w:t>
            </w:r>
          </w:p>
        </w:tc>
        <w:tc>
          <w:tcPr>
            <w:tcW w:type="dxa" w:w="37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Individual scored sentiment events: company/sector, timestamp, score (-1 to +1), source type, raw summary, LLM confidence</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pim_sentiment_aggregates</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(tenant_id, aggregate_id)</w:t>
            </w:r>
          </w:p>
        </w:tc>
        <w:tc>
          <w:tcPr>
            <w:tcW w:type="dxa" w:w="3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Time-bucketed aggregated sentiment scores per company/sector, with local and global economic overlay stripped versions</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pim_economic_snapshots</w:t>
            </w:r>
          </w:p>
        </w:tc>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(tenant_id, snapshot_id)</w:t>
            </w:r>
          </w:p>
        </w:tc>
        <w:tc>
          <w:tcPr>
            <w:tcW w:type="dxa" w:w="37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Per-period macro indicator set: country/region, PMI, CPI, rate spread, FX vol, credit conditions index, global sentiment index</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pim_portfolio_runs</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(tenant_id, run_id)</w:t>
            </w:r>
          </w:p>
        </w:tc>
        <w:tc>
          <w:tcPr>
            <w:tcW w:type="dxa" w:w="3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portfolio construction run: universe, methodology config, weights, resulting ranked list, timestamp t</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pim_portfolio_holdings</w:t>
            </w:r>
          </w:p>
        </w:tc>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(tenant_id, run_id, holding_id)</w:t>
            </w:r>
          </w:p>
        </w:tc>
        <w:tc>
          <w:tcPr>
            <w:tcW w:type="dxa" w:w="37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Individual holdings within a portfolio run: company, weight, factor scores, sentiment score, composite rank</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pim_backtest_results</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(tenant_id, backtest_id)</w:t>
            </w:r>
          </w:p>
        </w:tc>
        <w:tc>
          <w:tcPr>
            <w:tcW w:type="dxa" w:w="3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backtest result: methodology, training window, prediction horizon i, accuracy metrics, sentiment contribution statistics</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pim_markov_states</w:t>
            </w:r>
          </w:p>
        </w:tc>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(tenant_id, state_id)</w:t>
            </w:r>
          </w:p>
        </w:tc>
        <w:tc>
          <w:tcPr>
            <w:tcW w:type="dxa" w:w="37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Snapshot of Markov chain state at time t: state vector, transition matrix, current iteration count estimate, factor weights</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pim_pe_assessments</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(tenant_id, assessment_id)</w:t>
            </w:r>
          </w:p>
        </w:tc>
        <w:tc>
          <w:tcPr>
            <w:tcW w:type="dxa" w:w="3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Private equity target assessment: company profile, sector mapping, benchmarked scores, management residual, key risk factors</w:t>
            </w:r>
          </w:p>
        </w:tc>
      </w:tr>
    </w:tbl>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4. Sentiment Ingestion &amp; Scoring</w:t>
      </w:r>
    </w:p>
    <w:p>
      <w:pPr>
        <w:pStyle w:val="Heading2"/>
        <w:spacing w:after="120" w:before="360"/>
      </w:pPr>
      <w:r>
        <w:rPr>
          <w:rFonts w:ascii="Arial" w:cs="Arial" w:eastAsia="Arial" w:hAnsi="Arial"/>
          <w:b/>
          <w:bCs/>
          <w:color w:val="2E5FA3"/>
          <w:sz w:val="28"/>
          <w:szCs w:val="28"/>
        </w:rPr>
        <w:t xml:space="preserve">4.1 What Counts as Sentiment</w:t>
      </w:r>
    </w:p>
    <w:p>
      <w:pPr>
        <w:spacing w:after="80" w:before="80"/>
      </w:pPr>
      <w:r>
        <w:rPr>
          <w:rFonts w:ascii="Arial" w:cs="Arial" w:eastAsia="Arial" w:hAnsi="Arial"/>
          <w:b w:val="false"/>
          <w:bCs w:val="false"/>
          <w:color w:val="1A1A2E"/>
          <w:sz w:val="22"/>
          <w:szCs w:val="22"/>
        </w:rPr>
        <w:t xml:space="preserve">For investment purposes, sentiment is any qualitative signal that reflects how informed market participants perceive the current and forward trajectory of a company or sector. The PIM processes five categories of sentiment source:</w:t>
      </w:r>
    </w:p>
    <w:p>
      <w:pPr>
        <w:spacing w:after="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480"/>
        <w:gridCol w:w="1680"/>
      </w:tblGrid>
      <w:tr>
        <w:trPr>
          <w:tblHeader/>
        </w:trPr>
        <w:tc>
          <w:tcPr>
            <w:tcW w:type="dxa" w:w="24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Type</w:t>
            </w:r>
          </w:p>
        </w:tc>
        <w:tc>
          <w:tcPr>
            <w:tcW w:type="dxa" w:w="32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c>
          <w:tcPr>
            <w:tcW w:type="dxa" w:w="148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Cadence</w:t>
            </w:r>
          </w:p>
        </w:tc>
        <w:tc>
          <w:tcPr>
            <w:tcW w:type="dxa" w:w="168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 Weight</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Earnings Call Transcripts</w:t>
            </w:r>
          </w:p>
        </w:tc>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Management tone, forward guidance language, analyst Q&amp;A sentiment</w:t>
            </w:r>
          </w:p>
        </w:tc>
        <w:tc>
          <w:tcPr>
            <w:tcW w:type="dxa" w:w="14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Quarterly</w:t>
            </w:r>
          </w:p>
        </w:tc>
        <w:tc>
          <w:tcPr>
            <w:tcW w:type="dxa" w:w="16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Analyst Research</w:t>
            </w:r>
          </w:p>
        </w:tc>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Rating changes, price target revisions, recommendation upgrades/downgrades</w:t>
            </w:r>
          </w:p>
        </w:tc>
        <w:tc>
          <w:tcPr>
            <w:tcW w:type="dxa" w:w="148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Event-driven</w:t>
            </w:r>
          </w:p>
        </w:tc>
        <w:tc>
          <w:tcPr>
            <w:tcW w:type="dxa" w:w="168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News &amp; Media</w:t>
            </w:r>
          </w:p>
        </w:tc>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Company news, sector news, macroeconomic headlines with sector relevance</w:t>
            </w:r>
          </w:p>
        </w:tc>
        <w:tc>
          <w:tcPr>
            <w:tcW w:type="dxa" w:w="14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Daily/Continuous</w:t>
            </w:r>
          </w:p>
        </w:tc>
        <w:tc>
          <w:tcPr>
            <w:tcW w:type="dxa" w:w="16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Regulatory Filings</w:t>
            </w:r>
          </w:p>
        </w:tc>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Risk factor changes in annual reports, MD&amp;A tone analysis</w:t>
            </w:r>
          </w:p>
        </w:tc>
        <w:tc>
          <w:tcPr>
            <w:tcW w:type="dxa" w:w="148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Annual/Quarterly</w:t>
            </w:r>
          </w:p>
        </w:tc>
        <w:tc>
          <w:tcPr>
            <w:tcW w:type="dxa" w:w="168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Alternative Data (Optional)</w:t>
            </w:r>
          </w:p>
        </w:tc>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Job postings, patent filings, web traffic, search trends</w:t>
            </w:r>
          </w:p>
        </w:tc>
        <w:tc>
          <w:tcPr>
            <w:tcW w:type="dxa" w:w="14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Varies</w:t>
            </w:r>
          </w:p>
        </w:tc>
        <w:tc>
          <w:tcPr>
            <w:tcW w:type="dxa" w:w="168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Low-Medium</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4.2 Sentiment Structuring Process</w:t>
      </w:r>
    </w:p>
    <w:p>
      <w:pPr>
        <w:spacing w:after="80" w:before="80"/>
      </w:pPr>
      <w:r>
        <w:rPr>
          <w:rFonts w:ascii="Arial" w:cs="Arial" w:eastAsia="Arial" w:hAnsi="Arial"/>
          <w:b w:val="false"/>
          <w:bCs w:val="false"/>
          <w:color w:val="1A1A2E"/>
          <w:sz w:val="22"/>
          <w:szCs w:val="22"/>
        </w:rPr>
        <w:t xml:space="preserve">Raw text inputs are processed through the LLM Router using a new task label (pim_sentiment_extraction). The LLM returns a structured JSON object per source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Sentiment Schema</w:t>
            </w:r>
          </w:p>
          <w:p>
            <w:pPr>
              <w:spacing w:after="0" w:before="0"/>
            </w:pPr>
            <w:r>
              <w:rPr>
                <w:rFonts w:ascii="Arial" w:cs="Arial" w:eastAsia="Arial" w:hAnsi="Arial"/>
                <w:i w:val="false"/>
                <w:iCs w:val="false"/>
                <w:color w:val="1A1A2E"/>
                <w:sz w:val="21"/>
                <w:szCs w:val="21"/>
              </w:rPr>
              <w:t xml:space="preserve">{ entity: string, entity_type: 'company'|'sector'|'macro', period_reference: ISO date, overall_score: float (-1 to +1), confidence: float (0-1), category_scores: { growth_outlook: float, management_credibility: float, competitive_position: float, financial_health: float, macro_sensitivity: float }, key_themes: string[], red_flags: string[], source_type: string }</w:t>
            </w:r>
          </w:p>
        </w:tc>
      </w:tr>
    </w:tbl>
    <w:p>
      <w:pPr>
        <w:spacing w:after="0" w:before="80"/>
      </w:pPr>
      <w:r>
        <w:t xml:space="preserve"/>
      </w:r>
    </w:p>
    <w:p>
      <w:pPr>
        <w:spacing w:after="80" w:before="80"/>
      </w:pPr>
      <w:r>
        <w:rPr>
          <w:rFonts w:ascii="Arial" w:cs="Arial" w:eastAsia="Arial" w:hAnsi="Arial"/>
          <w:b w:val="false"/>
          <w:bCs w:val="false"/>
          <w:color w:val="1A1A2E"/>
          <w:sz w:val="22"/>
          <w:szCs w:val="22"/>
        </w:rPr>
        <w:t xml:space="preserve">This structured output is deterministically post-processed to produce period-level aggregated sentiment signals. The post-processing applies the following adjustments:</w:t>
      </w:r>
    </w:p>
    <w:p>
      <w:pPr>
        <w:pStyle w:val="ListParagraph"/>
        <w:numPr>
          <w:ilvl w:val="0"/>
          <w:numId w:val="2"/>
        </w:numPr>
        <w:spacing w:after="40" w:before="40"/>
      </w:pPr>
      <w:r>
        <w:rPr>
          <w:rFonts w:ascii="Arial" w:cs="Arial" w:eastAsia="Arial" w:hAnsi="Arial"/>
          <w:color w:val="1A1A2E"/>
          <w:sz w:val="22"/>
          <w:szCs w:val="22"/>
        </w:rPr>
        <w:t xml:space="preserve">Source reliability weighting (analyst research &gt; news &gt; social media)</w:t>
      </w:r>
    </w:p>
    <w:p>
      <w:pPr>
        <w:pStyle w:val="ListParagraph"/>
        <w:numPr>
          <w:ilvl w:val="0"/>
          <w:numId w:val="2"/>
        </w:numPr>
        <w:spacing w:after="40" w:before="40"/>
      </w:pPr>
      <w:r>
        <w:rPr>
          <w:rFonts w:ascii="Arial" w:cs="Arial" w:eastAsia="Arial" w:hAnsi="Arial"/>
          <w:color w:val="1A1A2E"/>
          <w:sz w:val="22"/>
          <w:szCs w:val="22"/>
        </w:rPr>
        <w:t xml:space="preserve">Recency decay: exponential decay function with half-life configurable per source type (default: 30 days for news, 90 days for analyst research, 180 days for filings)</w:t>
      </w:r>
    </w:p>
    <w:p>
      <w:pPr>
        <w:pStyle w:val="ListParagraph"/>
        <w:numPr>
          <w:ilvl w:val="0"/>
          <w:numId w:val="2"/>
        </w:numPr>
        <w:spacing w:after="40" w:before="40"/>
      </w:pPr>
      <w:r>
        <w:rPr>
          <w:rFonts w:ascii="Arial" w:cs="Arial" w:eastAsia="Arial" w:hAnsi="Arial"/>
          <w:color w:val="1A1A2E"/>
          <w:sz w:val="22"/>
          <w:szCs w:val="22"/>
        </w:rPr>
        <w:t xml:space="preserve">Conflicting signal resolution: when multiple signals for the same entity/period conflict, the weighted average is taken and uncertainty is flagged</w:t>
      </w:r>
    </w:p>
    <w:p>
      <w:pPr>
        <w:pStyle w:val="ListParagraph"/>
        <w:numPr>
          <w:ilvl w:val="0"/>
          <w:numId w:val="2"/>
        </w:numPr>
        <w:spacing w:after="40" w:before="40"/>
      </w:pPr>
      <w:r>
        <w:rPr>
          <w:rFonts w:ascii="Arial" w:cs="Arial" w:eastAsia="Arial" w:hAnsi="Arial"/>
          <w:color w:val="1A1A2E"/>
          <w:sz w:val="22"/>
          <w:szCs w:val="22"/>
        </w:rPr>
        <w:t xml:space="preserve">Volume normalization: thin-coverage entities (fewer than 3 signals per period) are flagged as low-confidence</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4.3 Economic Overlay Stripping</w:t>
      </w:r>
    </w:p>
    <w:p>
      <w:pPr>
        <w:spacing w:after="80" w:before="80"/>
      </w:pPr>
      <w:r>
        <w:rPr>
          <w:rFonts w:ascii="Arial" w:cs="Arial" w:eastAsia="Arial" w:hAnsi="Arial"/>
          <w:b w:val="false"/>
          <w:bCs w:val="false"/>
          <w:color w:val="1A1A2E"/>
          <w:sz w:val="22"/>
          <w:szCs w:val="22"/>
        </w:rPr>
        <w:t xml:space="preserve">A core analytical capability of the PIM is the ability to compute a 'clean' company/sector sentiment score with economic noise removed. This is achieved in two stages:</w:t>
      </w:r>
    </w:p>
    <w:p>
      <w:pPr>
        <w:spacing w:after="0" w:before="80"/>
      </w:pPr>
      <w:r>
        <w:t xml:space="preserve"/>
      </w:r>
    </w:p>
    <w:p>
      <w:pPr>
        <w:pStyle w:val="ListParagraph"/>
        <w:numPr>
          <w:ilvl w:val="0"/>
          <w:numId w:val="3"/>
        </w:numPr>
        <w:spacing w:after="40" w:before="40"/>
      </w:pPr>
      <w:r>
        <w:rPr>
          <w:rFonts w:ascii="Arial" w:cs="Arial" w:eastAsia="Arial" w:hAnsi="Arial"/>
          <w:color w:val="1A1A2E"/>
          <w:sz w:val="22"/>
          <w:szCs w:val="22"/>
        </w:rPr>
        <w:t xml:space="preserve">Local Economic Stripping: For each period, compute the correlation between the entity's sentiment score and the local (country/region) economic sentiment composite. Subtract the fitted component: clean_local = raw_sentiment - beta_local * local_eco_index</w:t>
      </w:r>
    </w:p>
    <w:p>
      <w:pPr>
        <w:pStyle w:val="ListParagraph"/>
        <w:numPr>
          <w:ilvl w:val="0"/>
          <w:numId w:val="3"/>
        </w:numPr>
        <w:spacing w:after="40" w:before="40"/>
      </w:pPr>
      <w:r>
        <w:rPr>
          <w:rFonts w:ascii="Arial" w:cs="Arial" w:eastAsia="Arial" w:hAnsi="Arial"/>
          <w:color w:val="1A1A2E"/>
          <w:sz w:val="22"/>
          <w:szCs w:val="22"/>
        </w:rPr>
        <w:t xml:space="preserve">Global Economic Stripping: Apply the same regression to the global economic sentiment composite: clean_global = clean_local - beta_global * global_eco_index</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result is a triple of sentiment scores per entity per period:</w:t>
      </w:r>
    </w:p>
    <w:p>
      <w:pPr>
        <w:pStyle w:val="ListParagraph"/>
        <w:numPr>
          <w:ilvl w:val="0"/>
          <w:numId w:val="2"/>
        </w:numPr>
        <w:spacing w:after="40" w:before="40"/>
      </w:pPr>
      <w:r>
        <w:rPr>
          <w:rFonts w:ascii="Arial" w:cs="Arial" w:eastAsia="Arial" w:hAnsi="Arial"/>
          <w:color w:val="1A1A2E"/>
          <w:sz w:val="22"/>
          <w:szCs w:val="22"/>
        </w:rPr>
        <w:t xml:space="preserve">Raw Sentiment: unfiltered signal as ingested</w:t>
      </w:r>
    </w:p>
    <w:p>
      <w:pPr>
        <w:pStyle w:val="ListParagraph"/>
        <w:numPr>
          <w:ilvl w:val="0"/>
          <w:numId w:val="2"/>
        </w:numPr>
        <w:spacing w:after="40" w:before="40"/>
      </w:pPr>
      <w:r>
        <w:rPr>
          <w:rFonts w:ascii="Arial" w:cs="Arial" w:eastAsia="Arial" w:hAnsi="Arial"/>
          <w:color w:val="1A1A2E"/>
          <w:sz w:val="22"/>
          <w:szCs w:val="22"/>
        </w:rPr>
        <w:t xml:space="preserve">Local-Stripped Sentiment: sentiment after removing local economic correlation</w:t>
      </w:r>
    </w:p>
    <w:p>
      <w:pPr>
        <w:pStyle w:val="ListParagraph"/>
        <w:numPr>
          <w:ilvl w:val="0"/>
          <w:numId w:val="2"/>
        </w:numPr>
        <w:spacing w:after="40" w:before="40"/>
      </w:pPr>
      <w:r>
        <w:rPr>
          <w:rFonts w:ascii="Arial" w:cs="Arial" w:eastAsia="Arial" w:hAnsi="Arial"/>
          <w:color w:val="1A1A2E"/>
          <w:sz w:val="22"/>
          <w:szCs w:val="22"/>
        </w:rPr>
        <w:t xml:space="preserve">Global-Stripped Sentiment: pure company/sector-idiosyncratic sentiment signal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Investment Application</w:t>
            </w:r>
          </w:p>
          <w:p>
            <w:pPr>
              <w:spacing w:after="0" w:before="0"/>
            </w:pPr>
            <w:r>
              <w:rPr>
                <w:rFonts w:ascii="Arial" w:cs="Arial" w:eastAsia="Arial" w:hAnsi="Arial"/>
                <w:i w:val="false"/>
                <w:iCs w:val="false"/>
                <w:color w:val="1A1A2E"/>
                <w:sz w:val="21"/>
                <w:szCs w:val="21"/>
              </w:rPr>
              <w:t xml:space="preserve">The global-stripped score identifies companies and sectors that are fundamentally driven by their own business dynamics versus the macro tide. High-scoring assets on global-stripped sentiment in a poor macro environment are the premium allocation targets for long-term investors. Conversely, assets that score well only because of macro tailwinds are the first to be reconsidered when conditions shift.</w:t>
            </w:r>
          </w:p>
        </w:tc>
      </w:tr>
    </w:tbl>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5. Portfolio Scoring Engine</w:t>
      </w:r>
    </w:p>
    <w:p>
      <w:pPr>
        <w:pStyle w:val="Heading2"/>
        <w:spacing w:after="120" w:before="360"/>
      </w:pPr>
      <w:r>
        <w:rPr>
          <w:rFonts w:ascii="Arial" w:cs="Arial" w:eastAsia="Arial" w:hAnsi="Arial"/>
          <w:b/>
          <w:bCs/>
          <w:color w:val="2E5FA3"/>
          <w:sz w:val="28"/>
          <w:szCs w:val="28"/>
        </w:rPr>
        <w:t xml:space="preserve">5.1 Composite Score Construction</w:t>
      </w:r>
    </w:p>
    <w:p>
      <w:pPr>
        <w:spacing w:after="80" w:before="80"/>
      </w:pPr>
      <w:r>
        <w:rPr>
          <w:rFonts w:ascii="Arial" w:cs="Arial" w:eastAsia="Arial" w:hAnsi="Arial"/>
          <w:b w:val="false"/>
          <w:bCs w:val="false"/>
          <w:color w:val="1A1A2E"/>
          <w:sz w:val="22"/>
          <w:szCs w:val="22"/>
        </w:rPr>
        <w:t xml:space="preserve">Each company/sector constituent receives a Composite Investment Score (CIS) that combines fundamental and sentiment dimensions. The CIS is computed as a weighted sum across five factor groups: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560"/>
        <w:gridCol w:w="2400"/>
      </w:tblGrid>
      <w:tr>
        <w:trPr>
          <w:tblHeader/>
        </w:trPr>
        <w:tc>
          <w:tcPr>
            <w:tcW w:type="dxa" w:w="24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 Group</w:t>
            </w:r>
          </w:p>
        </w:tc>
        <w:tc>
          <w:tcPr>
            <w:tcW w:type="dxa" w:w="30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Sub-factors</w:t>
            </w:r>
          </w:p>
        </w:tc>
        <w:tc>
          <w:tcPr>
            <w:tcW w:type="dxa" w:w="15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Weight</w:t>
            </w:r>
          </w:p>
        </w:tc>
        <w:tc>
          <w:tcPr>
            <w:tcW w:type="dxa" w:w="24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Fundamental Quality</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Profitability ratios, balance sheet strength, cash generation, earnings quality</w:t>
            </w:r>
          </w:p>
        </w:tc>
        <w:tc>
          <w:tcPr>
            <w:tcW w:type="dxa" w:w="1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runs / AFS analytics</w:t>
            </w:r>
          </w:p>
        </w:tc>
      </w:tr>
      <w:tr>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Fundamental Momentum</w:t>
            </w:r>
          </w:p>
        </w:tc>
        <w:tc>
          <w:tcPr>
            <w:tcW w:type="dxa" w:w="3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Revenue growth trend, margin expansion/compression, working capital efficiency change</w:t>
            </w:r>
          </w:p>
        </w:tc>
        <w:tc>
          <w:tcPr>
            <w:tcW w:type="dxa" w:w="1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Model runs (multi-period)</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Idiosyncratic Sentiment</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Global-stripped sentiment score, management credibility sub-score</w:t>
            </w:r>
          </w:p>
        </w:tc>
        <w:tc>
          <w:tcPr>
            <w:tcW w:type="dxa" w:w="1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 Sentiment Engine</w:t>
            </w:r>
          </w:p>
        </w:tc>
      </w:tr>
      <w:tr>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Relative Sentiment Momentum</w:t>
            </w:r>
          </w:p>
        </w:tc>
        <w:tc>
          <w:tcPr>
            <w:tcW w:type="dxa" w:w="3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Change in idiosyncratic sentiment over trailing 1-3 months</w:t>
            </w:r>
          </w:p>
        </w:tc>
        <w:tc>
          <w:tcPr>
            <w:tcW w:type="dxa" w:w="1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 Sentiment Engine</w:t>
            </w:r>
          </w:p>
        </w:tc>
      </w:tr>
      <w:tr>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Positioning vs Sector</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Percentile rank within sector on key fundamentals and sentiment</w:t>
            </w:r>
          </w:p>
        </w:tc>
        <w:tc>
          <w:tcPr>
            <w:tcW w:type="dxa" w:w="1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Benchmark Module + PIM</w:t>
            </w:r>
          </w:p>
        </w:tc>
      </w:tr>
    </w:tbl>
    <w:p>
      <w:pPr>
        <w:spacing w:after="0" w:before="80"/>
      </w:pPr>
      <w:r>
        <w:t xml:space="preserve"/>
      </w:r>
    </w:p>
    <w:p>
      <w:pPr>
        <w:spacing w:after="80" w:before="80"/>
      </w:pPr>
      <w:r>
        <w:rPr>
          <w:rFonts w:ascii="Arial" w:cs="Arial" w:eastAsia="Arial" w:hAnsi="Arial"/>
          <w:b w:val="false"/>
          <w:bCs w:val="false"/>
          <w:color w:val="1A1A2E"/>
          <w:sz w:val="22"/>
          <w:szCs w:val="22"/>
        </w:rPr>
        <w:t xml:space="preserve">All weights are configurable per portfolio run. The system supports constraint-based portfolio construction: users can set minimum/maximum weights, sector concentration limits, liquidity constraints, and ESG exclusion lists.</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5.2 Sector-Level Portfolio vs Individual Selection</w:t>
      </w:r>
    </w:p>
    <w:p>
      <w:pPr>
        <w:spacing w:after="80" w:before="80"/>
      </w:pPr>
      <w:r>
        <w:rPr>
          <w:rFonts w:ascii="Arial" w:cs="Arial" w:eastAsia="Arial" w:hAnsi="Arial"/>
          <w:b w:val="false"/>
          <w:bCs w:val="false"/>
          <w:color w:val="1A1A2E"/>
          <w:sz w:val="22"/>
          <w:szCs w:val="22"/>
        </w:rPr>
        <w:t xml:space="preserve">The scoring engine operates at two levels simultaneously:</w:t>
      </w:r>
    </w:p>
    <w:p>
      <w:pPr>
        <w:pStyle w:val="ListParagraph"/>
        <w:numPr>
          <w:ilvl w:val="0"/>
          <w:numId w:val="2"/>
        </w:numPr>
        <w:spacing w:after="40" w:before="40"/>
      </w:pPr>
      <w:r>
        <w:rPr>
          <w:rFonts w:ascii="Arial" w:cs="Arial" w:eastAsia="Arial" w:hAnsi="Arial"/>
          <w:color w:val="1A1A2E"/>
          <w:sz w:val="22"/>
          <w:szCs w:val="22"/>
        </w:rPr>
        <w:t xml:space="preserve">Sector Level: Sectors are scored relative to each other, enabling top-down sector allocation decisions. Sectors with strong fundamental + idiosyncratic sentiment in a given macro regime receive higher allocation;</w:t>
      </w:r>
    </w:p>
    <w:p>
      <w:pPr>
        <w:pStyle w:val="ListParagraph"/>
        <w:numPr>
          <w:ilvl w:val="0"/>
          <w:numId w:val="2"/>
        </w:numPr>
        <w:spacing w:after="40" w:before="40"/>
      </w:pPr>
      <w:r>
        <w:rPr>
          <w:rFonts w:ascii="Arial" w:cs="Arial" w:eastAsia="Arial" w:hAnsi="Arial"/>
          <w:color w:val="1A1A2E"/>
          <w:sz w:val="22"/>
          <w:szCs w:val="22"/>
        </w:rPr>
        <w:t xml:space="preserve">Constituent Level: Within each sector, individual companies are scored and ranked. The portfolio is assembled by combining sector weights with within-sector company weights.</w:t>
      </w:r>
    </w:p>
    <w:p>
      <w:pPr>
        <w:spacing w:after="0" w:before="80"/>
      </w:pPr>
      <w:r>
        <w:t xml:space="preserve"/>
      </w:r>
    </w:p>
    <w:p>
      <w:pPr>
        <w:spacing w:after="80" w:before="80"/>
      </w:pPr>
      <w:r>
        <w:rPr>
          <w:rFonts w:ascii="Arial" w:cs="Arial" w:eastAsia="Arial" w:hAnsi="Arial"/>
          <w:b w:val="false"/>
          <w:bCs w:val="false"/>
          <w:color w:val="1A1A2E"/>
          <w:sz w:val="22"/>
          <w:szCs w:val="22"/>
        </w:rPr>
        <w:t xml:space="preserve">This two-level approach allows investment professionals to make explicit top-down views (overweight Technology, underweight Financials) while still benefiting from bottom-up stock selection within each sector.</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6. The Markov Chain Prediction Engine</w:t>
      </w:r>
    </w:p>
    <w:p>
      <w:pPr>
        <w:pStyle w:val="Heading2"/>
        <w:spacing w:after="120" w:before="360"/>
      </w:pPr>
      <w:r>
        <w:rPr>
          <w:rFonts w:ascii="Arial" w:cs="Arial" w:eastAsia="Arial" w:hAnsi="Arial"/>
          <w:b/>
          <w:bCs/>
          <w:color w:val="2E5FA3"/>
          <w:sz w:val="28"/>
          <w:szCs w:val="28"/>
        </w:rPr>
        <w:t xml:space="preserve">6.1 Conceptual Framework</w:t>
      </w:r>
    </w:p>
    <w:p>
      <w:pPr>
        <w:spacing w:after="80" w:before="80"/>
      </w:pPr>
      <w:r>
        <w:rPr>
          <w:rFonts w:ascii="Arial" w:cs="Arial" w:eastAsia="Arial" w:hAnsi="Arial"/>
          <w:b w:val="false"/>
          <w:bCs w:val="false"/>
          <w:color w:val="1A1A2E"/>
          <w:sz w:val="22"/>
          <w:szCs w:val="22"/>
        </w:rPr>
        <w:t xml:space="preserve">The prediction engine models the investment universe as a system with a finite set of states, where each state represents a configuration of combined fundamental quality, sentiment, and economic conditions. At each time step, the system transitions between states according to a learned transition matrix.</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key insight is that the number of iterations needed for the system to reach a new equilibrium state after a perturbation (a sentiment shock, a macro change, an earnings surprise) is itself informative. Fast-converging systems (few iterations needed) indicate stable, well-understood dynamics. Slow-converging or oscillating systems signal uncertainty and regime instability.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Adaptive Iteration Count</w:t>
            </w:r>
          </w:p>
          <w:p>
            <w:pPr>
              <w:spacing w:after="0" w:before="0"/>
            </w:pPr>
            <w:r>
              <w:rPr>
                <w:rFonts w:ascii="Arial" w:cs="Arial" w:eastAsia="Arial" w:hAnsi="Arial"/>
                <w:i w:val="false"/>
                <w:iCs w:val="false"/>
                <w:color w:val="1A1A2E"/>
                <w:sz w:val="21"/>
                <w:szCs w:val="21"/>
              </w:rPr>
              <w:t xml:space="preserve">The Markov chain does not run for a fixed number of steps. Instead, it runs until it converges to a stationary distribution, within a configurable tolerance. The number of steps required (the 'iteration count' or 'mixing time') is the primary uncertainty signal. When the current system state requires many more iterations than the historical average, the model flags elevated uncertainty and widens its prediction confidence intervals accordingly.</w:t>
            </w:r>
          </w:p>
        </w:tc>
      </w:tr>
    </w:tbl>
    <w:p>
      <w:pPr>
        <w:spacing w:after="0" w:before="80"/>
      </w:pPr>
      <w:r>
        <w:t xml:space="preserve"/>
      </w:r>
    </w:p>
    <w:p>
      <w:pPr>
        <w:pStyle w:val="Heading2"/>
        <w:spacing w:after="120" w:before="360"/>
      </w:pPr>
      <w:r>
        <w:rPr>
          <w:rFonts w:ascii="Arial" w:cs="Arial" w:eastAsia="Arial" w:hAnsi="Arial"/>
          <w:b/>
          <w:bCs/>
          <w:color w:val="2E5FA3"/>
          <w:sz w:val="28"/>
          <w:szCs w:val="28"/>
        </w:rPr>
        <w:t xml:space="preserve">6.2 State Definition</w:t>
      </w:r>
    </w:p>
    <w:p>
      <w:pPr>
        <w:spacing w:after="80" w:before="80"/>
      </w:pPr>
      <w:r>
        <w:rPr>
          <w:rFonts w:ascii="Arial" w:cs="Arial" w:eastAsia="Arial" w:hAnsi="Arial"/>
          <w:b w:val="false"/>
          <w:bCs w:val="false"/>
          <w:color w:val="1A1A2E"/>
          <w:sz w:val="22"/>
          <w:szCs w:val="22"/>
        </w:rPr>
        <w:t xml:space="preserve">Each state in the chain is a discretized combination of: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8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Levels</w:t>
            </w:r>
          </w:p>
        </w:tc>
        <w:tc>
          <w:tcPr>
            <w:tcW w:type="dxa" w:w="47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Fundamental Quality Regime</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(Weak / Neutral / Strong)</w:t>
            </w:r>
          </w:p>
        </w:tc>
        <w:tc>
          <w:tcPr>
            <w:tcW w:type="dxa" w:w="4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Based on percentile rank of composite fundamental score within sector</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Sentiment Regime</w:t>
            </w:r>
          </w:p>
        </w:tc>
        <w:tc>
          <w:tcPr>
            <w:tcW w:type="dxa" w:w="1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(Negative / Neutral / Positive)</w:t>
            </w:r>
          </w:p>
        </w:tc>
        <w:tc>
          <w:tcPr>
            <w:tcW w:type="dxa" w:w="47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Based on idiosyncratic sentiment quartile (using global-stripped score)</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Macro Regime</w:t>
            </w:r>
          </w:p>
        </w:tc>
        <w:tc>
          <w:tcPr>
            <w:tcW w:type="dxa" w:w="1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(Contractionary / Stable / Expansionary)</w:t>
            </w:r>
          </w:p>
        </w:tc>
        <w:tc>
          <w:tcPr>
            <w:tcW w:type="dxa" w:w="47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Based on economic snapshot composite index</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Relative Momentum</w:t>
            </w:r>
          </w:p>
        </w:tc>
        <w:tc>
          <w:tcPr>
            <w:tcW w:type="dxa" w:w="1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(Decelerating / Flat / Accelerating)</w:t>
            </w:r>
          </w:p>
        </w:tc>
        <w:tc>
          <w:tcPr>
            <w:tcW w:type="dxa" w:w="47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Rate of change in composite score over trailing 2-3 periods</w:t>
            </w:r>
          </w:p>
        </w:tc>
      </w:tr>
    </w:tbl>
    <w:p>
      <w:pPr>
        <w:spacing w:after="0" w:before="80"/>
      </w:pPr>
      <w:r>
        <w:t xml:space="preserve"/>
      </w:r>
    </w:p>
    <w:p>
      <w:pPr>
        <w:spacing w:after="80" w:before="80"/>
      </w:pPr>
      <w:r>
        <w:rPr>
          <w:rFonts w:ascii="Arial" w:cs="Arial" w:eastAsia="Arial" w:hAnsi="Arial"/>
          <w:b w:val="false"/>
          <w:bCs w:val="false"/>
          <w:color w:val="1A1A2E"/>
          <w:sz w:val="22"/>
          <w:szCs w:val="22"/>
        </w:rPr>
        <w:t xml:space="preserve">This 3x3x3x3 state space yields 81 possible states per entity, though in practice many states are rare or unreachable given sector-specific dynamics. The transition matrix is learned from historical data and updated as new data arrives.</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6.3 Factor Weight Adaptation</w:t>
      </w:r>
    </w:p>
    <w:p>
      <w:pPr>
        <w:spacing w:after="80" w:before="80"/>
      </w:pPr>
      <w:r>
        <w:rPr>
          <w:rFonts w:ascii="Arial" w:cs="Arial" w:eastAsia="Arial" w:hAnsi="Arial"/>
          <w:b w:val="false"/>
          <w:bCs w:val="false"/>
          <w:color w:val="1A1A2E"/>
          <w:sz w:val="22"/>
          <w:szCs w:val="22"/>
        </w:rPr>
        <w:t xml:space="preserve">The relative weights of sentiment versus fundamentals versus macro in driving transitions are themselves estimated from historical data and updated dynamically. The weight estimation process answers the question: 'At this point in time, how much does sentiment actually predict forward performance relative to what the fundamentals alone would predict?'</w:t>
      </w:r>
    </w:p>
    <w:p>
      <w:pPr>
        <w:spacing w:after="0" w:before="80"/>
      </w:pPr>
      <w:r>
        <w:t xml:space="preserve"/>
      </w:r>
    </w:p>
    <w:p>
      <w:pPr>
        <w:spacing w:after="80" w:before="80"/>
      </w:pPr>
      <w:r>
        <w:rPr>
          <w:rFonts w:ascii="Arial" w:cs="Arial" w:eastAsia="Arial" w:hAnsi="Arial"/>
          <w:b w:val="false"/>
          <w:bCs w:val="false"/>
          <w:color w:val="1A1A2E"/>
          <w:sz w:val="22"/>
          <w:szCs w:val="22"/>
        </w:rPr>
        <w:t xml:space="preserve">This produces the key output metric: Sentiment Prediction Contribution (SPC) — the marginal R-squared attributable to the sentiment signal in a multivariate regression of forward returns on (fundamentals only) vs (fundamentals + sentiment). The SPC varies over time and across sectors, giving investment professionals an evidence-based view of when sentiment is adding genuine signal versus noise.</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6.4 Optimal Prediction Horizon</w:t>
      </w:r>
    </w:p>
    <w:p>
      <w:pPr>
        <w:spacing w:after="80" w:before="80"/>
      </w:pPr>
      <w:r>
        <w:rPr>
          <w:rFonts w:ascii="Arial" w:cs="Arial" w:eastAsia="Arial" w:hAnsi="Arial"/>
          <w:b w:val="false"/>
          <w:bCs w:val="false"/>
          <w:color w:val="1A1A2E"/>
          <w:sz w:val="22"/>
          <w:szCs w:val="22"/>
        </w:rPr>
        <w:t xml:space="preserve">A central deliverable of the backtesting framework (Section 7) is the empirical determination of the optimal prediction horizon i — that is, the forward time period t+i at which the model's predictions have the highest information ratio. This is not a fixed parameter but is itself adaptive:</w:t>
      </w:r>
    </w:p>
    <w:p>
      <w:pPr>
        <w:pStyle w:val="ListParagraph"/>
        <w:numPr>
          <w:ilvl w:val="0"/>
          <w:numId w:val="2"/>
        </w:numPr>
        <w:spacing w:after="40" w:before="40"/>
      </w:pPr>
      <w:r>
        <w:rPr>
          <w:rFonts w:ascii="Arial" w:cs="Arial" w:eastAsia="Arial" w:hAnsi="Arial"/>
          <w:color w:val="1A1A2E"/>
          <w:sz w:val="22"/>
          <w:szCs w:val="22"/>
        </w:rPr>
        <w:t xml:space="preserve">Short horizons (t+1 to t+4 weeks): Sentiment dominates; fundamentals have not yet adjusted. High SPC.</w:t>
      </w:r>
    </w:p>
    <w:p>
      <w:pPr>
        <w:pStyle w:val="ListParagraph"/>
        <w:numPr>
          <w:ilvl w:val="0"/>
          <w:numId w:val="2"/>
        </w:numPr>
        <w:spacing w:after="40" w:before="40"/>
      </w:pPr>
      <w:r>
        <w:rPr>
          <w:rFonts w:ascii="Arial" w:cs="Arial" w:eastAsia="Arial" w:hAnsi="Arial"/>
          <w:color w:val="1A1A2E"/>
          <w:sz w:val="22"/>
          <w:szCs w:val="22"/>
        </w:rPr>
        <w:t xml:space="preserve">Medium horizons (t+1 to t+3 months): Mixed regime. Both fundamentals and sentiment matter. SPC declines.</w:t>
      </w:r>
    </w:p>
    <w:p>
      <w:pPr>
        <w:pStyle w:val="ListParagraph"/>
        <w:numPr>
          <w:ilvl w:val="0"/>
          <w:numId w:val="2"/>
        </w:numPr>
        <w:spacing w:after="40" w:before="40"/>
      </w:pPr>
      <w:r>
        <w:rPr>
          <w:rFonts w:ascii="Arial" w:cs="Arial" w:eastAsia="Arial" w:hAnsi="Arial"/>
          <w:color w:val="1A1A2E"/>
          <w:sz w:val="22"/>
          <w:szCs w:val="22"/>
        </w:rPr>
        <w:t xml:space="preserve">Long horizons (t+3 to t+12 months): Fundamentals dominate; sentiment mean-reverts. SPC approaches zero.</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system continuously estimates the current optimal horizon by comparing the current macro/sentiment regime to historical analogues and reporting the horizon at which those analogues showed the strongest predictive accuracy. This is surfaced to users as a 'Current Optimal Horizon' indicator with uncertainty bands.</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7. Backtesting &amp; Validation Framework</w:t>
      </w:r>
    </w:p>
    <w:p>
      <w:pPr>
        <w:pStyle w:val="Heading2"/>
        <w:spacing w:after="120" w:before="360"/>
      </w:pPr>
      <w:r>
        <w:rPr>
          <w:rFonts w:ascii="Arial" w:cs="Arial" w:eastAsia="Arial" w:hAnsi="Arial"/>
          <w:b/>
          <w:bCs/>
          <w:color w:val="2E5FA3"/>
          <w:sz w:val="28"/>
          <w:szCs w:val="28"/>
        </w:rPr>
        <w:t xml:space="preserve">7.1 Methodology</w:t>
      </w:r>
    </w:p>
    <w:p>
      <w:pPr>
        <w:spacing w:after="80" w:before="80"/>
      </w:pPr>
      <w:r>
        <w:rPr>
          <w:rFonts w:ascii="Arial" w:cs="Arial" w:eastAsia="Arial" w:hAnsi="Arial"/>
          <w:b w:val="false"/>
          <w:bCs w:val="false"/>
          <w:color w:val="1A1A2E"/>
          <w:sz w:val="22"/>
          <w:szCs w:val="22"/>
        </w:rPr>
        <w:t xml:space="preserve">The backtesting framework follows an expanding window approach to avoid look-ahead bias:</w:t>
      </w:r>
    </w:p>
    <w:p>
      <w:pPr>
        <w:spacing w:after="0" w:before="80"/>
      </w:pPr>
      <w:r>
        <w:t xml:space="preserve"/>
      </w:r>
    </w:p>
    <w:p>
      <w:pPr>
        <w:pStyle w:val="ListParagraph"/>
        <w:numPr>
          <w:ilvl w:val="0"/>
          <w:numId w:val="3"/>
        </w:numPr>
        <w:spacing w:after="40" w:before="40"/>
      </w:pPr>
      <w:r>
        <w:rPr>
          <w:rFonts w:ascii="Arial" w:cs="Arial" w:eastAsia="Arial" w:hAnsi="Arial"/>
          <w:color w:val="1A1A2E"/>
          <w:sz w:val="22"/>
          <w:szCs w:val="22"/>
        </w:rPr>
        <w:t xml:space="preserve">Define training window: All data from t=0 to t=T is used to train the Markov transition matrix and estimate factor weights.</w:t>
      </w:r>
    </w:p>
    <w:p>
      <w:pPr>
        <w:pStyle w:val="ListParagraph"/>
        <w:numPr>
          <w:ilvl w:val="0"/>
          <w:numId w:val="3"/>
        </w:numPr>
        <w:spacing w:after="40" w:before="40"/>
      </w:pPr>
      <w:r>
        <w:rPr>
          <w:rFonts w:ascii="Arial" w:cs="Arial" w:eastAsia="Arial" w:hAnsi="Arial"/>
          <w:color w:val="1A1A2E"/>
          <w:sz w:val="22"/>
          <w:szCs w:val="22"/>
        </w:rPr>
        <w:t xml:space="preserve">Generate portfolio at t=T: Apply the scoring engine using only information available at t=T.</w:t>
      </w:r>
    </w:p>
    <w:p>
      <w:pPr>
        <w:pStyle w:val="ListParagraph"/>
        <w:numPr>
          <w:ilvl w:val="0"/>
          <w:numId w:val="3"/>
        </w:numPr>
        <w:spacing w:after="40" w:before="40"/>
      </w:pPr>
      <w:r>
        <w:rPr>
          <w:rFonts w:ascii="Arial" w:cs="Arial" w:eastAsia="Arial" w:hAnsi="Arial"/>
          <w:color w:val="1A1A2E"/>
          <w:sz w:val="22"/>
          <w:szCs w:val="22"/>
        </w:rPr>
        <w:t xml:space="preserve">Observe outcomes: Record actual relative performance of selected companies/sectors from t=T to t=T+i for multiple horizons i.</w:t>
      </w:r>
    </w:p>
    <w:p>
      <w:pPr>
        <w:pStyle w:val="ListParagraph"/>
        <w:numPr>
          <w:ilvl w:val="0"/>
          <w:numId w:val="3"/>
        </w:numPr>
        <w:spacing w:after="40" w:before="40"/>
      </w:pPr>
      <w:r>
        <w:rPr>
          <w:rFonts w:ascii="Arial" w:cs="Arial" w:eastAsia="Arial" w:hAnsi="Arial"/>
          <w:color w:val="1A1A2E"/>
          <w:sz w:val="22"/>
          <w:szCs w:val="22"/>
        </w:rPr>
        <w:t xml:space="preserve">Advance window: Move T forward by one period and repeat.</w:t>
      </w:r>
    </w:p>
    <w:p>
      <w:pPr>
        <w:pStyle w:val="ListParagraph"/>
        <w:numPr>
          <w:ilvl w:val="0"/>
          <w:numId w:val="3"/>
        </w:numPr>
        <w:spacing w:after="40" w:before="40"/>
      </w:pPr>
      <w:r>
        <w:rPr>
          <w:rFonts w:ascii="Arial" w:cs="Arial" w:eastAsia="Arial" w:hAnsi="Arial"/>
          <w:color w:val="1A1A2E"/>
          <w:sz w:val="22"/>
          <w:szCs w:val="22"/>
        </w:rPr>
        <w:t xml:space="preserve">Aggregate: Compute prediction accuracy metrics across all out-of-sample windows.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Anti-Cheating Safeguard</w:t>
            </w:r>
          </w:p>
          <w:p>
            <w:pPr>
              <w:spacing w:after="0" w:before="0"/>
            </w:pPr>
            <w:r>
              <w:rPr>
                <w:rFonts w:ascii="Arial" w:cs="Arial" w:eastAsia="Arial" w:hAnsi="Arial"/>
                <w:i w:val="false"/>
                <w:iCs w:val="false"/>
                <w:color w:val="1A1A2E"/>
                <w:sz w:val="21"/>
                <w:szCs w:val="21"/>
              </w:rPr>
              <w:t xml:space="preserve">The backtesting engine enforces strict temporal isolation: economic data, sentiment data, and price data are all timestamped and filtered to ensure that only information available at time T is used in the construction of the T-period portfolio. Any data point that was published, revised, or became available after T is excluded from the training window for that period.</w:t>
            </w:r>
          </w:p>
        </w:tc>
      </w:tr>
    </w:tbl>
    <w:p>
      <w:pPr>
        <w:spacing w:after="0" w:before="80"/>
      </w:pPr>
      <w:r>
        <w:t xml:space="preserve"/>
      </w:r>
    </w:p>
    <w:p>
      <w:pPr>
        <w:pStyle w:val="Heading2"/>
        <w:spacing w:after="120" w:before="360"/>
      </w:pPr>
      <w:r>
        <w:rPr>
          <w:rFonts w:ascii="Arial" w:cs="Arial" w:eastAsia="Arial" w:hAnsi="Arial"/>
          <w:b/>
          <w:bCs/>
          <w:color w:val="2E5FA3"/>
          <w:sz w:val="28"/>
          <w:szCs w:val="28"/>
        </w:rPr>
        <w:t xml:space="preserve">7.2 Prediction Quality Metrics</w:t>
      </w:r>
    </w:p>
    <w:p>
      <w:pPr>
        <w:spacing w:after="80" w:before="80"/>
      </w:pPr>
      <w:r>
        <w:rPr>
          <w:rFonts w:ascii="Arial" w:cs="Arial" w:eastAsia="Arial" w:hAnsi="Arial"/>
          <w:b w:val="false"/>
          <w:bCs w:val="false"/>
          <w:color w:val="1A1A2E"/>
          <w:sz w:val="22"/>
          <w:szCs w:val="22"/>
        </w:rPr>
        <w:t xml:space="preserve">The framework reports the following metrics for each combination of methodology and prediction horizon 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4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1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Information Coefficient (IC)</w:t>
            </w:r>
          </w:p>
        </w:tc>
        <w:tc>
          <w:tcPr>
            <w:tcW w:type="dxa" w:w="3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Spearman rank correlation between predicted score and actual forward return</w:t>
            </w:r>
          </w:p>
        </w:tc>
        <w:tc>
          <w:tcPr>
            <w:tcW w:type="dxa" w:w="31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 &gt; 0.05 is considered meaningful; IC &gt; 0.10 is strong</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IC Information Ratio (ICIR)</w:t>
            </w:r>
          </w:p>
        </w:tc>
        <w:tc>
          <w:tcPr>
            <w:tcW w:type="dxa" w:w="3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Mean IC / standard deviation of IC over rolling windows</w:t>
            </w:r>
          </w:p>
        </w:tc>
        <w:tc>
          <w:tcPr>
            <w:tcW w:type="dxa" w:w="31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ICIR &gt; 0.5 indicates consistency of the signal</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Sentiment Prediction Contribution (SPC)</w:t>
            </w:r>
          </w:p>
        </w:tc>
        <w:tc>
          <w:tcPr>
            <w:tcW w:type="dxa" w:w="3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Incremental R-squared from adding sentiment to fundamental-only model</w:t>
            </w:r>
          </w:p>
        </w:tc>
        <w:tc>
          <w:tcPr>
            <w:tcW w:type="dxa" w:w="31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SPC &gt; 5% indicates economically meaningful sentiment signal</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Optimal Horizon Stability</w:t>
            </w:r>
          </w:p>
        </w:tc>
        <w:tc>
          <w:tcPr>
            <w:tcW w:type="dxa" w:w="3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Variance of estimated optimal i across different training windows</w:t>
            </w:r>
          </w:p>
        </w:tc>
        <w:tc>
          <w:tcPr>
            <w:tcW w:type="dxa" w:w="31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Low variance = stable optimal horizon; high variance = horizon is regime-dependent</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Factor Attribution Stability</w:t>
            </w:r>
          </w:p>
        </w:tc>
        <w:tc>
          <w:tcPr>
            <w:tcW w:type="dxa" w:w="34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Variance of estimated factor weights across training windows</w:t>
            </w:r>
          </w:p>
        </w:tc>
        <w:tc>
          <w:tcPr>
            <w:tcW w:type="dxa" w:w="31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variance = reliable factor weights; high variance = factor importance shifts with regime</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Hit Rate by Quintile</w:t>
            </w:r>
          </w:p>
        </w:tc>
        <w:tc>
          <w:tcPr>
            <w:tcW w:type="dxa" w:w="34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of top-quintile picks that outperform the median in the subsequent period</w:t>
            </w:r>
          </w:p>
        </w:tc>
        <w:tc>
          <w:tcPr>
            <w:tcW w:type="dxa" w:w="31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Hit rate &gt; 60% in top quintile suggests actionable signal</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7.3 Sentiment Contribution Analysis</w:t>
      </w:r>
    </w:p>
    <w:p>
      <w:pPr>
        <w:spacing w:after="80" w:before="80"/>
      </w:pPr>
      <w:r>
        <w:rPr>
          <w:rFonts w:ascii="Arial" w:cs="Arial" w:eastAsia="Arial" w:hAnsi="Arial"/>
          <w:b w:val="false"/>
          <w:bCs w:val="false"/>
          <w:color w:val="1A1A2E"/>
          <w:sz w:val="22"/>
          <w:szCs w:val="22"/>
        </w:rPr>
        <w:t xml:space="preserve">The framework specifically tests the following hypotheses to quantify the value-add of the sentiment layer:</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H1 — Sentiment Adds IC: Does sentiment-augmented scoring have a higher IC than fundamental-only scoring across all horizons?</w:t>
      </w:r>
    </w:p>
    <w:p>
      <w:pPr>
        <w:pStyle w:val="ListParagraph"/>
        <w:numPr>
          <w:ilvl w:val="0"/>
          <w:numId w:val="2"/>
        </w:numPr>
        <w:spacing w:after="40" w:before="40"/>
      </w:pPr>
      <w:r>
        <w:rPr>
          <w:rFonts w:ascii="Arial" w:cs="Arial" w:eastAsia="Arial" w:hAnsi="Arial"/>
          <w:color w:val="1A1A2E"/>
          <w:sz w:val="22"/>
          <w:szCs w:val="22"/>
        </w:rPr>
        <w:t xml:space="preserve">H2 — Optimal Horizon Dependence: Does the sentiment contribution vary systematically with prediction horizon i?</w:t>
      </w:r>
    </w:p>
    <w:p>
      <w:pPr>
        <w:pStyle w:val="ListParagraph"/>
        <w:numPr>
          <w:ilvl w:val="0"/>
          <w:numId w:val="2"/>
        </w:numPr>
        <w:spacing w:after="40" w:before="40"/>
      </w:pPr>
      <w:r>
        <w:rPr>
          <w:rFonts w:ascii="Arial" w:cs="Arial" w:eastAsia="Arial" w:hAnsi="Arial"/>
          <w:color w:val="1A1A2E"/>
          <w:sz w:val="22"/>
          <w:szCs w:val="22"/>
        </w:rPr>
        <w:t xml:space="preserve">H3 — Regime Dependence: Is the sentiment contribution higher in high-uncertainty macro regimes than in stable regimes?</w:t>
      </w:r>
    </w:p>
    <w:p>
      <w:pPr>
        <w:pStyle w:val="ListParagraph"/>
        <w:numPr>
          <w:ilvl w:val="0"/>
          <w:numId w:val="2"/>
        </w:numPr>
        <w:spacing w:after="40" w:before="40"/>
      </w:pPr>
      <w:r>
        <w:rPr>
          <w:rFonts w:ascii="Arial" w:cs="Arial" w:eastAsia="Arial" w:hAnsi="Arial"/>
          <w:color w:val="1A1A2E"/>
          <w:sz w:val="22"/>
          <w:szCs w:val="22"/>
        </w:rPr>
        <w:t xml:space="preserve">H4 — Stripping Value: Does global-stripped sentiment outperform raw sentiment as a predictor (i.e., is the economic overlay removal worth doing)?</w:t>
      </w:r>
    </w:p>
    <w:p>
      <w:pPr>
        <w:pStyle w:val="ListParagraph"/>
        <w:numPr>
          <w:ilvl w:val="0"/>
          <w:numId w:val="2"/>
        </w:numPr>
        <w:spacing w:after="40" w:before="40"/>
      </w:pPr>
      <w:r>
        <w:rPr>
          <w:rFonts w:ascii="Arial" w:cs="Arial" w:eastAsia="Arial" w:hAnsi="Arial"/>
          <w:color w:val="1A1A2E"/>
          <w:sz w:val="22"/>
          <w:szCs w:val="22"/>
        </w:rPr>
        <w:t xml:space="preserve">H5 — Sector Heterogeneity: Do different sectors exhibit significantly different optimal sentiment weighting and optimal horizons?</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These hypothesis tests are reported in the Backtest Results page and are surfaced as actionable recommendations: e.g., 'In Technology, sentiment signal peaks at 6-week horizon and contributes 12% incremental R-squared; in Mining, the signal is negligible beyond 2 weeks.'</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8. Private Equity Benchmarking Engine</w:t>
      </w:r>
    </w:p>
    <w:p>
      <w:pPr>
        <w:pStyle w:val="Heading2"/>
        <w:spacing w:after="120" w:before="360"/>
      </w:pPr>
      <w:r>
        <w:rPr>
          <w:rFonts w:ascii="Arial" w:cs="Arial" w:eastAsia="Arial" w:hAnsi="Arial"/>
          <w:b/>
          <w:bCs/>
          <w:color w:val="2E5FA3"/>
          <w:sz w:val="28"/>
          <w:szCs w:val="28"/>
        </w:rPr>
        <w:t xml:space="preserve">8.1 Conceptual Approach</w:t>
      </w:r>
    </w:p>
    <w:p>
      <w:pPr>
        <w:spacing w:after="80" w:before="80"/>
      </w:pPr>
      <w:r>
        <w:rPr>
          <w:rFonts w:ascii="Arial" w:cs="Arial" w:eastAsia="Arial" w:hAnsi="Arial"/>
          <w:b w:val="false"/>
          <w:bCs w:val="false"/>
          <w:color w:val="1A1A2E"/>
          <w:sz w:val="22"/>
          <w:szCs w:val="22"/>
        </w:rPr>
        <w:t xml:space="preserve">Private companies cannot be directly analysed using sentiment signals (they have no analyst coverage, no listed price, limited public filings). However, they exist within sectors that do have rich sentiment and public market data. The PE Benchmarking Engine bridges this gap:</w:t>
      </w:r>
    </w:p>
    <w:p>
      <w:pPr>
        <w:spacing w:after="0" w:before="80"/>
      </w:pPr>
      <w:r>
        <w:t xml:space="preserve"/>
      </w:r>
    </w:p>
    <w:p>
      <w:pPr>
        <w:pStyle w:val="ListParagraph"/>
        <w:numPr>
          <w:ilvl w:val="0"/>
          <w:numId w:val="3"/>
        </w:numPr>
        <w:spacing w:after="40" w:before="40"/>
      </w:pPr>
      <w:r>
        <w:rPr>
          <w:rFonts w:ascii="Arial" w:cs="Arial" w:eastAsia="Arial" w:hAnsi="Arial"/>
          <w:color w:val="1A1A2E"/>
          <w:sz w:val="22"/>
          <w:szCs w:val="22"/>
        </w:rPr>
        <w:t xml:space="preserve">Sector Mapping: The PE target is mapped to the most relevant listed-market sector peer group (e.g., a mid-size industrial consumables manufacturer is mapped to the Industrial Goods / Specialty Manufacturing sector).</w:t>
      </w:r>
    </w:p>
    <w:p>
      <w:pPr>
        <w:pStyle w:val="ListParagraph"/>
        <w:numPr>
          <w:ilvl w:val="0"/>
          <w:numId w:val="3"/>
        </w:numPr>
        <w:spacing w:after="40" w:before="40"/>
      </w:pPr>
      <w:r>
        <w:rPr>
          <w:rFonts w:ascii="Arial" w:cs="Arial" w:eastAsia="Arial" w:hAnsi="Arial"/>
          <w:color w:val="1A1A2E"/>
          <w:sz w:val="22"/>
          <w:szCs w:val="22"/>
        </w:rPr>
        <w:t xml:space="preserve">Fundamental Benchmarking: The target's financials (imported via the Ventures questionnaire or Excel import) are scored against the sector peer group using the same fundamental scoring engine as the listed market module. This gives the target a Fundamental Percentile Rank (FPR) within its listed peers.</w:t>
      </w:r>
    </w:p>
    <w:p>
      <w:pPr>
        <w:pStyle w:val="ListParagraph"/>
        <w:numPr>
          <w:ilvl w:val="0"/>
          <w:numId w:val="3"/>
        </w:numPr>
        <w:spacing w:after="40" w:before="40"/>
      </w:pPr>
      <w:r>
        <w:rPr>
          <w:rFonts w:ascii="Arial" w:cs="Arial" w:eastAsia="Arial" w:hAnsi="Arial"/>
          <w:color w:val="1A1A2E"/>
          <w:sz w:val="22"/>
          <w:szCs w:val="22"/>
        </w:rPr>
        <w:t xml:space="preserve">Macro Adjustment: The sector's expected return at the target's FPR is estimated from the Markov model, given the current macro regime. This gives the Expected Sector Return (ESR) — what a listed company at this percentile should be returning.</w:t>
      </w:r>
    </w:p>
    <w:p>
      <w:pPr>
        <w:pStyle w:val="ListParagraph"/>
        <w:numPr>
          <w:ilvl w:val="0"/>
          <w:numId w:val="3"/>
        </w:numPr>
        <w:spacing w:after="40" w:before="40"/>
      </w:pPr>
      <w:r>
        <w:rPr>
          <w:rFonts w:ascii="Arial" w:cs="Arial" w:eastAsia="Arial" w:hAnsi="Arial"/>
          <w:color w:val="1A1A2E"/>
          <w:sz w:val="22"/>
          <w:szCs w:val="22"/>
        </w:rPr>
        <w:t xml:space="preserve">Management Residual: The difference between the target's actual observed performance (or projected performance if pre-investment) and the ESR is the Management Residual (MR). This is the component of performance attributable to management quality, strategy execution, and company-specific factors beyond what sector and macro explain.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The Management Residual — The Key PE Metric</w:t>
            </w:r>
          </w:p>
          <w:p>
            <w:pPr>
              <w:spacing w:after="0" w:before="0"/>
            </w:pPr>
            <w:r>
              <w:rPr>
                <w:rFonts w:ascii="Arial" w:cs="Arial" w:eastAsia="Arial" w:hAnsi="Arial"/>
                <w:i w:val="false"/>
                <w:iCs w:val="false"/>
                <w:color w:val="1A1A2E"/>
                <w:sz w:val="21"/>
                <w:szCs w:val="21"/>
              </w:rPr>
              <w:t xml:space="preserve">Management Residual = Actual/Projected Performance - Expected Sector Return
Positive MR: Management is adding value beyond what sector and macro conditions would imply. Strong signal for investment.
Negative MR: Management is delivering below what the sector alone would provide. Structural issue or turnaround required.
Near-zero MR: Returns are entirely explained by sector tailwinds. Management is neither adding nor destroying value — sector selection, not management quality, is the investment thesis.</w:t>
            </w:r>
          </w:p>
        </w:tc>
      </w:tr>
    </w:tbl>
    <w:p>
      <w:pPr>
        <w:spacing w:after="0" w:before="80"/>
      </w:pPr>
      <w:r>
        <w:t xml:space="preserve"/>
      </w:r>
    </w:p>
    <w:p>
      <w:pPr>
        <w:pStyle w:val="Heading2"/>
        <w:spacing w:after="120" w:before="360"/>
      </w:pPr>
      <w:r>
        <w:rPr>
          <w:rFonts w:ascii="Arial" w:cs="Arial" w:eastAsia="Arial" w:hAnsi="Arial"/>
          <w:b/>
          <w:bCs/>
          <w:color w:val="2E5FA3"/>
          <w:sz w:val="28"/>
          <w:szCs w:val="28"/>
        </w:rPr>
        <w:t xml:space="preserve">8.2 Key Risk Factor Attribution</w:t>
      </w:r>
    </w:p>
    <w:p>
      <w:pPr>
        <w:spacing w:after="80" w:before="80"/>
      </w:pPr>
      <w:r>
        <w:rPr>
          <w:rFonts w:ascii="Arial" w:cs="Arial" w:eastAsia="Arial" w:hAnsi="Arial"/>
          <w:b w:val="false"/>
          <w:bCs w:val="false"/>
          <w:color w:val="1A1A2E"/>
          <w:sz w:val="22"/>
          <w:szCs w:val="22"/>
        </w:rPr>
        <w:t xml:space="preserve">For each PE assessment, the engine performs a factor attribution decomposition that ranks the drivers of performance:</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Sector Beta — how much of the expected return is driven by broad sector performance</w:t>
      </w:r>
    </w:p>
    <w:p>
      <w:pPr>
        <w:pStyle w:val="ListParagraph"/>
        <w:numPr>
          <w:ilvl w:val="0"/>
          <w:numId w:val="2"/>
        </w:numPr>
        <w:spacing w:after="40" w:before="40"/>
      </w:pPr>
      <w:r>
        <w:rPr>
          <w:rFonts w:ascii="Arial" w:cs="Arial" w:eastAsia="Arial" w:hAnsi="Arial"/>
          <w:color w:val="1A1A2E"/>
          <w:sz w:val="22"/>
          <w:szCs w:val="22"/>
        </w:rPr>
        <w:t xml:space="preserve">Macro Sensitivity — how much performance is expected to change with macro conditions (and in which direction — cyclical vs. counter-cyclical)</w:t>
      </w:r>
    </w:p>
    <w:p>
      <w:pPr>
        <w:pStyle w:val="ListParagraph"/>
        <w:numPr>
          <w:ilvl w:val="0"/>
          <w:numId w:val="2"/>
        </w:numPr>
        <w:spacing w:after="40" w:before="40"/>
      </w:pPr>
      <w:r>
        <w:rPr>
          <w:rFonts w:ascii="Arial" w:cs="Arial" w:eastAsia="Arial" w:hAnsi="Arial"/>
          <w:color w:val="1A1A2E"/>
          <w:sz w:val="22"/>
          <w:szCs w:val="22"/>
        </w:rPr>
        <w:t xml:space="preserve">Fundamental Quality Position — where the company sits in the peer distribution on each fundamental factor</w:t>
      </w:r>
    </w:p>
    <w:p>
      <w:pPr>
        <w:pStyle w:val="ListParagraph"/>
        <w:numPr>
          <w:ilvl w:val="0"/>
          <w:numId w:val="2"/>
        </w:numPr>
        <w:spacing w:after="40" w:before="40"/>
      </w:pPr>
      <w:r>
        <w:rPr>
          <w:rFonts w:ascii="Arial" w:cs="Arial" w:eastAsia="Arial" w:hAnsi="Arial"/>
          <w:color w:val="1A1A2E"/>
          <w:sz w:val="22"/>
          <w:szCs w:val="22"/>
        </w:rPr>
        <w:t xml:space="preserve">Sentiment-Driven Opportunity — for sectors with high SPC, the current sector sentiment score represents a forward-looking tailwind or headwind</w:t>
      </w:r>
    </w:p>
    <w:p>
      <w:pPr>
        <w:pStyle w:val="ListParagraph"/>
        <w:numPr>
          <w:ilvl w:val="0"/>
          <w:numId w:val="2"/>
        </w:numPr>
        <w:spacing w:after="40" w:before="40"/>
      </w:pPr>
      <w:r>
        <w:rPr>
          <w:rFonts w:ascii="Arial" w:cs="Arial" w:eastAsia="Arial" w:hAnsi="Arial"/>
          <w:color w:val="1A1A2E"/>
          <w:sz w:val="22"/>
          <w:szCs w:val="22"/>
        </w:rPr>
        <w:t xml:space="preserve">Management Residual — the company-specific contribution, treated as the unpredictable human variable</w:t>
      </w:r>
    </w:p>
    <w:p>
      <w:pPr>
        <w:spacing w:after="0" w:before="80"/>
      </w:pPr>
      <w:r>
        <w:t xml:space="preserve"/>
      </w:r>
    </w:p>
    <w:p>
      <w:pPr>
        <w:spacing w:after="80" w:before="80"/>
      </w:pPr>
      <w:r>
        <w:rPr>
          <w:rFonts w:ascii="Arial" w:cs="Arial" w:eastAsia="Arial" w:hAnsi="Arial"/>
          <w:b w:val="false"/>
          <w:bCs w:val="false"/>
          <w:color w:val="1A1A2E"/>
          <w:sz w:val="22"/>
          <w:szCs w:val="22"/>
        </w:rPr>
        <w:t xml:space="preserve">This attribution gives PE professionals a structured framework for the investment memo: 'Of the 18% projected return, approximately 11% is explained by sector dynamics and macro tailwinds; 4% by above-median fundamental quality; and 3% is the management residual — which must be stress-tested in due diligence.'</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8.3 Input Method for Private Companies</w:t>
      </w:r>
    </w:p>
    <w:p>
      <w:pPr>
        <w:spacing w:after="80" w:before="80"/>
      </w:pPr>
      <w:r>
        <w:rPr>
          <w:rFonts w:ascii="Arial" w:cs="Arial" w:eastAsia="Arial" w:hAnsi="Arial"/>
          <w:b w:val="false"/>
          <w:bCs w:val="false"/>
          <w:color w:val="1A1A2E"/>
          <w:sz w:val="22"/>
          <w:szCs w:val="22"/>
        </w:rPr>
        <w:t xml:space="preserve">Private company data can be ingested via three routes:</w:t>
      </w:r>
    </w:p>
    <w:p>
      <w:pPr>
        <w:pStyle w:val="ListParagraph"/>
        <w:numPr>
          <w:ilvl w:val="0"/>
          <w:numId w:val="2"/>
        </w:numPr>
        <w:spacing w:after="40" w:before="40"/>
      </w:pPr>
      <w:r>
        <w:rPr>
          <w:rFonts w:ascii="Arial" w:cs="Arial" w:eastAsia="Arial" w:hAnsi="Arial"/>
          <w:color w:val="1A1A2E"/>
          <w:sz w:val="22"/>
          <w:szCs w:val="22"/>
        </w:rPr>
        <w:t xml:space="preserve">Ventures Questionnaire: Uses the existing Ventures wizard with a new PE Assessment template. The questionnaire captures financials, competitive positioning, management background, and growth history.</w:t>
      </w:r>
    </w:p>
    <w:p>
      <w:pPr>
        <w:pStyle w:val="ListParagraph"/>
        <w:numPr>
          <w:ilvl w:val="0"/>
          <w:numId w:val="2"/>
        </w:numPr>
        <w:spacing w:after="40" w:before="40"/>
      </w:pPr>
      <w:r>
        <w:rPr>
          <w:rFonts w:ascii="Arial" w:cs="Arial" w:eastAsia="Arial" w:hAnsi="Arial"/>
          <w:color w:val="1A1A2E"/>
          <w:sz w:val="22"/>
          <w:szCs w:val="22"/>
        </w:rPr>
        <w:t xml:space="preserve">Excel Import: Direct upload of financial statements via the existing Excel ingestion pipeline.</w:t>
      </w:r>
    </w:p>
    <w:p>
      <w:pPr>
        <w:pStyle w:val="ListParagraph"/>
        <w:numPr>
          <w:ilvl w:val="0"/>
          <w:numId w:val="2"/>
        </w:numPr>
        <w:spacing w:after="40" w:before="40"/>
      </w:pPr>
      <w:r>
        <w:rPr>
          <w:rFonts w:ascii="Arial" w:cs="Arial" w:eastAsia="Arial" w:hAnsi="Arial"/>
          <w:color w:val="1A1A2E"/>
          <w:sz w:val="22"/>
          <w:szCs w:val="22"/>
        </w:rPr>
        <w:t xml:space="preserve">Manual Data Entry: Structured form for key metrics when full financial statements are unavailable (common in early-stage targets).</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 system explicitly flags data quality: assessments based on incomplete inputs receive lower confidence scores and wider prediction bands, which are surfaced to the investment professional in the output.</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9. Frontend — User Experience Design</w:t>
      </w:r>
    </w:p>
    <w:p>
      <w:pPr>
        <w:pStyle w:val="Heading2"/>
        <w:spacing w:after="120" w:before="360"/>
      </w:pPr>
      <w:r>
        <w:rPr>
          <w:rFonts w:ascii="Arial" w:cs="Arial" w:eastAsia="Arial" w:hAnsi="Arial"/>
          <w:b/>
          <w:bCs/>
          <w:color w:val="2E5FA3"/>
          <w:sz w:val="28"/>
          <w:szCs w:val="28"/>
        </w:rPr>
        <w:t xml:space="preserve">9.1 Navigation Structure</w:t>
      </w:r>
    </w:p>
    <w:p>
      <w:pPr>
        <w:spacing w:after="80" w:before="80"/>
      </w:pPr>
      <w:r>
        <w:rPr>
          <w:rFonts w:ascii="Arial" w:cs="Arial" w:eastAsia="Arial" w:hAnsi="Arial"/>
          <w:b w:val="false"/>
          <w:bCs w:val="false"/>
          <w:color w:val="1A1A2E"/>
          <w:sz w:val="22"/>
          <w:szCs w:val="22"/>
        </w:rPr>
        <w:t xml:space="preserve">The PIM adds a new top-level section to the Virtual Analyst sidebar, accessible to users with the analyst role or above. The section contains the following pages: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30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Pattern</w:t>
            </w:r>
          </w:p>
        </w:tc>
        <w:tc>
          <w:tcPr>
            <w:tcW w:type="dxa" w:w="35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Universe Manager</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/portfolio/universes</w:t>
            </w:r>
          </w:p>
        </w:tc>
        <w:tc>
          <w:tcPr>
            <w:tcW w:type="dxa" w:w="3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 and manage portfolio universes (sectors, geographies, constituent lists)</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 Builder</w:t>
            </w:r>
          </w:p>
        </w:tc>
        <w:tc>
          <w:tcPr>
            <w:tcW w:type="dxa" w:w="3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/portfolio/[universe_id]/build</w:t>
            </w:r>
          </w:p>
        </w:tc>
        <w:tc>
          <w:tcPr>
            <w:tcW w:type="dxa" w:w="3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Configure and run a portfolio scoring and construction pass</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Dashboard</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/portfolio/[universe_id]/[run_id]</w:t>
            </w:r>
          </w:p>
        </w:tc>
        <w:tc>
          <w:tcPr>
            <w:tcW w:type="dxa" w:w="3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 scored holdings, factor attribution, sentiment breakdown, current state</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Backtest Studio</w:t>
            </w:r>
          </w:p>
        </w:tc>
        <w:tc>
          <w:tcPr>
            <w:tcW w:type="dxa" w:w="3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/portfolio/[universe_id]/backtest</w:t>
            </w:r>
          </w:p>
        </w:tc>
        <w:tc>
          <w:tcPr>
            <w:tcW w:type="dxa" w:w="3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Configure and run backtests; view IC, ICIR, SPC, optimal horizon analysis</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Backtest Results</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/portfolio/[universe_id]/backtest/[backtest_id]</w:t>
            </w:r>
          </w:p>
        </w:tc>
        <w:tc>
          <w:tcPr>
            <w:tcW w:type="dxa" w:w="3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Detailed results for a specific backtest run</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Sentiment Monitor</w:t>
            </w:r>
          </w:p>
        </w:tc>
        <w:tc>
          <w:tcPr>
            <w:tcW w:type="dxa" w:w="3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/portfolio/sentiment</w:t>
            </w:r>
          </w:p>
        </w:tc>
        <w:tc>
          <w:tcPr>
            <w:tcW w:type="dxa" w:w="3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Live view of sentiment signals by company and sector; stripping controls</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Economic Context</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/portfolio/economics</w:t>
            </w:r>
          </w:p>
        </w:tc>
        <w:tc>
          <w:tcPr>
            <w:tcW w:type="dxa" w:w="3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 economic snapshot data; view macro regime indicators</w:t>
            </w:r>
          </w:p>
        </w:tc>
      </w:tr>
      <w:tr>
        <w:tc>
          <w:tcPr>
            <w:tcW w:type="dxa" w:w="28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 Assessments</w:t>
            </w:r>
          </w:p>
        </w:tc>
        <w:tc>
          <w:tcPr>
            <w:tcW w:type="dxa" w:w="3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/portfolio/pe</w:t>
            </w:r>
          </w:p>
        </w:tc>
        <w:tc>
          <w:tcPr>
            <w:tcW w:type="dxa" w:w="3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List and manage private equity assessments</w:t>
            </w:r>
          </w:p>
        </w:tc>
      </w:tr>
      <w:tr>
        <w:tc>
          <w:tcPr>
            <w:tcW w:type="dxa" w:w="28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 Assessment Detail</w:t>
            </w:r>
          </w:p>
        </w:tc>
        <w:tc>
          <w:tcPr>
            <w:tcW w:type="dxa" w:w="3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/portfolio/pe/[assessment_id]</w:t>
            </w:r>
          </w:p>
        </w:tc>
        <w:tc>
          <w:tcPr>
            <w:tcW w:type="dxa" w:w="3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PE benchmarking output: FPR, ESR, MR, factor attribution, risk ranking</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9.2 Key Visualisations</w:t>
      </w:r>
    </w:p>
    <w:p>
      <w:pPr>
        <w:spacing w:after="80" w:before="80"/>
      </w:pPr>
      <w:r>
        <w:rPr>
          <w:rFonts w:ascii="Arial" w:cs="Arial" w:eastAsia="Arial" w:hAnsi="Arial"/>
          <w:b w:val="false"/>
          <w:bCs w:val="false"/>
          <w:color w:val="1A1A2E"/>
          <w:sz w:val="22"/>
          <w:szCs w:val="22"/>
        </w:rPr>
        <w:t xml:space="preserve">The following visualisations are new to the platform and will be implemented as React components within the existing Tailwind + Shadcn UI design system:</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Sentiment Heatmap: Matrix of companies (rows) vs time periods (columns), colour-coded by sentiment score, with a toggle between raw, local-stripped, and global-stripped. Allows instant visual identification of sentiment divergence between assets.</w:t>
      </w:r>
    </w:p>
    <w:p>
      <w:pPr>
        <w:pStyle w:val="ListParagraph"/>
        <w:numPr>
          <w:ilvl w:val="0"/>
          <w:numId w:val="2"/>
        </w:numPr>
        <w:spacing w:after="40" w:before="40"/>
      </w:pPr>
      <w:r>
        <w:rPr>
          <w:rFonts w:ascii="Arial" w:cs="Arial" w:eastAsia="Arial" w:hAnsi="Arial"/>
          <w:color w:val="1A1A2E"/>
          <w:sz w:val="22"/>
          <w:szCs w:val="22"/>
        </w:rPr>
        <w:t xml:space="preserve">Markov State Diagram: Visual representation of the current state position within the state space, with transition probabilities shown as edge weights. States are sized by historical frequency. The current state is highlighted with its mixing time indicator.</w:t>
      </w:r>
    </w:p>
    <w:p>
      <w:pPr>
        <w:pStyle w:val="ListParagraph"/>
        <w:numPr>
          <w:ilvl w:val="0"/>
          <w:numId w:val="2"/>
        </w:numPr>
        <w:spacing w:after="40" w:before="40"/>
      </w:pPr>
      <w:r>
        <w:rPr>
          <w:rFonts w:ascii="Arial" w:cs="Arial" w:eastAsia="Arial" w:hAnsi="Arial"/>
          <w:color w:val="1A1A2E"/>
          <w:sz w:val="22"/>
          <w:szCs w:val="22"/>
        </w:rPr>
        <w:t xml:space="preserve">Factor Attribution Waterfall: For each portfolio holding, a waterfall chart decomposing the composite score into its five factor components, making the basis for the allocation immediately transparent.</w:t>
      </w:r>
    </w:p>
    <w:p>
      <w:pPr>
        <w:pStyle w:val="ListParagraph"/>
        <w:numPr>
          <w:ilvl w:val="0"/>
          <w:numId w:val="2"/>
        </w:numPr>
        <w:spacing w:after="40" w:before="40"/>
      </w:pPr>
      <w:r>
        <w:rPr>
          <w:rFonts w:ascii="Arial" w:cs="Arial" w:eastAsia="Arial" w:hAnsi="Arial"/>
          <w:color w:val="1A1A2E"/>
          <w:sz w:val="22"/>
          <w:szCs w:val="22"/>
        </w:rPr>
        <w:t xml:space="preserve">Backtest Performance Ribbon: IC and ICIR plotted as time series across training windows, with shading to indicate the contribution of sentiment vs fundamentals. The optimal horizon line floats across the ribbon.</w:t>
      </w:r>
    </w:p>
    <w:p>
      <w:pPr>
        <w:pStyle w:val="ListParagraph"/>
        <w:numPr>
          <w:ilvl w:val="0"/>
          <w:numId w:val="2"/>
        </w:numPr>
        <w:spacing w:after="40" w:before="40"/>
      </w:pPr>
      <w:r>
        <w:rPr>
          <w:rFonts w:ascii="Arial" w:cs="Arial" w:eastAsia="Arial" w:hAnsi="Arial"/>
          <w:color w:val="1A1A2E"/>
          <w:sz w:val="22"/>
          <w:szCs w:val="22"/>
        </w:rPr>
        <w:t xml:space="preserve">PE Management Residual Gauge: Visual gauge showing MR relative to sector peers, with traffic-light colouring and percentile context.</w:t>
      </w:r>
    </w:p>
    <w:p>
      <w:pPr>
        <w:spacing w:after="0" w:before="160"/>
      </w:pPr>
      <w:r>
        <w:t xml:space="preserve"/>
      </w:r>
    </w:p>
    <w:p>
      <w:pPr>
        <w:pStyle w:val="Heading2"/>
        <w:spacing w:after="120" w:before="360"/>
      </w:pPr>
      <w:r>
        <w:rPr>
          <w:rFonts w:ascii="Arial" w:cs="Arial" w:eastAsia="Arial" w:hAnsi="Arial"/>
          <w:b/>
          <w:bCs/>
          <w:color w:val="2E5FA3"/>
          <w:sz w:val="28"/>
          <w:szCs w:val="28"/>
        </w:rPr>
        <w:t xml:space="preserve">9.3 Professional-Grade Output</w:t>
      </w:r>
    </w:p>
    <w:p>
      <w:pPr>
        <w:spacing w:after="80" w:before="80"/>
      </w:pPr>
      <w:r>
        <w:rPr>
          <w:rFonts w:ascii="Arial" w:cs="Arial" w:eastAsia="Arial" w:hAnsi="Arial"/>
          <w:b w:val="false"/>
          <w:bCs w:val="false"/>
          <w:color w:val="1A1A2E"/>
          <w:sz w:val="22"/>
          <w:szCs w:val="22"/>
        </w:rPr>
        <w:t xml:space="preserve">Investment professionals require outputs suitable for presentation to investment committees, LPs, and boards. The PIM generates the following exportable outputs: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Investment Committee Memo: Auto-drafted memo for PE assessments, structured as: Investment Thesis Summary | Sector Context | Fundamental Analysis | Sentiment Analysis | Risk Attribution | Management Assessment | Recommendation. Generated via the LLM layer and exported via the existing Memo service.</w:t>
      </w:r>
    </w:p>
    <w:p>
      <w:pPr>
        <w:pStyle w:val="ListParagraph"/>
        <w:numPr>
          <w:ilvl w:val="0"/>
          <w:numId w:val="2"/>
        </w:numPr>
        <w:spacing w:after="40" w:before="40"/>
      </w:pPr>
      <w:r>
        <w:rPr>
          <w:rFonts w:ascii="Arial" w:cs="Arial" w:eastAsia="Arial" w:hAnsi="Arial"/>
          <w:color w:val="1A1A2E"/>
          <w:sz w:val="22"/>
          <w:szCs w:val="22"/>
        </w:rPr>
        <w:t xml:space="preserve">Portfolio Review Pack: Board Pack section showing portfolio positions, factor scores, sentiment evolution, and backtest validation metrics. Exported via the existing Board Pack module as PDF or PPTX.</w:t>
      </w:r>
    </w:p>
    <w:p>
      <w:pPr>
        <w:pStyle w:val="ListParagraph"/>
        <w:numPr>
          <w:ilvl w:val="0"/>
          <w:numId w:val="2"/>
        </w:numPr>
        <w:spacing w:after="40" w:before="40"/>
      </w:pPr>
      <w:r>
        <w:rPr>
          <w:rFonts w:ascii="Arial" w:cs="Arial" w:eastAsia="Arial" w:hAnsi="Arial"/>
          <w:color w:val="1A1A2E"/>
          <w:sz w:val="22"/>
          <w:szCs w:val="22"/>
        </w:rPr>
        <w:t xml:space="preserve">Backtest Validation Report: PDF report suitable for quantitative due diligence of the methodology, including full hypothesis test results and methodology documentation.</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10. API Design</w:t>
      </w:r>
    </w:p>
    <w:p>
      <w:pPr>
        <w:pStyle w:val="Heading2"/>
        <w:spacing w:after="120" w:before="360"/>
      </w:pPr>
      <w:r>
        <w:rPr>
          <w:rFonts w:ascii="Arial" w:cs="Arial" w:eastAsia="Arial" w:hAnsi="Arial"/>
          <w:b/>
          <w:bCs/>
          <w:color w:val="2E5FA3"/>
          <w:sz w:val="28"/>
          <w:szCs w:val="28"/>
        </w:rPr>
        <w:t xml:space="preserve">10.1 New Router: pim</w:t>
      </w:r>
    </w:p>
    <w:p>
      <w:pPr>
        <w:spacing w:after="80" w:before="80"/>
      </w:pPr>
      <w:r>
        <w:rPr>
          <w:rFonts w:ascii="Arial" w:cs="Arial" w:eastAsia="Arial" w:hAnsi="Arial"/>
          <w:b w:val="false"/>
          <w:bCs w:val="false"/>
          <w:color w:val="1A1A2E"/>
          <w:sz w:val="22"/>
          <w:szCs w:val="22"/>
        </w:rPr>
        <w:t xml:space="preserve">All PIM endpoints are under /api/v1/pim and follow the existing Virtual Analyst API patterns (tenant isolation, RLS, RBAC, structlog, Pydantic 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2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45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/pim/universes</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and create portfolio universes</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/pim/universes/{id}</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PATCH, DELETE</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Universe CRUD</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/pim/universes/{id}/constituents</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 universe constituent list</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/pim/sentiment/ingest</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Ingest raw text document for sentiment scoring (queued via Celery)</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/pim/sentiment/signals</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sentiment signals with filters (entity, period, source)</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/pim/sentiment/aggregates/{entity_id}</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aggregated sentiment time series for an entity</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/pim/sentiment/strip</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Compute local- and global-stripped sentiment for an entity</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/pim/economics/snapshots</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List and create economic context snapshots</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/pim/portfolio/runs</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and create portfolio construction runs</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/pim/portfolio/runs/{run_id}</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full portfolio run output with scores and factor attribution</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/pim/backtest</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Launch a backtest job (async, via Celery)</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/pim/backtest/{backtest_id}</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backtest results</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/pim/backtest/{backtest_id}/spc</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Sentiment Prediction Contribution analysis for a backtest</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/pim/markov/state</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current Markov chain state for a universe</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/pim/markov/simulate</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forward simulation from current state</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/pim/pe/assessments</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GET, POST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List and create PE assessments</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/pim/pe/assessments/{id}</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PATCH</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Assessment CRUD</w:t>
            </w:r>
          </w:p>
        </w:tc>
      </w:tr>
      <w:tr>
        <w:tc>
          <w:tcPr>
            <w:tcW w:type="dxa" w:w="36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/pim/pe/assessments/{id}/benchmark</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45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Run benchmarking computation against listed peers</w:t>
            </w:r>
          </w:p>
        </w:tc>
      </w:tr>
      <w:tr>
        <w:tc>
          <w:tcPr>
            <w:tcW w:type="dxa" w:w="36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/pim/pe/assessments/{id}/memo</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45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investment committee memo via LLM</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10.2 New LLM Task Labels</w:t>
      </w:r>
    </w:p>
    <w:p>
      <w:pPr>
        <w:spacing w:after="80" w:before="80"/>
      </w:pPr>
      <w:r>
        <w:rPr>
          <w:rFonts w:ascii="Arial" w:cs="Arial" w:eastAsia="Arial" w:hAnsi="Arial"/>
          <w:b w:val="false"/>
          <w:bCs w:val="false"/>
          <w:color w:val="1A1A2E"/>
          <w:sz w:val="22"/>
          <w:szCs w:val="22"/>
        </w:rPr>
        <w:t xml:space="preserve">The following new task labels are added to the LLM Router: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Label</w:t>
            </w:r>
          </w:p>
        </w:tc>
        <w:tc>
          <w:tcPr>
            <w:tcW w:type="dxa" w:w="40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1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Temperature</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pim_sentiment_extraction</w:t>
            </w:r>
          </w:p>
        </w:tc>
        <w:tc>
          <w:tcPr>
            <w:tcW w:type="dxa" w:w="4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Extract structured sentiment scores and themes from raw text</w:t>
            </w:r>
          </w:p>
        </w:tc>
        <w:tc>
          <w:tcPr>
            <w:tcW w:type="dxa" w:w="21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pim_sentiment_summary</w:t>
            </w:r>
          </w:p>
        </w:tc>
        <w:tc>
          <w:tcPr>
            <w:tcW w:type="dxa" w:w="4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 narrative summary of sentiment evolution for a sector/company</w:t>
            </w:r>
          </w:p>
        </w:tc>
        <w:tc>
          <w:tcPr>
            <w:tcW w:type="dxa" w:w="21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0.3</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pim_factor_attribution_narrative</w:t>
            </w:r>
          </w:p>
        </w:tc>
        <w:tc>
          <w:tcPr>
            <w:tcW w:type="dxa" w:w="4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plain-English explanation of a portfolio position's factor drivers</w:t>
            </w:r>
          </w:p>
        </w:tc>
        <w:tc>
          <w:tcPr>
            <w:tcW w:type="dxa" w:w="21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0.3</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pim_pe_thesis_draft</w:t>
            </w:r>
          </w:p>
        </w:tc>
        <w:tc>
          <w:tcPr>
            <w:tcW w:type="dxa" w:w="4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Draft investment thesis narrative for PE assessment output</w:t>
            </w:r>
          </w:p>
        </w:tc>
        <w:tc>
          <w:tcPr>
            <w:tcW w:type="dxa" w:w="21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0.4</w:t>
            </w:r>
          </w:p>
        </w:tc>
      </w:tr>
      <w:tr>
        <w:tc>
          <w:tcPr>
            <w:tcW w:type="dxa" w:w="3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pim_pe_memo_full</w:t>
            </w:r>
          </w:p>
        </w:tc>
        <w:tc>
          <w:tcPr>
            <w:tcW w:type="dxa" w:w="4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full investment committee memo for PE target</w:t>
            </w:r>
          </w:p>
        </w:tc>
        <w:tc>
          <w:tcPr>
            <w:tcW w:type="dxa" w:w="21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0.4</w:t>
            </w:r>
          </w:p>
        </w:tc>
      </w:tr>
      <w:tr>
        <w:tc>
          <w:tcPr>
            <w:tcW w:type="dxa" w:w="3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pim_backtest_interpretation</w:t>
            </w:r>
          </w:p>
        </w:tc>
        <w:tc>
          <w:tcPr>
            <w:tcW w:type="dxa" w:w="4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 narrative interpretation of backtest results and methodology implications</w:t>
            </w:r>
          </w:p>
        </w:tc>
        <w:tc>
          <w:tcPr>
            <w:tcW w:type="dxa" w:w="21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0.3</w:t>
            </w:r>
          </w:p>
        </w:tc>
      </w:tr>
    </w:tbl>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11. Implementation Roadmap</w:t>
      </w:r>
    </w:p>
    <w:p>
      <w:pPr>
        <w:spacing w:after="80" w:before="80"/>
      </w:pPr>
      <w:r>
        <w:rPr>
          <w:rFonts w:ascii="Arial" w:cs="Arial" w:eastAsia="Arial" w:hAnsi="Arial"/>
          <w:b w:val="false"/>
          <w:bCs w:val="false"/>
          <w:color w:val="1A1A2E"/>
          <w:sz w:val="22"/>
          <w:szCs w:val="22"/>
        </w:rPr>
        <w:t xml:space="preserve">The PIM is a substantial addition to the Virtual Analyst platform. The recommended development sequence prioritises the foundational data infrastructure before the analytical layers, ensuring each component has reliable inputs before building dependent capabilities.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200"/>
        <w:gridCol w:w="1960"/>
      </w:tblGrid>
      <w:tr>
        <w:trPr>
          <w:tblHeader/>
        </w:trPr>
        <w:tc>
          <w:tcPr>
            <w:tcW w:type="dxa" w:w="20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42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9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Prerequisites</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Data Infrastructure</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weeks</w:t>
            </w:r>
          </w:p>
        </w:tc>
        <w:tc>
          <w:tcPr>
            <w:tcW w:type="dxa" w:w="4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DB migrations (all 9 PIM tables), Sentiment ingestion API + LLM extraction, Economic snapshot API, Basic sentiment aggregation</w:t>
            </w:r>
          </w:p>
        </w:tc>
        <w:tc>
          <w:tcPr>
            <w:tcW w:type="dxa" w:w="1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LLM Router, Celery worker</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2: Fundamental Aggregator</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1-2 weeks</w:t>
            </w:r>
          </w:p>
        </w:tc>
        <w:tc>
          <w:tcPr>
            <w:tcW w:type="dxa" w:w="4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Fundamental score computation from existing model runs, Sector percentile ranking engine, Integration with AFS analytics and benchmark module</w:t>
            </w:r>
          </w:p>
        </w:tc>
        <w:tc>
          <w:tcPr>
            <w:tcW w:type="dxa" w:w="19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1 complete, existing AFS Analytics (Phase 5)</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Portfolio Scoring Engine</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weeks</w:t>
            </w:r>
          </w:p>
        </w:tc>
        <w:tc>
          <w:tcPr>
            <w:tcW w:type="dxa" w:w="4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CIS computation engine, Economic overlay stripping, Portfolio construction API, Frontend: Universe Manager + Portfolio Builder + Portfolio Dashboard</w:t>
            </w:r>
          </w:p>
        </w:tc>
        <w:tc>
          <w:tcPr>
            <w:tcW w:type="dxa" w:w="1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1+2 complete</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4: Markov Chain Engine</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3-4 weeks</w:t>
            </w:r>
          </w:p>
        </w:tc>
        <w:tc>
          <w:tcPr>
            <w:tcW w:type="dxa" w:w="4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State space definition and discretization, Transition matrix learning from historical data, Adaptive iteration count algorithm, Forward simulation API, State diagram visualisation</w:t>
            </w:r>
          </w:p>
        </w:tc>
        <w:tc>
          <w:tcPr>
            <w:tcW w:type="dxa" w:w="19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3 complete, historical data available</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 Backtesting Framework</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weeks</w:t>
            </w:r>
          </w:p>
        </w:tc>
        <w:tc>
          <w:tcPr>
            <w:tcW w:type="dxa" w:w="4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Expanding window backtest harness, IC/ICIR/SPC computation, Hypothesis testing suite, Frontend: Backtest Studio + Results pages, Validation report export</w:t>
            </w:r>
          </w:p>
        </w:tc>
        <w:tc>
          <w:tcPr>
            <w:tcW w:type="dxa" w:w="1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complete</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6: PE Benchmarking Engine</w:t>
            </w:r>
          </w:p>
        </w:tc>
        <w:tc>
          <w:tcPr>
            <w:tcW w:type="dxa" w:w="1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 weeks</w:t>
            </w:r>
          </w:p>
        </w:tc>
        <w:tc>
          <w:tcPr>
            <w:tcW w:type="dxa" w:w="42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 assessment data model and APIs, Management Residual computation, Factor attribution decomposition, PE Memo generation via LLM, Frontend: PE Assessments pages</w:t>
            </w:r>
          </w:p>
        </w:tc>
        <w:tc>
          <w:tcPr>
            <w:tcW w:type="dxa" w:w="19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Phase 3+5 complete, Ventures module</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 Refinement &amp; Integration</w:t>
            </w:r>
          </w:p>
        </w:tc>
        <w:tc>
          <w:tcPr>
            <w:tcW w:type="dxa" w:w="1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weeks</w:t>
            </w:r>
          </w:p>
        </w:tc>
        <w:tc>
          <w:tcPr>
            <w:tcW w:type="dxa" w:w="42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Board Pack integration (PIM sections), Performance optimisation, Statistical review (addressing gaps from 2026-03-04 review)</w:t>
            </w:r>
          </w:p>
        </w:tc>
        <w:tc>
          <w:tcPr>
            <w:tcW w:type="dxa" w:w="19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1-6 complete</w:t>
            </w:r>
          </w:p>
        </w:tc>
      </w:tr>
    </w:tbl>
    <w:p>
      <w:pPr>
        <w:spacing w:after="0" w:before="160"/>
      </w:pPr>
      <w:r>
        <w:t xml:space="preserve"/>
      </w:r>
    </w:p>
    <w:p>
      <w:pPr>
        <w:pStyle w:val="Heading2"/>
        <w:spacing w:after="120" w:before="360"/>
      </w:pPr>
      <w:r>
        <w:rPr>
          <w:rFonts w:ascii="Arial" w:cs="Arial" w:eastAsia="Arial" w:hAnsi="Arial"/>
          <w:b/>
          <w:bCs/>
          <w:color w:val="2E5FA3"/>
          <w:sz w:val="28"/>
          <w:szCs w:val="28"/>
        </w:rPr>
        <w:t xml:space="preserve">11.1 Critical Dependencies</w:t>
      </w:r>
    </w:p>
    <w:p>
      <w:pPr>
        <w:spacing w:after="80" w:before="80"/>
      </w:pPr>
      <w:r>
        <w:rPr>
          <w:rFonts w:ascii="Arial" w:cs="Arial" w:eastAsia="Arial" w:hAnsi="Arial"/>
          <w:b w:val="false"/>
          <w:bCs w:val="false"/>
          <w:color w:val="1A1A2E"/>
          <w:sz w:val="22"/>
          <w:szCs w:val="22"/>
        </w:rPr>
        <w:t xml:space="preserve">Before development begins, the following platform issues should be resolved per the 2026-03-04 Comprehensive Platform Review:</w:t>
      </w:r>
    </w:p>
    <w:p>
      <w:pPr>
        <w:pStyle w:val="ListParagraph"/>
        <w:numPr>
          <w:ilvl w:val="0"/>
          <w:numId w:val="2"/>
        </w:numPr>
        <w:spacing w:after="40" w:before="40"/>
      </w:pPr>
      <w:r>
        <w:rPr>
          <w:rFonts w:ascii="Arial" w:cs="Arial" w:eastAsia="Arial" w:hAnsi="Arial"/>
          <w:color w:val="1A1A2E"/>
          <w:sz w:val="22"/>
          <w:szCs w:val="22"/>
        </w:rPr>
        <w:t xml:space="preserve">Monte Carlo parallelism (ProcessPoolExecutor) — the Markov chain simulation will share the same performance constraints as MC if not addressed (ST3 in the review).</w:t>
      </w:r>
    </w:p>
    <w:p>
      <w:pPr>
        <w:pStyle w:val="ListParagraph"/>
        <w:numPr>
          <w:ilvl w:val="0"/>
          <w:numId w:val="2"/>
        </w:numPr>
        <w:spacing w:after="40" w:before="40"/>
      </w:pPr>
      <w:r>
        <w:rPr>
          <w:rFonts w:ascii="Arial" w:cs="Arial" w:eastAsia="Arial" w:hAnsi="Arial"/>
          <w:color w:val="1A1A2E"/>
          <w:sz w:val="22"/>
          <w:szCs w:val="22"/>
        </w:rPr>
        <w:t xml:space="preserve">Anomaly detection statistical grounding — the PIM anomaly signals must be deterministically computed, not LLM-based (ST1), to meet the ISA 520 standard applicable to investment-grade analytics.</w:t>
      </w:r>
    </w:p>
    <w:p>
      <w:pPr>
        <w:pStyle w:val="ListParagraph"/>
        <w:numPr>
          <w:ilvl w:val="0"/>
          <w:numId w:val="2"/>
        </w:numPr>
        <w:spacing w:after="40" w:before="40"/>
      </w:pPr>
      <w:r>
        <w:rPr>
          <w:rFonts w:ascii="Arial" w:cs="Arial" w:eastAsia="Arial" w:hAnsi="Arial"/>
          <w:color w:val="1A1A2E"/>
          <w:sz w:val="22"/>
          <w:szCs w:val="22"/>
        </w:rPr>
        <w:t xml:space="preserve">DCF equity bridge and mid-year convention — PE valuations that cross-reference the valuation module will inherit these errors (F1, F2) if unresolved.</w:t>
      </w:r>
    </w:p>
    <w:p>
      <w:pPr>
        <w:spacing w:after="0" w:before="160"/>
      </w:pPr>
      <w:r>
        <w:t xml:space="preserve"/>
      </w:r>
    </w:p>
    <w:p>
      <w:pPr>
        <w:pStyle w:val="Heading2"/>
        <w:spacing w:after="120" w:before="360"/>
      </w:pPr>
      <w:r>
        <w:rPr>
          <w:rFonts w:ascii="Arial" w:cs="Arial" w:eastAsia="Arial" w:hAnsi="Arial"/>
          <w:b/>
          <w:bCs/>
          <w:color w:val="2E5FA3"/>
          <w:sz w:val="28"/>
          <w:szCs w:val="28"/>
        </w:rPr>
        <w:t xml:space="preserve">11.2 Data Requirements for Backtest Calibration</w:t>
      </w:r>
    </w:p>
    <w:p>
      <w:pPr>
        <w:spacing w:after="80" w:before="80"/>
      </w:pPr>
      <w:r>
        <w:rPr>
          <w:rFonts w:ascii="Arial" w:cs="Arial" w:eastAsia="Arial" w:hAnsi="Arial"/>
          <w:b w:val="false"/>
          <w:bCs w:val="false"/>
          <w:color w:val="1A1A2E"/>
          <w:sz w:val="22"/>
          <w:szCs w:val="22"/>
        </w:rPr>
        <w:t xml:space="preserve">The quality of the Markov chain and backtest results depends critically on historical data availability. Minimum requirements for a meaningful backtest:</w:t>
      </w:r>
    </w:p>
    <w:p>
      <w:pPr>
        <w:pStyle w:val="ListParagraph"/>
        <w:numPr>
          <w:ilvl w:val="0"/>
          <w:numId w:val="2"/>
        </w:numPr>
        <w:spacing w:after="40" w:before="40"/>
      </w:pPr>
      <w:r>
        <w:rPr>
          <w:rFonts w:ascii="Arial" w:cs="Arial" w:eastAsia="Arial" w:hAnsi="Arial"/>
          <w:color w:val="1A1A2E"/>
          <w:sz w:val="22"/>
          <w:szCs w:val="22"/>
        </w:rPr>
        <w:t xml:space="preserve">At least 3-5 years of quarterly fundamental data for sector constituents</w:t>
      </w:r>
    </w:p>
    <w:p>
      <w:pPr>
        <w:pStyle w:val="ListParagraph"/>
        <w:numPr>
          <w:ilvl w:val="0"/>
          <w:numId w:val="2"/>
        </w:numPr>
        <w:spacing w:after="40" w:before="40"/>
      </w:pPr>
      <w:r>
        <w:rPr>
          <w:rFonts w:ascii="Arial" w:cs="Arial" w:eastAsia="Arial" w:hAnsi="Arial"/>
          <w:color w:val="1A1A2E"/>
          <w:sz w:val="22"/>
          <w:szCs w:val="22"/>
        </w:rPr>
        <w:t xml:space="preserve">At least 2 years of sentiment signals (can be bootstrapped from LLM analysis of historical filings and news)</w:t>
      </w:r>
    </w:p>
    <w:p>
      <w:pPr>
        <w:pStyle w:val="ListParagraph"/>
        <w:numPr>
          <w:ilvl w:val="0"/>
          <w:numId w:val="2"/>
        </w:numPr>
        <w:spacing w:after="40" w:before="40"/>
      </w:pPr>
      <w:r>
        <w:rPr>
          <w:rFonts w:ascii="Arial" w:cs="Arial" w:eastAsia="Arial" w:hAnsi="Arial"/>
          <w:color w:val="1A1A2E"/>
          <w:sz w:val="22"/>
          <w:szCs w:val="22"/>
        </w:rPr>
        <w:t xml:space="preserve">At least 2 years of economic snapshot data per region</w:t>
      </w:r>
    </w:p>
    <w:p>
      <w:pPr>
        <w:pStyle w:val="ListParagraph"/>
        <w:numPr>
          <w:ilvl w:val="0"/>
          <w:numId w:val="2"/>
        </w:numPr>
        <w:spacing w:after="40" w:before="40"/>
      </w:pPr>
      <w:r>
        <w:rPr>
          <w:rFonts w:ascii="Arial" w:cs="Arial" w:eastAsia="Arial" w:hAnsi="Arial"/>
          <w:color w:val="1A1A2E"/>
          <w:sz w:val="22"/>
          <w:szCs w:val="22"/>
        </w:rPr>
        <w:t xml:space="preserve">Price/return data for listed comparables (external API or manual import)</w:t>
      </w:r>
    </w:p>
    <w:p>
      <w:pPr>
        <w:spacing w:after="0" w:before="80"/>
      </w:pPr>
      <w:r>
        <w:t xml:space="preserve"/>
      </w:r>
    </w:p>
    <w:p>
      <w:pPr>
        <w:spacing w:after="80" w:before="80"/>
      </w:pPr>
      <w:r>
        <w:rPr>
          <w:rFonts w:ascii="Arial" w:cs="Arial" w:eastAsia="Arial" w:hAnsi="Arial"/>
          <w:b w:val="false"/>
          <w:bCs w:val="false"/>
          <w:color w:val="1A1A2E"/>
          <w:sz w:val="22"/>
          <w:szCs w:val="22"/>
        </w:rPr>
        <w:t xml:space="preserve">For markets with limited historical data (e.g., smaller emerging market sectors), the system will flag reduced backtest confidence and widen prediction intervals proportionally.</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12. Statistical &amp; Methodological Standards</w:t>
      </w:r>
    </w:p>
    <w:p>
      <w:pPr>
        <w:pStyle w:val="Heading2"/>
        <w:spacing w:after="120" w:before="360"/>
      </w:pPr>
      <w:r>
        <w:rPr>
          <w:rFonts w:ascii="Arial" w:cs="Arial" w:eastAsia="Arial" w:hAnsi="Arial"/>
          <w:b/>
          <w:bCs/>
          <w:color w:val="2E5FA3"/>
          <w:sz w:val="28"/>
          <w:szCs w:val="28"/>
        </w:rPr>
        <w:t xml:space="preserve">12.1 Grounding the Model</w:t>
      </w:r>
    </w:p>
    <w:p>
      <w:pPr>
        <w:spacing w:after="80" w:before="80"/>
      </w:pPr>
      <w:r>
        <w:rPr>
          <w:rFonts w:ascii="Arial" w:cs="Arial" w:eastAsia="Arial" w:hAnsi="Arial"/>
          <w:b w:val="false"/>
          <w:bCs w:val="false"/>
          <w:color w:val="1A1A2E"/>
          <w:sz w:val="22"/>
          <w:szCs w:val="22"/>
        </w:rPr>
        <w:t xml:space="preserve">The PIM is designed for use by investment professionals who are subject to regulatory standards (e.g., MiFID II research standards, GIPS performance reporting) and who will be relying on model outputs for fiduciary decisions. The following methodological standards are non-negotiable:</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All anomaly flags and sentiment outlier detections must be backed by deterministic statistical tests (Z-score vs. benchmark distribution, IQR outlier tests) before LLM interpretation. The LLM provides narrative; the statistics provide the flag.</w:t>
      </w:r>
    </w:p>
    <w:p>
      <w:pPr>
        <w:pStyle w:val="ListParagraph"/>
        <w:numPr>
          <w:ilvl w:val="0"/>
          <w:numId w:val="2"/>
        </w:numPr>
        <w:spacing w:after="40" w:before="40"/>
      </w:pPr>
      <w:r>
        <w:rPr>
          <w:rFonts w:ascii="Arial" w:cs="Arial" w:eastAsia="Arial" w:hAnsi="Arial"/>
          <w:color w:val="1A1A2E"/>
          <w:sz w:val="22"/>
          <w:szCs w:val="22"/>
        </w:rPr>
        <w:t xml:space="preserve">All prediction confidence intervals must be reported with their standard errors. No point estimates without uncertainty bounds.</w:t>
      </w:r>
    </w:p>
    <w:p>
      <w:pPr>
        <w:pStyle w:val="ListParagraph"/>
        <w:numPr>
          <w:ilvl w:val="0"/>
          <w:numId w:val="2"/>
        </w:numPr>
        <w:spacing w:after="40" w:before="40"/>
      </w:pPr>
      <w:r>
        <w:rPr>
          <w:rFonts w:ascii="Arial" w:cs="Arial" w:eastAsia="Arial" w:hAnsi="Arial"/>
          <w:color w:val="1A1A2E"/>
          <w:sz w:val="22"/>
          <w:szCs w:val="22"/>
        </w:rPr>
        <w:t xml:space="preserve">The Markov transition matrix must be estimated with regularisation (Laplace smoothing) to handle sparse state observations, and the uncertainty in the matrix itself must be propagated into prediction intervals.</w:t>
      </w:r>
    </w:p>
    <w:p>
      <w:pPr>
        <w:pStyle w:val="ListParagraph"/>
        <w:numPr>
          <w:ilvl w:val="0"/>
          <w:numId w:val="2"/>
        </w:numPr>
        <w:spacing w:after="40" w:before="40"/>
      </w:pPr>
      <w:r>
        <w:rPr>
          <w:rFonts w:ascii="Arial" w:cs="Arial" w:eastAsia="Arial" w:hAnsi="Arial"/>
          <w:color w:val="1A1A2E"/>
          <w:sz w:val="22"/>
          <w:szCs w:val="22"/>
        </w:rPr>
        <w:t xml:space="preserve">The SPC metric (Sentiment Prediction Contribution) must report both the point estimate and its statistical significance (p-value). Users must be informed when the sentiment signal is not statistically significant.</w:t>
      </w:r>
    </w:p>
    <w:p>
      <w:pPr>
        <w:pStyle w:val="ListParagraph"/>
        <w:numPr>
          <w:ilvl w:val="0"/>
          <w:numId w:val="2"/>
        </w:numPr>
        <w:spacing w:after="40" w:before="40"/>
      </w:pPr>
      <w:r>
        <w:rPr>
          <w:rFonts w:ascii="Arial" w:cs="Arial" w:eastAsia="Arial" w:hAnsi="Arial"/>
          <w:color w:val="1A1A2E"/>
          <w:sz w:val="22"/>
          <w:szCs w:val="22"/>
        </w:rPr>
        <w:t xml:space="preserve">Backtest results must include transaction cost assumptions and must report net-of-cost performance metrics alongside gross metrics.</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12.2 Limitations Disclosure</w:t>
      </w:r>
    </w:p>
    <w:p>
      <w:pPr>
        <w:spacing w:after="80" w:before="80"/>
      </w:pPr>
      <w:r>
        <w:rPr>
          <w:rFonts w:ascii="Arial" w:cs="Arial" w:eastAsia="Arial" w:hAnsi="Arial"/>
          <w:b w:val="false"/>
          <w:bCs w:val="false"/>
          <w:color w:val="1A1A2E"/>
          <w:sz w:val="22"/>
          <w:szCs w:val="22"/>
        </w:rPr>
        <w:t xml:space="preserve">The module must surface the following limitations to users in the UI: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9" w:sz="1"/>
              <w:left w:val="single" w:color="C5CDD9" w:sz="1"/>
              <w:bottom w:val="single" w:color="C5CDD9" w:sz="1"/>
              <w:right w:val="single" w:color="C5CDD9" w:sz="1"/>
            </w:tcBorders>
            <w:shd w:fill="D5E8F0" w:val="clear"/>
            <w:tcMar>
              <w:top w:type="dxa" w:w="120"/>
              <w:left w:type="dxa" w:w="200"/>
              <w:bottom w:type="dxa" w:w="120"/>
              <w:right w:type="dxa" w:w="200"/>
            </w:tcMar>
          </w:tcPr>
          <w:p>
            <w:pPr>
              <w:spacing w:after="40" w:before="0"/>
            </w:pPr>
            <w:r>
              <w:rPr>
                <w:rFonts w:ascii="Arial" w:cs="Arial" w:eastAsia="Arial" w:hAnsi="Arial"/>
                <w:b/>
                <w:bCs/>
                <w:color w:val="1B3A6B"/>
                <w:sz w:val="22"/>
                <w:szCs w:val="22"/>
              </w:rPr>
              <w:t xml:space="preserve">Model Limitations — Required Disclosure to Investment Professionals</w:t>
            </w:r>
          </w:p>
          <w:p>
            <w:pPr>
              <w:spacing w:after="0" w:before="0"/>
            </w:pPr>
            <w:r>
              <w:rPr>
                <w:rFonts w:ascii="Arial" w:cs="Arial" w:eastAsia="Arial" w:hAnsi="Arial"/>
                <w:i w:val="false"/>
                <w:iCs w:val="false"/>
                <w:color w:val="1A1A2E"/>
                <w:sz w:val="21"/>
                <w:szCs w:val="21"/>
              </w:rPr>
              <w:t xml:space="preserve">1. Past performance of the prediction model does not guarantee future prediction accuracy. Market regimes change, and the Markov model may not capture structural breaks.
2. Sentiment signals are derived from text using AI models that may contain biases or errors. Signals should be treated as one input among many, not as definitive assessments.
3. The Management Residual metric for private equity is estimated with significant uncertainty, particularly for pre-revenue or early-stage companies with limited comparable listed peers.
4. Optimal prediction horizon estimates are derived from historical analogues. If current market conditions are genuinely novel, historical analogues may be misleading.
5. The model does not incorporate legal, regulatory, or governance risk factors, which can dominate returns in specific situations.</w:t>
            </w:r>
          </w:p>
        </w:tc>
      </w:tr>
    </w:tbl>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13. Future Extensions</w:t>
      </w:r>
    </w:p>
    <w:p>
      <w:pPr>
        <w:pStyle w:val="Heading2"/>
        <w:spacing w:after="120" w:before="360"/>
      </w:pPr>
      <w:r>
        <w:rPr>
          <w:rFonts w:ascii="Arial" w:cs="Arial" w:eastAsia="Arial" w:hAnsi="Arial"/>
          <w:b/>
          <w:bCs/>
          <w:color w:val="2E5FA3"/>
          <w:sz w:val="28"/>
          <w:szCs w:val="28"/>
        </w:rPr>
        <w:t xml:space="preserve">13.1 Management Quality Assessment</w:t>
      </w:r>
    </w:p>
    <w:p>
      <w:pPr>
        <w:spacing w:after="80" w:before="80"/>
      </w:pPr>
      <w:r>
        <w:rPr>
          <w:rFonts w:ascii="Arial" w:cs="Arial" w:eastAsia="Arial" w:hAnsi="Arial"/>
          <w:b w:val="false"/>
          <w:bCs w:val="false"/>
          <w:color w:val="1A1A2E"/>
          <w:sz w:val="22"/>
          <w:szCs w:val="22"/>
        </w:rPr>
        <w:t xml:space="preserve">As noted in the design brief, the Management Residual is currently the unpredictable element — the component the model cannot explain. The natural next phase is to attempt to partially explain this residual through structured assessment of management quality.</w:t>
      </w:r>
    </w:p>
    <w:p>
      <w:pPr>
        <w:spacing w:after="0" w:before="80"/>
      </w:pPr>
      <w:r>
        <w:t xml:space="preserve"/>
      </w:r>
    </w:p>
    <w:p>
      <w:pPr>
        <w:spacing w:after="80" w:before="80"/>
      </w:pPr>
      <w:r>
        <w:rPr>
          <w:rFonts w:ascii="Arial" w:cs="Arial" w:eastAsia="Arial" w:hAnsi="Arial"/>
          <w:b w:val="false"/>
          <w:bCs w:val="false"/>
          <w:color w:val="1A1A2E"/>
          <w:sz w:val="22"/>
          <w:szCs w:val="22"/>
        </w:rPr>
        <w:t xml:space="preserve">A management assessment sub-module would process:</w:t>
      </w:r>
    </w:p>
    <w:p>
      <w:pPr>
        <w:pStyle w:val="ListParagraph"/>
        <w:numPr>
          <w:ilvl w:val="0"/>
          <w:numId w:val="2"/>
        </w:numPr>
        <w:spacing w:after="40" w:before="40"/>
      </w:pPr>
      <w:r>
        <w:rPr>
          <w:rFonts w:ascii="Arial" w:cs="Arial" w:eastAsia="Arial" w:hAnsi="Arial"/>
          <w:color w:val="1A1A2E"/>
          <w:sz w:val="22"/>
          <w:szCs w:val="22"/>
        </w:rPr>
        <w:t xml:space="preserve">Executive track record data (prior company performance under current management)</w:t>
      </w:r>
    </w:p>
    <w:p>
      <w:pPr>
        <w:pStyle w:val="ListParagraph"/>
        <w:numPr>
          <w:ilvl w:val="0"/>
          <w:numId w:val="2"/>
        </w:numPr>
        <w:spacing w:after="40" w:before="40"/>
      </w:pPr>
      <w:r>
        <w:rPr>
          <w:rFonts w:ascii="Arial" w:cs="Arial" w:eastAsia="Arial" w:hAnsi="Arial"/>
          <w:color w:val="1A1A2E"/>
          <w:sz w:val="22"/>
          <w:szCs w:val="22"/>
        </w:rPr>
        <w:t xml:space="preserve">Management communication quality (earnings call tone analysis, consistency of guidance vs. actuals)</w:t>
      </w:r>
    </w:p>
    <w:p>
      <w:pPr>
        <w:pStyle w:val="ListParagraph"/>
        <w:numPr>
          <w:ilvl w:val="0"/>
          <w:numId w:val="2"/>
        </w:numPr>
        <w:spacing w:after="40" w:before="40"/>
      </w:pPr>
      <w:r>
        <w:rPr>
          <w:rFonts w:ascii="Arial" w:cs="Arial" w:eastAsia="Arial" w:hAnsi="Arial"/>
          <w:color w:val="1A1A2E"/>
          <w:sz w:val="22"/>
          <w:szCs w:val="22"/>
        </w:rPr>
        <w:t xml:space="preserve">Governance metrics (board independence, compensation structure, insider ownership)</w:t>
      </w:r>
    </w:p>
    <w:p>
      <w:pPr>
        <w:pStyle w:val="ListParagraph"/>
        <w:numPr>
          <w:ilvl w:val="0"/>
          <w:numId w:val="2"/>
        </w:numPr>
        <w:spacing w:after="40" w:before="40"/>
      </w:pPr>
      <w:r>
        <w:rPr>
          <w:rFonts w:ascii="Arial" w:cs="Arial" w:eastAsia="Arial" w:hAnsi="Arial"/>
          <w:color w:val="1A1A2E"/>
          <w:sz w:val="22"/>
          <w:szCs w:val="22"/>
        </w:rPr>
        <w:t xml:space="preserve">Cultural sentiment from employee review platforms and talent acquisition activity</w:t>
      </w:r>
    </w:p>
    <w:p>
      <w:pPr>
        <w:spacing w:after="0" w:before="80"/>
      </w:pPr>
      <w:r>
        <w:t xml:space="preserve"/>
      </w:r>
    </w:p>
    <w:p>
      <w:pPr>
        <w:spacing w:after="80" w:before="80"/>
      </w:pPr>
      <w:r>
        <w:rPr>
          <w:rFonts w:ascii="Arial" w:cs="Arial" w:eastAsia="Arial" w:hAnsi="Arial"/>
          <w:b w:val="false"/>
          <w:bCs w:val="false"/>
          <w:color w:val="1A1A2E"/>
          <w:sz w:val="22"/>
          <w:szCs w:val="22"/>
        </w:rPr>
        <w:t xml:space="preserve">These inputs would produce a Management Quality Score (MQS) that further decomposes the residual, leaving only the truly unforeseeable as unexplained variance. This assessment module would be particularly valuable for PE due diligence.</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13.2 Multi-Asset Extension</w:t>
      </w:r>
    </w:p>
    <w:p>
      <w:pPr>
        <w:spacing w:after="80" w:before="80"/>
      </w:pPr>
      <w:r>
        <w:rPr>
          <w:rFonts w:ascii="Arial" w:cs="Arial" w:eastAsia="Arial" w:hAnsi="Arial"/>
          <w:b w:val="false"/>
          <w:bCs w:val="false"/>
          <w:color w:val="1A1A2E"/>
          <w:sz w:val="22"/>
          <w:szCs w:val="22"/>
        </w:rPr>
        <w:t xml:space="preserve">The current design focuses on equity and equity-like private instruments. Natural extensions include:</w:t>
      </w:r>
    </w:p>
    <w:p>
      <w:pPr>
        <w:pStyle w:val="ListParagraph"/>
        <w:numPr>
          <w:ilvl w:val="0"/>
          <w:numId w:val="2"/>
        </w:numPr>
        <w:spacing w:after="40" w:before="40"/>
      </w:pPr>
      <w:r>
        <w:rPr>
          <w:rFonts w:ascii="Arial" w:cs="Arial" w:eastAsia="Arial" w:hAnsi="Arial"/>
          <w:color w:val="1A1A2E"/>
          <w:sz w:val="22"/>
          <w:szCs w:val="22"/>
        </w:rPr>
        <w:t xml:space="preserve">Credit / Debt: Applying sentiment signals to credit spread prediction and default probability</w:t>
      </w:r>
    </w:p>
    <w:p>
      <w:pPr>
        <w:pStyle w:val="ListParagraph"/>
        <w:numPr>
          <w:ilvl w:val="0"/>
          <w:numId w:val="2"/>
        </w:numPr>
        <w:spacing w:after="40" w:before="40"/>
      </w:pPr>
      <w:r>
        <w:rPr>
          <w:rFonts w:ascii="Arial" w:cs="Arial" w:eastAsia="Arial" w:hAnsi="Arial"/>
          <w:color w:val="1A1A2E"/>
          <w:sz w:val="22"/>
          <w:szCs w:val="22"/>
        </w:rPr>
        <w:t xml:space="preserve">Real Assets: Sector sentiment applied to REIT and infrastructure sectors</w:t>
      </w:r>
    </w:p>
    <w:p>
      <w:pPr>
        <w:pStyle w:val="ListParagraph"/>
        <w:numPr>
          <w:ilvl w:val="0"/>
          <w:numId w:val="2"/>
        </w:numPr>
        <w:spacing w:after="40" w:before="40"/>
      </w:pPr>
      <w:r>
        <w:rPr>
          <w:rFonts w:ascii="Arial" w:cs="Arial" w:eastAsia="Arial" w:hAnsi="Arial"/>
          <w:color w:val="1A1A2E"/>
          <w:sz w:val="22"/>
          <w:szCs w:val="22"/>
        </w:rPr>
        <w:t xml:space="preserve">Cross-Asset Macro: Using the economic overlay model in reverse — using equity sector sentiment as a predictor of macro conditions rather than stripping macro from sentiment</w:t>
      </w:r>
    </w:p>
    <w:p>
      <w:pPr>
        <w:spacing w:after="0" w:before="80"/>
      </w:pPr>
      <w:r>
        <w:t xml:space="preserve"/>
      </w:r>
    </w:p>
    <w:p>
      <w:pPr>
        <w:pStyle w:val="Heading2"/>
        <w:spacing w:after="120" w:before="360"/>
      </w:pPr>
      <w:r>
        <w:rPr>
          <w:rFonts w:ascii="Arial" w:cs="Arial" w:eastAsia="Arial" w:hAnsi="Arial"/>
          <w:b/>
          <w:bCs/>
          <w:color w:val="2E5FA3"/>
          <w:sz w:val="28"/>
          <w:szCs w:val="28"/>
        </w:rPr>
        <w:t xml:space="preserve">13.3 Real-Time Signal Integration</w:t>
      </w:r>
    </w:p>
    <w:p>
      <w:pPr>
        <w:spacing w:after="80" w:before="80"/>
      </w:pPr>
      <w:r>
        <w:rPr>
          <w:rFonts w:ascii="Arial" w:cs="Arial" w:eastAsia="Arial" w:hAnsi="Arial"/>
          <w:b w:val="false"/>
          <w:bCs w:val="false"/>
          <w:color w:val="1A1A2E"/>
          <w:sz w:val="22"/>
          <w:szCs w:val="22"/>
        </w:rPr>
        <w:t xml:space="preserve">The current design assumes periodic (daily to quarterly) batch ingestion of sentiment signals. A real-time extension would enable:</w:t>
      </w:r>
    </w:p>
    <w:p>
      <w:pPr>
        <w:pStyle w:val="ListParagraph"/>
        <w:numPr>
          <w:ilvl w:val="0"/>
          <w:numId w:val="2"/>
        </w:numPr>
        <w:spacing w:after="40" w:before="40"/>
      </w:pPr>
      <w:r>
        <w:rPr>
          <w:rFonts w:ascii="Arial" w:cs="Arial" w:eastAsia="Arial" w:hAnsi="Arial"/>
          <w:color w:val="1A1A2E"/>
          <w:sz w:val="22"/>
          <w:szCs w:val="22"/>
        </w:rPr>
        <w:t xml:space="preserve">Continuous sentiment score updates from news and market data streams</w:t>
      </w:r>
    </w:p>
    <w:p>
      <w:pPr>
        <w:pStyle w:val="ListParagraph"/>
        <w:numPr>
          <w:ilvl w:val="0"/>
          <w:numId w:val="2"/>
        </w:numPr>
        <w:spacing w:after="40" w:before="40"/>
      </w:pPr>
      <w:r>
        <w:rPr>
          <w:rFonts w:ascii="Arial" w:cs="Arial" w:eastAsia="Arial" w:hAnsi="Arial"/>
          <w:color w:val="1A1A2E"/>
          <w:sz w:val="22"/>
          <w:szCs w:val="22"/>
        </w:rPr>
        <w:t xml:space="preserve">Automated portfolio re-scoring triggers when sentiment crosses configured thresholds</w:t>
      </w:r>
    </w:p>
    <w:p>
      <w:pPr>
        <w:pStyle w:val="ListParagraph"/>
        <w:numPr>
          <w:ilvl w:val="0"/>
          <w:numId w:val="2"/>
        </w:numPr>
        <w:spacing w:after="40" w:before="40"/>
      </w:pPr>
      <w:r>
        <w:rPr>
          <w:rFonts w:ascii="Arial" w:cs="Arial" w:eastAsia="Arial" w:hAnsi="Arial"/>
          <w:color w:val="1A1A2E"/>
          <w:sz w:val="22"/>
          <w:szCs w:val="22"/>
        </w:rPr>
        <w:t xml:space="preserve">Intraday Markov state monitoring for high-frequency applications</w:t>
      </w:r>
    </w:p>
    <w:p>
      <w:r>
        <w:br w:type="page"/>
      </w:r>
    </w:p>
    <w:p>
      <w:pPr>
        <w:pStyle w:val="Heading1"/>
        <w:pBdr>
          <w:bottom w:val="single" w:color="2E5FA3" w:sz="3" w:space="4"/>
        </w:pBdr>
        <w:spacing w:after="160" w:before="480"/>
      </w:pPr>
      <w:r>
        <w:rPr>
          <w:rFonts w:ascii="Arial" w:cs="Arial" w:eastAsia="Arial" w:hAnsi="Arial"/>
          <w:b/>
          <w:bCs/>
          <w:color w:val="1B3A6B"/>
          <w:sz w:val="36"/>
          <w:szCs w:val="36"/>
        </w:rPr>
        <w:t xml:space="preserve">Appendix A: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360"/>
            <w:tcBorders>
              <w:top w:val="single" w:color="C5CDD9" w:sz="1"/>
              <w:left w:val="single" w:color="C5CDD9" w:sz="1"/>
              <w:bottom w:val="single" w:color="C5CDD9" w:sz="1"/>
              <w:right w:val="single" w:color="C5CDD9"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CIS</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Composite Investment Score — the weighted multi-factor score assigned to each portfolio candidate</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ESR</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Expected Sector Return — the return expected of a PE company based on its Fundamental Percentile Rank and current sector/macro conditions</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FPR</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Fundamental Percentile Rank — a PE company's position in the distribution of listed sector peers on fundamental metrics</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IC</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Information Coefficient — Spearman rank correlation between predicted score and actual forward return</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ICIR</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 Information Ratio — consistency-adjusted IC measuring signal reliability over time</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Idiosyncratic Sentiment</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Sentiment signal with local and global economic correlations removed (see: global-stripped sentiment)</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Markov Chain</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probabilistic state model where future state depends only on current state and transition probabilities, not on history</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Mixing Time</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number of Markov chain iterations needed to reach a stationary distribution; used as an uncertainty signal</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MQS</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Management Quality Score — future module metric estimating management contribution to performance</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MR</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Management Residual — the component of PE company performance unexplained by sector and macro factors</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PIM</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Portfolio Intelligence Module — this module</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SPC</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Sentiment Prediction Contribution — incremental R-squared attributable to sentiment signal over fundamental-only model</w:t>
            </w:r>
          </w:p>
        </w:tc>
      </w:tr>
      <w:tr>
        <w:tc>
          <w:tcPr>
            <w:tcW w:type="dxa" w:w="200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Space</w:t>
            </w:r>
          </w:p>
        </w:tc>
        <w:tc>
          <w:tcPr>
            <w:tcW w:type="dxa" w:w="7360"/>
            <w:tcBorders>
              <w:top w:val="single" w:color="C5CDD9" w:sz="1"/>
              <w:left w:val="single" w:color="C5CDD9" w:sz="1"/>
              <w:bottom w:val="single" w:color="C5CDD9" w:sz="1"/>
              <w:right w:val="single" w:color="C5CDD9"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set of all possible combined states (fundamental regime x sentiment regime x macro regime x momentum)</w:t>
            </w:r>
          </w:p>
        </w:tc>
      </w:tr>
      <w:tr>
        <w:tc>
          <w:tcPr>
            <w:tcW w:type="dxa" w:w="200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Transition Matrix</w:t>
            </w:r>
          </w:p>
        </w:tc>
        <w:tc>
          <w:tcPr>
            <w:tcW w:type="dxa" w:w="7360"/>
            <w:tcBorders>
              <w:top w:val="single" w:color="C5CDD9" w:sz="1"/>
              <w:left w:val="single" w:color="C5CDD9" w:sz="1"/>
              <w:bottom w:val="single" w:color="C5CDD9" w:sz="1"/>
              <w:right w:val="single" w:color="C5CDD9"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matrix of probabilities governing movement between states in the Markov chain</w:t>
            </w:r>
          </w:p>
        </w:tc>
      </w:tr>
    </w:tbl>
    <w:p>
      <w:pPr>
        <w:spacing w:after="0" w:before="160"/>
      </w:pPr>
      <w:r>
        <w:t xml:space="preserve"/>
      </w:r>
    </w:p>
    <w:p>
      <w:pPr>
        <w:pStyle w:val="Heading1"/>
        <w:pBdr>
          <w:bottom w:val="single" w:color="2E5FA3" w:sz="3" w:space="4"/>
        </w:pBdr>
        <w:spacing w:after="160" w:before="480"/>
      </w:pPr>
      <w:r>
        <w:rPr>
          <w:rFonts w:ascii="Arial" w:cs="Arial" w:eastAsia="Arial" w:hAnsi="Arial"/>
          <w:b/>
          <w:bCs/>
          <w:color w:val="1B3A6B"/>
          <w:sz w:val="36"/>
          <w:szCs w:val="36"/>
        </w:rPr>
        <w:t xml:space="preserve">Appendix B: References &amp; Standards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Altman, E.I. (1968). Financial Ratios, Discriminant Analysis and the Prediction of Corporate Bankruptcy. Journal of Finance.</w:t>
      </w:r>
    </w:p>
    <w:p>
      <w:pPr>
        <w:pStyle w:val="ListParagraph"/>
        <w:numPr>
          <w:ilvl w:val="0"/>
          <w:numId w:val="2"/>
        </w:numPr>
        <w:spacing w:after="40" w:before="40"/>
      </w:pPr>
      <w:r>
        <w:rPr>
          <w:rFonts w:ascii="Arial" w:cs="Arial" w:eastAsia="Arial" w:hAnsi="Arial"/>
          <w:color w:val="1A1A2E"/>
          <w:sz w:val="22"/>
          <w:szCs w:val="22"/>
        </w:rPr>
        <w:t xml:space="preserve">CFA Institute (2020). Equity Asset Valuation, 4th Edition.</w:t>
      </w:r>
    </w:p>
    <w:p>
      <w:pPr>
        <w:pStyle w:val="ListParagraph"/>
        <w:numPr>
          <w:ilvl w:val="0"/>
          <w:numId w:val="2"/>
        </w:numPr>
        <w:spacing w:after="40" w:before="40"/>
      </w:pPr>
      <w:r>
        <w:rPr>
          <w:rFonts w:ascii="Arial" w:cs="Arial" w:eastAsia="Arial" w:hAnsi="Arial"/>
          <w:color w:val="1A1A2E"/>
          <w:sz w:val="22"/>
          <w:szCs w:val="22"/>
        </w:rPr>
        <w:t xml:space="preserve">GIPS Standards (2020). Global Investment Performance Standards. CFA Institute.</w:t>
      </w:r>
    </w:p>
    <w:p>
      <w:pPr>
        <w:pStyle w:val="ListParagraph"/>
        <w:numPr>
          <w:ilvl w:val="0"/>
          <w:numId w:val="2"/>
        </w:numPr>
        <w:spacing w:after="40" w:before="40"/>
      </w:pPr>
      <w:r>
        <w:rPr>
          <w:rFonts w:ascii="Arial" w:cs="Arial" w:eastAsia="Arial" w:hAnsi="Arial"/>
          <w:color w:val="1A1A2E"/>
          <w:sz w:val="22"/>
          <w:szCs w:val="22"/>
        </w:rPr>
        <w:t xml:space="preserve">International Auditing and Assurance Standards Board. ISA 520: Analytical Procedures.</w:t>
      </w:r>
    </w:p>
    <w:p>
      <w:pPr>
        <w:pStyle w:val="ListParagraph"/>
        <w:numPr>
          <w:ilvl w:val="0"/>
          <w:numId w:val="2"/>
        </w:numPr>
        <w:spacing w:after="40" w:before="40"/>
      </w:pPr>
      <w:r>
        <w:rPr>
          <w:rFonts w:ascii="Arial" w:cs="Arial" w:eastAsia="Arial" w:hAnsi="Arial"/>
          <w:color w:val="1A1A2E"/>
          <w:sz w:val="22"/>
          <w:szCs w:val="22"/>
        </w:rPr>
        <w:t xml:space="preserve">International Auditing and Assurance Standards Board. ISA 570: Going Concern.</w:t>
      </w:r>
    </w:p>
    <w:p>
      <w:pPr>
        <w:pStyle w:val="ListParagraph"/>
        <w:numPr>
          <w:ilvl w:val="0"/>
          <w:numId w:val="2"/>
        </w:numPr>
        <w:spacing w:after="40" w:before="40"/>
      </w:pPr>
      <w:r>
        <w:rPr>
          <w:rFonts w:ascii="Arial" w:cs="Arial" w:eastAsia="Arial" w:hAnsi="Arial"/>
          <w:color w:val="1A1A2E"/>
          <w:sz w:val="22"/>
          <w:szCs w:val="22"/>
        </w:rPr>
        <w:t xml:space="preserve">Koller, T., Goedhart, M., Wessels, D. (2015). Valuation: Measuring and Managing the Value of Companies, 6th Edition. McKinsey &amp; Company.</w:t>
      </w:r>
    </w:p>
    <w:p>
      <w:pPr>
        <w:pStyle w:val="ListParagraph"/>
        <w:numPr>
          <w:ilvl w:val="0"/>
          <w:numId w:val="2"/>
        </w:numPr>
        <w:spacing w:after="40" w:before="40"/>
      </w:pPr>
      <w:r>
        <w:rPr>
          <w:rFonts w:ascii="Arial" w:cs="Arial" w:eastAsia="Arial" w:hAnsi="Arial"/>
          <w:color w:val="1A1A2E"/>
          <w:sz w:val="22"/>
          <w:szCs w:val="22"/>
        </w:rPr>
        <w:t xml:space="preserve">Lopez de Prado, M. (2018). Advances in Financial Machine Learning. Wiley.</w:t>
      </w:r>
    </w:p>
    <w:p>
      <w:pPr>
        <w:pStyle w:val="ListParagraph"/>
        <w:numPr>
          <w:ilvl w:val="0"/>
          <w:numId w:val="2"/>
        </w:numPr>
        <w:spacing w:after="40" w:before="40"/>
      </w:pPr>
      <w:r>
        <w:rPr>
          <w:rFonts w:ascii="Arial" w:cs="Arial" w:eastAsia="Arial" w:hAnsi="Arial"/>
          <w:color w:val="1A1A2E"/>
          <w:sz w:val="22"/>
          <w:szCs w:val="22"/>
        </w:rPr>
        <w:t xml:space="preserve">Norbert, J.W., Sherwood, M.W. (2021). Responsible Investing: An Introduction to Environmental, Social, and Governance Investments. Routledge.</w:t>
      </w:r>
    </w:p>
    <w:p>
      <w:pPr>
        <w:pStyle w:val="ListParagraph"/>
        <w:numPr>
          <w:ilvl w:val="0"/>
          <w:numId w:val="2"/>
        </w:numPr>
        <w:spacing w:after="40" w:before="40"/>
      </w:pPr>
      <w:r>
        <w:rPr>
          <w:rFonts w:ascii="Arial" w:cs="Arial" w:eastAsia="Arial" w:hAnsi="Arial"/>
          <w:color w:val="1A1A2E"/>
          <w:sz w:val="22"/>
          <w:szCs w:val="22"/>
        </w:rPr>
        <w:t xml:space="preserve">Saltelli, A. et al. (2008). Global Sensitivity Analysis: The Primer. Wiley.</w:t>
      </w:r>
    </w:p>
    <w:p>
      <w:pPr>
        <w:pStyle w:val="ListParagraph"/>
        <w:numPr>
          <w:ilvl w:val="0"/>
          <w:numId w:val="2"/>
        </w:numPr>
        <w:spacing w:after="40" w:before="40"/>
      </w:pPr>
      <w:r>
        <w:rPr>
          <w:rFonts w:ascii="Arial" w:cs="Arial" w:eastAsia="Arial" w:hAnsi="Arial"/>
          <w:color w:val="1A1A2E"/>
          <w:sz w:val="22"/>
          <w:szCs w:val="22"/>
        </w:rPr>
        <w:t xml:space="preserve">Virtual Analyst Platform — Comprehensive Code &amp; Financial Review (2026-03-04).</w:t>
      </w:r>
    </w:p>
    <w:p>
      <w:pPr>
        <w:pStyle w:val="ListParagraph"/>
        <w:numPr>
          <w:ilvl w:val="0"/>
          <w:numId w:val="2"/>
        </w:numPr>
        <w:spacing w:after="40" w:before="40"/>
      </w:pPr>
      <w:r>
        <w:rPr>
          <w:rFonts w:ascii="Arial" w:cs="Arial" w:eastAsia="Arial" w:hAnsi="Arial"/>
          <w:color w:val="1A1A2E"/>
          <w:sz w:val="22"/>
          <w:szCs w:val="22"/>
        </w:rPr>
        <w:t xml:space="preserve">Virtual Analyst — AFS Phase 5 Analytics &amp; Industry Benchmarking Implementation Plan (2026-02-27).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pPr>
    <w:r>
      <w:rPr>
        <w:rFonts w:ascii="Arial" w:cs="Arial" w:eastAsia="Arial" w:hAnsi="Arial"/>
        <w:color w:val="4A5568"/>
        <w:sz w:val="18"/>
        <w:szCs w:val="18"/>
      </w:rPr>
      <w:t xml:space="preserve">For Investment Professionals Only — Not for Public Distribution</w:t>
    </w:r>
    <w:r>
      <w:rPr>
        <w:rFonts w:ascii="Arial" w:cs="Arial" w:eastAsia="Arial" w:hAnsi="Arial"/>
      </w:rPr>
      <w:t xml:space="preserve">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pPr>
    <w:r>
      <w:rPr>
        <w:rFonts w:ascii="Arial" w:cs="Arial" w:eastAsia="Arial" w:hAnsi="Arial"/>
        <w:b/>
        <w:bCs/>
        <w:color w:val="2E5FA3"/>
        <w:sz w:val="20"/>
        <w:szCs w:val="20"/>
      </w:rPr>
      <w:t xml:space="preserve">VIRTUAL ANALYST</w:t>
    </w:r>
    <w:r>
      <w:rPr>
        <w:rFonts w:ascii="Arial" w:cs="Arial" w:eastAsia="Arial" w:hAnsi="Arial"/>
        <w:color w:val="4A5568"/>
        <w:sz w:val="20"/>
        <w:szCs w:val="20"/>
      </w:rPr>
      <w:t xml:space="preserve">   |   Portfolio Intelligence Module — Design Specification</w:t>
    </w:r>
    <w:r>
      <w:rPr>
        <w:rFonts w:ascii="Arial" w:cs="Arial" w:eastAsia="Arial" w:hAnsi="Arial"/>
      </w:rPr>
      <w:t xml:space="preserve">	</w:t>
    </w:r>
    <w:r>
      <w:rPr>
        <w:rFonts w:ascii="Arial" w:cs="Arial" w:eastAsia="Arial" w:hAnsi="Arial"/>
        <w:b/>
        <w:bCs/>
        <w:color w:val="4A556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2026-03-05T20:01:27.892Z</dcterms:created>
  <dcterms:modified xsi:type="dcterms:W3CDTF">2026-03-05T20:01:27.893Z</dcterms:modified>
</cp:coreProperties>
</file>

<file path=docProps/custom.xml><?xml version="1.0" encoding="utf-8"?>
<Properties xmlns="http://schemas.openxmlformats.org/officeDocument/2006/custom-properties" xmlns:vt="http://schemas.openxmlformats.org/officeDocument/2006/docPropsVTypes"/>
</file>