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600"/>
              <w:left w:type="dxa" w:w="480"/>
              <w:bottom w:type="dxa" w:w="600"/>
              <w:right w:type="dxa" w:w="480"/>
            </w:tcMar>
          </w:tcPr>
          <w:p>
            <w:pPr>
              <w:spacing w:after="100" w:before="480"/>
              <w:jc w:val="center"/>
            </w:pPr>
            <w:r>
              <w:rPr>
                <w:rFonts w:ascii="Arial" w:cs="Arial" w:eastAsia="Arial" w:hAnsi="Arial"/>
                <w:b/>
                <w:bCs/>
                <w:color w:val="FFFFFF"/>
                <w:sz w:val="52"/>
                <w:szCs w:val="52"/>
              </w:rPr>
              <w:t xml:space="preserve">VIRTUAL ANALYST</w:t>
            </w:r>
          </w:p>
          <w:p>
            <w:pPr>
              <w:spacing w:after="100" w:before="0"/>
              <w:jc w:val="center"/>
            </w:pPr>
            <w:r>
              <w:rPr>
                <w:rFonts w:ascii="Arial" w:cs="Arial" w:eastAsia="Arial" w:hAnsi="Arial"/>
                <w:color w:val="A8C8E8"/>
                <w:sz w:val="36"/>
                <w:szCs w:val="36"/>
              </w:rPr>
              <w:t xml:space="preserve">Master Build Plan &amp; Backlog</w:t>
            </w:r>
          </w:p>
          <w:p>
            <w:pPr>
              <w:spacing w:after="80" w:before="180"/>
              <w:jc w:val="center"/>
            </w:pPr>
            <w:r>
              <w:rPr>
                <w:rFonts w:ascii="Arial" w:cs="Arial" w:eastAsia="Arial" w:hAnsi="Arial"/>
                <w:i/>
                <w:iCs/>
                <w:color w:val="C8DCF0"/>
                <w:sz w:val="20"/>
                <w:szCs w:val="20"/>
              </w:rPr>
              <w:t xml:space="preserve">End-to-End Code Review  ·  Platform Remediation  ·  Sentiment-Augmented Portfolio Intelligence Module  ·  Developer Testing Framework</w:t>
            </w:r>
          </w:p>
          <w:p>
            <w:pPr>
              <w:spacing w:after="0" w:before="240"/>
              <w:jc w:val="center"/>
            </w:pPr>
            <w:r>
              <w:rPr>
                <w:rFonts w:ascii="Arial" w:cs="Arial" w:eastAsia="Arial" w:hAnsi="Arial"/>
                <w:color w:val="A0A0A0"/>
                <w:sz w:val="20"/>
                <w:szCs w:val="20"/>
              </w:rPr>
              <w:t xml:space="preserve">March 2026  ·  Confidential · For Developer Review Only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1200"/>
        <w:gridCol w:w="2400"/>
      </w:tblGrid>
      <w:tr>
        <w:trPr>
          <w:tblHeader/>
        </w:trPr>
        <w:tc>
          <w:tcPr>
            <w:tcW w:type="dxa" w:w="3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Document</w:t>
            </w:r>
          </w:p>
        </w:tc>
        <w:tc>
          <w:tcPr>
            <w:tcW w:type="dxa" w:w="2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2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VA Master Build Plan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DRAFT — Developer Review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v1.0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March 2026</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40"/>
              <w:left w:type="dxa" w:w="240"/>
              <w:bottom w:type="dxa" w:w="140"/>
              <w:right w:type="dxa" w:w="240"/>
            </w:tcMar>
          </w:tcPr>
          <w:p>
            <w:pPr>
              <w:jc w:val="center"/>
            </w:pPr>
            <w:r>
              <w:rPr>
                <w:rFonts w:ascii="Arial" w:cs="Arial" w:eastAsia="Arial" w:hAnsi="Arial"/>
                <w:b/>
                <w:bCs/>
                <w:color w:val="FFFFFF"/>
                <w:sz w:val="24"/>
                <w:szCs w:val="24"/>
              </w:rPr>
              <w:t xml:space="preserve">PART A — INSTRUCTIONS REVIEW &amp; CRITIQUE</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A.1  Review of Your Instructions</w:t>
      </w:r>
    </w:p>
    <w:p>
      <w:pPr>
        <w:spacing w:after="60" w:before="60"/>
        <w:ind/>
      </w:pPr>
      <w:r>
        <w:rPr>
          <w:rFonts w:ascii="Arial" w:cs="Arial" w:eastAsia="Arial" w:hAnsi="Arial"/>
          <w:i w:val="false"/>
          <w:iCs w:val="false"/>
          <w:color w:val="000000"/>
          <w:sz w:val="20"/>
          <w:szCs w:val="20"/>
        </w:rPr>
        <w:t xml:space="preserve">Your four-part instruction set is sound in intent and correctly sequenced. The following observations refine and strengthen the scope before committing to the build plan.</w:t>
      </w:r>
    </w:p>
    <w:p>
      <w:pPr>
        <w:spacing w:after="0" w:before="60"/>
      </w:pPr>
      <w:r>
        <w:t xml:space="preserve"/>
      </w:r>
    </w:p>
    <w:p>
      <w:pPr>
        <w:pStyle w:val="Heading3"/>
        <w:spacing w:after="80" w:before="200"/>
      </w:pPr>
      <w:r>
        <w:rPr>
          <w:rFonts w:ascii="Arial" w:cs="Arial" w:eastAsia="Arial" w:hAnsi="Arial"/>
          <w:b/>
          <w:bCs/>
          <w:color w:val="1B3A5C"/>
          <w:sz w:val="22"/>
          <w:szCs w:val="22"/>
        </w:rPr>
        <w:t xml:space="preserve">A.1.1  Instruction 1 — End-to-End Code Review</w:t>
      </w:r>
    </w:p>
    <w:p>
      <w:pPr>
        <w:spacing w:after="60" w:before="60"/>
        <w:ind/>
      </w:pPr>
      <w:r>
        <w:rPr>
          <w:rFonts w:ascii="Arial" w:cs="Arial" w:eastAsia="Arial" w:hAnsi="Arial"/>
          <w:i w:val="false"/>
          <w:iCs w:val="false"/>
          <w:color w:val="000000"/>
          <w:sz w:val="20"/>
          <w:szCs w:val="20"/>
        </w:rPr>
        <w:t xml:space="preserve">✅ Correct approach. A full code review before any new build work prevents compounding existing defects into new modules. One addition recommended: explicitly scope the review to cover not just Python backend code, but also TypeScript frontend types, SQL query patterns, and the CI pipeline — all of which carry material risk.</w:t>
      </w:r>
    </w:p>
    <w:p>
      <w:pPr>
        <w:spacing w:after="0" w:before="60"/>
      </w:pPr>
      <w:r>
        <w:t xml:space="preserve"/>
      </w:r>
    </w:p>
    <w:p>
      <w:pPr>
        <w:pStyle w:val="Heading3"/>
        <w:spacing w:after="80" w:before="200"/>
      </w:pPr>
      <w:r>
        <w:rPr>
          <w:rFonts w:ascii="Arial" w:cs="Arial" w:eastAsia="Arial" w:hAnsi="Arial"/>
          <w:b/>
          <w:bCs/>
          <w:color w:val="1B3A5C"/>
          <w:sz w:val="22"/>
          <w:szCs w:val="22"/>
        </w:rPr>
        <w:t xml:space="preserve">A.1.2  Instruction 2 — Address Existing Shortcomings</w:t>
      </w:r>
    </w:p>
    <w:p>
      <w:pPr>
        <w:spacing w:after="60" w:before="60"/>
        <w:ind/>
      </w:pPr>
      <w:r>
        <w:rPr>
          <w:rFonts w:ascii="Arial" w:cs="Arial" w:eastAsia="Arial" w:hAnsi="Arial"/>
          <w:i w:val="false"/>
          <w:iCs w:val="false"/>
          <w:color w:val="000000"/>
          <w:sz w:val="20"/>
          <w:szCs w:val="20"/>
        </w:rPr>
        <w:t xml:space="preserve">✅ Correct and necessary. The 2026-03-04 platform review identified 41 issues. Two critical clarifications:</w:t>
      </w:r>
    </w:p>
    <w:p>
      <w:pPr>
        <w:pStyle w:val="ListParagraph"/>
        <w:numPr>
          <w:ilvl w:val="0"/>
          <w:numId w:val="2"/>
        </w:numPr>
        <w:spacing w:after="40" w:before="40"/>
      </w:pPr>
      <w:r>
        <w:rPr>
          <w:rFonts w:ascii="Arial" w:cs="Arial" w:eastAsia="Arial" w:hAnsi="Arial"/>
          <w:sz w:val="20"/>
          <w:szCs w:val="20"/>
        </w:rPr>
        <w:t xml:space="preserve">The 2 critical-severity issues (anomaly detection with no statistical grounding; unauthenticated PII endpoint) must be resolved before any PIM code is written. They represent both a compliance risk and a data quality risk that will propagate into the new module.</w:t>
      </w:r>
    </w:p>
    <w:p>
      <w:pPr>
        <w:pStyle w:val="ListParagraph"/>
        <w:numPr>
          <w:ilvl w:val="0"/>
          <w:numId w:val="2"/>
        </w:numPr>
        <w:spacing w:after="40" w:before="40"/>
      </w:pPr>
      <w:r>
        <w:rPr>
          <w:rFonts w:ascii="Arial" w:cs="Arial" w:eastAsia="Arial" w:hAnsi="Arial"/>
          <w:sz w:val="20"/>
          <w:szCs w:val="20"/>
        </w:rPr>
        <w:t xml:space="preserve">Issue ST3 (Monte Carlo not parallelised) directly affects the Markov chain simulation engine in PIM — fixing it now avoids rewriting the parallelisation pattern twice.</w:t>
      </w:r>
    </w:p>
    <w:p>
      <w:pPr>
        <w:spacing w:after="0" w:before="60"/>
      </w:pPr>
      <w:r>
        <w:t xml:space="preserve"/>
      </w:r>
    </w:p>
    <w:p>
      <w:pPr>
        <w:pStyle w:val="Heading3"/>
        <w:spacing w:after="80" w:before="200"/>
      </w:pPr>
      <w:r>
        <w:rPr>
          <w:rFonts w:ascii="Arial" w:cs="Arial" w:eastAsia="Arial" w:hAnsi="Arial"/>
          <w:b/>
          <w:bCs/>
          <w:color w:val="1B3A5C"/>
          <w:sz w:val="22"/>
          <w:szCs w:val="22"/>
        </w:rPr>
        <w:t xml:space="preserve">A.1.3  Instruction 3 — Build Plan for the Sentiment-Augmented Module</w:t>
      </w:r>
    </w:p>
    <w:p>
      <w:pPr>
        <w:spacing w:after="60" w:before="60"/>
        <w:ind/>
      </w:pPr>
      <w:r>
        <w:rPr>
          <w:rFonts w:ascii="Arial" w:cs="Arial" w:eastAsia="Arial" w:hAnsi="Arial"/>
          <w:i w:val="false"/>
          <w:iCs w:val="false"/>
          <w:color w:val="000000"/>
          <w:sz w:val="20"/>
          <w:szCs w:val="20"/>
        </w:rPr>
        <w:t xml:space="preserve">✅ Correct. One important clarification added below: the instruction refers to 'sentiment data' without specifying the source. The build plan explicitly defines three tiers of sentiment data sources, their licensing implications, cost structure, and data quality characteristics. This is essential for investment-professional-grade output.</w:t>
      </w:r>
    </w:p>
    <w:p>
      <w:pPr>
        <w:spacing w:after="60" w:before="60"/>
        <w:ind/>
      </w:pPr>
      <w:r>
        <w:rPr>
          <w:rFonts w:ascii="Arial" w:cs="Arial" w:eastAsia="Arial" w:hAnsi="Arial"/>
          <w:i w:val="false"/>
          <w:iCs w:val="false"/>
          <w:color w:val="000000"/>
          <w:sz w:val="20"/>
          <w:szCs w:val="20"/>
        </w:rPr>
        <w:t xml:space="preserve">Billing as an optional add-on is architecturally sound. The billing gate is embedded at the tenant feature-flag level so it activates transparently when the billing module is enabled, requiring zero code changes at that point.</w:t>
      </w:r>
    </w:p>
    <w:p>
      <w:pPr>
        <w:spacing w:after="0" w:before="60"/>
      </w:pPr>
      <w:r>
        <w:t xml:space="preserve"/>
      </w:r>
    </w:p>
    <w:p>
      <w:pPr>
        <w:pStyle w:val="Heading3"/>
        <w:spacing w:after="80" w:before="200"/>
      </w:pPr>
      <w:r>
        <w:rPr>
          <w:rFonts w:ascii="Arial" w:cs="Arial" w:eastAsia="Arial" w:hAnsi="Arial"/>
          <w:b/>
          <w:bCs/>
          <w:color w:val="1B3A5C"/>
          <w:sz w:val="22"/>
          <w:szCs w:val="22"/>
        </w:rPr>
        <w:t xml:space="preserve">A.1.4  Instruction 4 — Developer Testing &amp; Parameter Calibration Module</w:t>
      </w:r>
    </w:p>
    <w:p>
      <w:pPr>
        <w:spacing w:after="60" w:before="60"/>
        <w:ind/>
      </w:pPr>
      <w:r>
        <w:rPr>
          <w:rFonts w:ascii="Arial" w:cs="Arial" w:eastAsia="Arial" w:hAnsi="Arial"/>
          <w:i w:val="false"/>
          <w:iCs w:val="false"/>
          <w:color w:val="000000"/>
          <w:sz w:val="20"/>
          <w:szCs w:val="20"/>
        </w:rPr>
        <w:t xml:space="preserve">✅ Strong idea. One structural refinement: the instruction describes a Markov chain iterative approach but this risks conflating two distinct activities that should be architecturally separate:</w:t>
      </w:r>
    </w:p>
    <w:p>
      <w:pPr>
        <w:pStyle w:val="ListParagraph"/>
        <w:numPr>
          <w:ilvl w:val="0"/>
          <w:numId w:val="2"/>
        </w:numPr>
        <w:spacing w:after="40" w:before="40"/>
      </w:pPr>
      <w:r>
        <w:rPr>
          <w:rFonts w:ascii="Arial" w:cs="Arial" w:eastAsia="Arial" w:hAnsi="Arial"/>
          <w:sz w:val="20"/>
          <w:szCs w:val="20"/>
        </w:rPr>
        <w:t xml:space="preserve">Parameter calibration using historical listed-company data (a one-time plus periodic activity — produces calibrated model weights)</w:t>
      </w:r>
    </w:p>
    <w:p>
      <w:pPr>
        <w:pStyle w:val="ListParagraph"/>
        <w:numPr>
          <w:ilvl w:val="0"/>
          <w:numId w:val="2"/>
        </w:numPr>
        <w:spacing w:after="40" w:before="40"/>
      </w:pPr>
      <w:r>
        <w:rPr>
          <w:rFonts w:ascii="Arial" w:cs="Arial" w:eastAsia="Arial" w:hAnsi="Arial"/>
          <w:sz w:val="20"/>
          <w:szCs w:val="20"/>
        </w:rPr>
        <w:t xml:space="preserve">Ongoing backtesting of live predictions against actual outcomes (a continuous activity — produces accuracy metrics and triggers model updates)</w:t>
      </w:r>
    </w:p>
    <w:p>
      <w:pPr>
        <w:spacing w:after="60" w:before="60"/>
        <w:ind/>
      </w:pPr>
      <w:r>
        <w:rPr>
          <w:rFonts w:ascii="Arial" w:cs="Arial" w:eastAsia="Arial" w:hAnsi="Arial"/>
          <w:i w:val="false"/>
          <w:iCs w:val="false"/>
          <w:color w:val="000000"/>
          <w:sz w:val="20"/>
          <w:szCs w:val="20"/>
        </w:rPr>
        <w:t xml:space="preserve">The build plan separates these into two sub-modules of the Developer Testing Framework (DTF) to maintain clean separation of concerns. Both are developer-only with no tenant-facing UI.</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40"/>
              <w:left w:type="dxa" w:w="240"/>
              <w:bottom w:type="dxa" w:w="140"/>
              <w:right w:type="dxa" w:w="240"/>
            </w:tcMar>
          </w:tcPr>
          <w:p>
            <w:pPr>
              <w:jc w:val="center"/>
            </w:pPr>
            <w:r>
              <w:rPr>
                <w:rFonts w:ascii="Arial" w:cs="Arial" w:eastAsia="Arial" w:hAnsi="Arial"/>
                <w:b/>
                <w:bCs/>
                <w:color w:val="FFFFFF"/>
                <w:sz w:val="24"/>
                <w:szCs w:val="24"/>
              </w:rPr>
              <w:t xml:space="preserve">PART B — END-TO-END CODE REVIEW</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B.1  Review Scope</w:t>
      </w:r>
    </w:p>
    <w:p>
      <w:pPr>
        <w:spacing w:after="60" w:before="60"/>
        <w:ind/>
      </w:pPr>
      <w:r>
        <w:rPr>
          <w:rFonts w:ascii="Arial" w:cs="Arial" w:eastAsia="Arial" w:hAnsi="Arial"/>
          <w:i w:val="false"/>
          <w:iCs w:val="false"/>
          <w:color w:val="000000"/>
          <w:sz w:val="20"/>
          <w:szCs w:val="20"/>
        </w:rPr>
        <w:t xml:space="preserve">This review covers: Python backend engine &amp; analysis layer, FastAPI routers, authentication middleware, LLM routing service, three-statement financial model, Monte Carlo &amp; sensitivity modules, AFS module, and TypeScript frontend types. The prior 2026-03-04 review is cross-referenced throughout.</w:t>
      </w:r>
    </w:p>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B.2  Issue Registry — All Findings</w:t>
      </w:r>
    </w:p>
    <w:p>
      <w:pPr>
        <w:spacing w:after="60" w:before="60"/>
        <w:ind/>
      </w:pPr>
      <w:r>
        <w:rPr>
          <w:rFonts w:ascii="Arial" w:cs="Arial" w:eastAsia="Arial" w:hAnsi="Arial"/>
          <w:i w:val="false"/>
          <w:iCs w:val="false"/>
          <w:color w:val="000000"/>
          <w:sz w:val="20"/>
          <w:szCs w:val="20"/>
        </w:rPr>
        <w:t xml:space="preserve">Issues are classified by severity and domain. New findings (not in the prior review) are marked [NEW]. Prior findings confirmed as still open are marked [OPEN]. Fixed items are marked [FIXED].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900"/>
        <w:gridCol w:w="1200"/>
        <w:gridCol w:w="860"/>
        <w:gridCol w:w="5660"/>
      </w:tblGrid>
      <w:tr>
        <w:trPr>
          <w:tblHeader/>
        </w:trPr>
        <w:tc>
          <w:tcPr>
            <w:tcW w:type="dxa" w:w="74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w:t>
            </w:r>
          </w:p>
        </w:tc>
        <w:tc>
          <w:tcPr>
            <w:tcW w:type="dxa" w:w="8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6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Summary</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CR-S1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Security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FIXED</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Unauthenticated /debug-auth endpoint leaking PII in production</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CR-S2</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CRITICAL</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Statistics</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Anomaly detection is purely LLM-based with zero statistical tests</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CR-S3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Security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FIXED</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Auth middleware falls back to investor role on DB error</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CR-S4</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Security</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JWKS cache race condition — synchronous httpx.get() in async context</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CR-S5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Security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Synchronous Redis blocking async event loop in runs.py</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CR-F1</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Finance</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DCF lacks mid-year convention (4-5% systematic undervaluation)</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CR-F2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Finance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DCF returns EV only — no equity bridge to equity value</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CR-F3</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Finance</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Exit multiple applied to FCF; must be applied to EBITDA</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CR-F4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Finance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 tax loss carryforward (NOL) in multi-year IS models</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CR-F5</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Finance</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Single FX rate for entire consolidation horizon violates IAS 21</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CR-T1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Performance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Monte Carlo simulation is single-threaded Python loop</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CR-Q1</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generate_statements() is 357 lines with no decomposition</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CR-Q2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budgets.py is 1,400+ lines (god file)</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CR-Q3</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afs.py is 2,500+ lines (god file)</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CR-Q4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Frontend status mismatch: succeeded vs completed breaks Excel export</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CR-Q5</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N+1 query in budget dashboard (80+ DB round-trips for 20 budgets)</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CR-Q6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Dynamic SQL f-strings in afs.py and budgets.py — no column allowlist</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CR-Q7</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Bare except Exception: pass throughout 6 files</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CR-Q8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StatementsData uses unknown types, erasing all TypeScript type safety</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CR-Q9</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Security</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Sensitivity parameter_path has no allowlist — permits deep traversal</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CR-N1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Testing</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0 of 51 frontend pages have tests</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CR-N2</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Ops</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Board pack email distribution stubbed — not wired to SendGrid/SES</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CR-N3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Ops</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CONTEXT.md is stale — Rounds 23-25 not reflected</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CR-N4</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LOW</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[NEW]</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DCF breakdown PV rounding is inconsistent across periods</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CR-N5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[NEW]</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LLM DEFAULT_POLICY is a module-level constant — not hot-reloadable</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CR-N6</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LOW</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[NEW]</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Funding waterfall iterates up to 5 passes with no convergence log</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CR-N7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Ops</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[NEW]</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 structured LLM latency logging per task_label for cost attribution</w:t>
            </w:r>
          </w:p>
        </w:tc>
      </w:tr>
      <w:tr>
        <w:tc>
          <w:tcPr>
            <w:tcW w:type="dxa" w:w="7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CR-N8</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LOW</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Finance</w:t>
            </w:r>
          </w:p>
        </w:tc>
        <w:tc>
          <w:tcPr>
            <w:tcW w:type="dxa" w:w="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[NEW]</w:t>
            </w:r>
          </w:p>
        </w:tc>
        <w:tc>
          <w:tcPr>
            <w:tcW w:type="dxa" w:w="56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PERT distribution: r&lt;=0 case returns mode with no upstream validation</w:t>
            </w:r>
          </w:p>
        </w:tc>
      </w:tr>
      <w:tr>
        <w:tc>
          <w:tcPr>
            <w:tcW w:type="dxa" w:w="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CR-N9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[NEW]</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Health readiness endpoint acquires pool connection without timeout</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B.3  Detailed Findings — Critical &amp; High Severity</w:t>
      </w:r>
    </w:p>
    <w:p>
      <w:pPr>
        <w:pStyle w:val="Heading3"/>
        <w:spacing w:after="80" w:before="200"/>
      </w:pPr>
      <w:r>
        <w:rPr>
          <w:rFonts w:ascii="Arial" w:cs="Arial" w:eastAsia="Arial" w:hAnsi="Arial"/>
          <w:b/>
          <w:bCs/>
          <w:color w:val="C00000"/>
          <w:sz w:val="22"/>
          <w:szCs w:val="22"/>
        </w:rPr>
        <w:t xml:space="preserve">CR-S2 · CRITICAL · Anomaly Detection — No Statistical Grounding</w:t>
      </w:r>
    </w:p>
    <w:p>
      <w:pPr>
        <w:spacing w:after="60" w:before="60"/>
        <w:ind/>
      </w:pPr>
      <w:r>
        <w:rPr>
          <w:rFonts w:ascii="Arial" w:cs="Arial" w:eastAsia="Arial" w:hAnsi="Arial"/>
          <w:i w:val="false"/>
          <w:iCs w:val="false"/>
          <w:color w:val="000000"/>
          <w:sz w:val="20"/>
          <w:szCs w:val="20"/>
        </w:rPr>
        <w:t xml:space="preserve">File: apps/api/app/services/afs/analytics_ai.py</w:t>
      </w:r>
    </w:p>
    <w:p>
      <w:pPr>
        <w:spacing w:after="60" w:before="60"/>
        <w:ind/>
      </w:pPr>
      <w:r>
        <w:rPr>
          <w:rFonts w:ascii="Arial" w:cs="Arial" w:eastAsia="Arial" w:hAnsi="Arial"/>
          <w:i w:val="false"/>
          <w:iCs w:val="false"/>
          <w:color w:val="000000"/>
          <w:sz w:val="20"/>
          <w:szCs w:val="20"/>
        </w:rPr>
        <w:t xml:space="preserve">The detect_anomalies() function passes raw financial series directly to the LLM with no pre-processing. An LLM cannot reliably reproduce Z-score or IQR outlier logic. This violates ISA 520 (Analytical Procedures), which requires that anomaly identification be based on an expectation formed from plausible relationships, not pattern-matching in neural network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FFF0F0" w:val="clear"/>
            <w:tcMar>
              <w:top w:type="dxa" w:w="100"/>
              <w:left w:type="dxa" w:w="160"/>
              <w:bottom w:type="dxa" w:w="100"/>
              <w:right w:type="dxa" w:w="80"/>
            </w:tcMar>
            <w:vAlign w:val="center"/>
          </w:tcPr>
          <w:p>
            <w:pPr>
              <w:jc w:val="center"/>
            </w:pPr>
            <w:r>
              <w:rPr>
                <w:rFonts w:ascii="Arial" w:cs="Arial" w:eastAsia="Arial" w:hAnsi="Arial"/>
                <w:b/>
                <w:bCs/>
                <w:color w:val="C00000"/>
                <w:sz w:val="18"/>
                <w:szCs w:val="18"/>
              </w:rPr>
              <w:t xml:space="preserve">FIX</w:t>
            </w:r>
          </w:p>
        </w:tc>
        <w:tc>
          <w:tcPr>
            <w:tcW w:type="dxa" w:w="8160"/>
            <w:tcBorders>
              <w:top w:val="nil" w:color="FFFFFF" w:sz="0"/>
              <w:left w:val="nil" w:color="FFFFFF" w:sz="0"/>
              <w:bottom w:val="nil" w:color="FFFFFF" w:sz="0"/>
              <w:right w:val="nil" w:color="FFFFFF" w:sz="0"/>
            </w:tcBorders>
            <w:shd w:fill="FFF0F0" w:val="clear"/>
            <w:tcMar>
              <w:top w:type="dxa" w:w="100"/>
              <w:left w:type="dxa" w:w="120"/>
              <w:bottom w:type="dxa" w:w="100"/>
              <w:right w:type="dxa" w:w="120"/>
            </w:tcMar>
          </w:tcPr>
          <w:p>
            <w:r>
              <w:rPr>
                <w:rFonts w:ascii="Arial" w:cs="Arial" w:eastAsia="Arial" w:hAnsi="Arial"/>
                <w:sz w:val="19"/>
                <w:szCs w:val="19"/>
              </w:rPr>
              <w:t xml:space="preserve">Pre-compute Z-scores (|z| &gt; 2.5), IQR outliers (&lt; Q1 - 1.5*IQR or &gt; Q3 + 1.5*IQR), and YoY percentage deviations (|delta%| &gt; 30%) before calling the LLM. Pass flagged items and their statistical basis to the LLM for narrative interpretation only. Deterministic flag = true; LLM commentary = contextual. This makes the approach ISA 520 compliant.</w:t>
            </w:r>
          </w:p>
        </w:tc>
      </w:tr>
    </w:tbl>
    <w:p>
      <w:pPr>
        <w:spacing w:after="0" w:before="60"/>
      </w:pPr>
      <w:r>
        <w:t xml:space="preserve"/>
      </w:r>
    </w:p>
    <w:p>
      <w:pPr>
        <w:pStyle w:val="Heading3"/>
        <w:spacing w:after="80" w:before="200"/>
      </w:pPr>
      <w:r>
        <w:rPr>
          <w:rFonts w:ascii="Arial" w:cs="Arial" w:eastAsia="Arial" w:hAnsi="Arial"/>
          <w:b/>
          <w:bCs/>
          <w:color w:val="E36C09"/>
          <w:sz w:val="22"/>
          <w:szCs w:val="22"/>
        </w:rPr>
        <w:t xml:space="preserve">CR-S4 · HIGH · JWKS Race Condition in Auth Middleware</w:t>
      </w:r>
    </w:p>
    <w:p>
      <w:pPr>
        <w:spacing w:after="60" w:before="60"/>
        <w:ind/>
      </w:pPr>
      <w:r>
        <w:rPr>
          <w:rFonts w:ascii="Arial" w:cs="Arial" w:eastAsia="Arial" w:hAnsi="Arial"/>
          <w:i w:val="false"/>
          <w:iCs w:val="false"/>
          <w:color w:val="000000"/>
          <w:sz w:val="20"/>
          <w:szCs w:val="20"/>
        </w:rPr>
        <w:t xml:space="preserve">File: apps/api/app/middleware/auth.py</w:t>
      </w:r>
    </w:p>
    <w:p>
      <w:pPr>
        <w:spacing w:after="60" w:before="60"/>
        <w:ind/>
      </w:pPr>
      <w:r>
        <w:rPr>
          <w:rFonts w:ascii="Arial" w:cs="Arial" w:eastAsia="Arial" w:hAnsi="Arial"/>
          <w:i w:val="false"/>
          <w:iCs w:val="false"/>
          <w:color w:val="000000"/>
          <w:sz w:val="20"/>
          <w:szCs w:val="20"/>
        </w:rPr>
        <w:t xml:space="preserve">Global _jwks_cache_time is mutated in async context without asyncio.Lock. Concurrent requests during key rotation will each call synchronous httpx.get(), blocking the event loop N times. This is both a correctness issue (stale JWKS during race) and a performance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FFF8F0" w:val="clear"/>
            <w:tcMar>
              <w:top w:type="dxa" w:w="100"/>
              <w:left w:type="dxa" w:w="160"/>
              <w:bottom w:type="dxa" w:w="100"/>
              <w:right w:type="dxa" w:w="80"/>
            </w:tcMar>
            <w:vAlign w:val="center"/>
          </w:tcPr>
          <w:p>
            <w:pPr>
              <w:jc w:val="center"/>
            </w:pPr>
            <w:r>
              <w:rPr>
                <w:rFonts w:ascii="Arial" w:cs="Arial" w:eastAsia="Arial" w:hAnsi="Arial"/>
                <w:b/>
                <w:bCs/>
                <w:color w:val="E36C09"/>
                <w:sz w:val="18"/>
                <w:szCs w:val="18"/>
              </w:rPr>
              <w:t xml:space="preserve">FIX</w:t>
            </w:r>
          </w:p>
        </w:tc>
        <w:tc>
          <w:tcPr>
            <w:tcW w:type="dxa" w:w="8160"/>
            <w:tcBorders>
              <w:top w:val="nil" w:color="FFFFFF" w:sz="0"/>
              <w:left w:val="nil" w:color="FFFFFF" w:sz="0"/>
              <w:bottom w:val="nil" w:color="FFFFFF" w:sz="0"/>
              <w:right w:val="nil" w:color="FFFFFF" w:sz="0"/>
            </w:tcBorders>
            <w:shd w:fill="FFF8F0" w:val="clear"/>
            <w:tcMar>
              <w:top w:type="dxa" w:w="100"/>
              <w:left w:type="dxa" w:w="120"/>
              <w:bottom w:type="dxa" w:w="100"/>
              <w:right w:type="dxa" w:w="120"/>
            </w:tcMar>
          </w:tcPr>
          <w:p>
            <w:r>
              <w:rPr>
                <w:rFonts w:ascii="Arial" w:cs="Arial" w:eastAsia="Arial" w:hAnsi="Arial"/>
                <w:sz w:val="19"/>
                <w:szCs w:val="19"/>
              </w:rPr>
              <w:t xml:space="preserve">Add module-level asyncio.Lock _jwks_lock. Use async with _jwks_lock before checking/updating cache. Replace httpx.get() with await httpx.AsyncClient().get() with a 5.0s timeout.</w:t>
            </w:r>
          </w:p>
        </w:tc>
      </w:tr>
    </w:tbl>
    <w:p>
      <w:pPr>
        <w:spacing w:after="0" w:before="60"/>
      </w:pPr>
      <w:r>
        <w:t xml:space="preserve"/>
      </w:r>
    </w:p>
    <w:p>
      <w:pPr>
        <w:pStyle w:val="Heading3"/>
        <w:spacing w:after="80" w:before="200"/>
      </w:pPr>
      <w:r>
        <w:rPr>
          <w:rFonts w:ascii="Arial" w:cs="Arial" w:eastAsia="Arial" w:hAnsi="Arial"/>
          <w:b/>
          <w:bCs/>
          <w:color w:val="E36C09"/>
          <w:sz w:val="22"/>
          <w:szCs w:val="22"/>
        </w:rPr>
        <w:t xml:space="preserve">CR-S5 · HIGH · Synchronous Redis Blocking Event Loop</w:t>
      </w:r>
    </w:p>
    <w:p>
      <w:pPr>
        <w:spacing w:after="60" w:before="60"/>
        <w:ind/>
      </w:pPr>
      <w:r>
        <w:rPr>
          <w:rFonts w:ascii="Arial" w:cs="Arial" w:eastAsia="Arial" w:hAnsi="Arial"/>
          <w:i w:val="false"/>
          <w:iCs w:val="false"/>
          <w:color w:val="000000"/>
          <w:sz w:val="20"/>
          <w:szCs w:val="20"/>
        </w:rPr>
        <w:t xml:space="preserve">File: apps/api/app/routers/runs.py (lines 52-73)</w:t>
      </w:r>
    </w:p>
    <w:p>
      <w:pPr>
        <w:spacing w:after="60" w:before="60"/>
        <w:ind/>
      </w:pPr>
      <w:r>
        <w:rPr>
          <w:rFonts w:ascii="Arial" w:cs="Arial" w:eastAsia="Arial" w:hAnsi="Arial"/>
          <w:i w:val="false"/>
          <w:iCs w:val="false"/>
          <w:color w:val="000000"/>
          <w:sz w:val="20"/>
          <w:szCs w:val="20"/>
        </w:rPr>
        <w:t xml:space="preserve">The synchronous redis library is called from async FastAPI handlers. Every MC progress-check call blocks the event loop until Redis responds. The module-level _redis_pool is never closed on shutdown and exceptions are silently swallowed (except Exception: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FFF8F0" w:val="clear"/>
            <w:tcMar>
              <w:top w:type="dxa" w:w="100"/>
              <w:left w:type="dxa" w:w="160"/>
              <w:bottom w:type="dxa" w:w="100"/>
              <w:right w:type="dxa" w:w="80"/>
            </w:tcMar>
            <w:vAlign w:val="center"/>
          </w:tcPr>
          <w:p>
            <w:pPr>
              <w:jc w:val="center"/>
            </w:pPr>
            <w:r>
              <w:rPr>
                <w:rFonts w:ascii="Arial" w:cs="Arial" w:eastAsia="Arial" w:hAnsi="Arial"/>
                <w:b/>
                <w:bCs/>
                <w:color w:val="E36C09"/>
                <w:sz w:val="18"/>
                <w:szCs w:val="18"/>
              </w:rPr>
              <w:t xml:space="preserve">FIX</w:t>
            </w:r>
          </w:p>
        </w:tc>
        <w:tc>
          <w:tcPr>
            <w:tcW w:type="dxa" w:w="8160"/>
            <w:tcBorders>
              <w:top w:val="nil" w:color="FFFFFF" w:sz="0"/>
              <w:left w:val="nil" w:color="FFFFFF" w:sz="0"/>
              <w:bottom w:val="nil" w:color="FFFFFF" w:sz="0"/>
              <w:right w:val="nil" w:color="FFFFFF" w:sz="0"/>
            </w:tcBorders>
            <w:shd w:fill="FFF8F0" w:val="clear"/>
            <w:tcMar>
              <w:top w:type="dxa" w:w="100"/>
              <w:left w:type="dxa" w:w="120"/>
              <w:bottom w:type="dxa" w:w="100"/>
              <w:right w:type="dxa" w:w="120"/>
            </w:tcMar>
          </w:tcPr>
          <w:p>
            <w:r>
              <w:rPr>
                <w:rFonts w:ascii="Arial" w:cs="Arial" w:eastAsia="Arial" w:hAnsi="Arial"/>
                <w:sz w:val="19"/>
                <w:szCs w:val="19"/>
              </w:rPr>
              <w:t xml:space="preserve">Replace with redis.asyncio. Initialise pool in FastAPI lifespan context manager. Add structured logging at WARNING level on Redis errors. Never swallow exceptions silently in financial data flows.</w:t>
            </w:r>
          </w:p>
        </w:tc>
      </w:tr>
    </w:tbl>
    <w:p>
      <w:pPr>
        <w:spacing w:after="0" w:before="60"/>
      </w:pPr>
      <w:r>
        <w:t xml:space="preserve"/>
      </w:r>
    </w:p>
    <w:p>
      <w:pPr>
        <w:pStyle w:val="Heading3"/>
        <w:spacing w:after="80" w:before="200"/>
      </w:pPr>
      <w:r>
        <w:rPr>
          <w:rFonts w:ascii="Arial" w:cs="Arial" w:eastAsia="Arial" w:hAnsi="Arial"/>
          <w:b/>
          <w:bCs/>
          <w:color w:val="E36C09"/>
          <w:sz w:val="22"/>
          <w:szCs w:val="22"/>
        </w:rPr>
        <w:t xml:space="preserve">CR-F1 · HIGH · DCF Mid-Year Convention Missing</w:t>
      </w:r>
    </w:p>
    <w:p>
      <w:pPr>
        <w:spacing w:after="60" w:before="60"/>
        <w:ind/>
      </w:pPr>
      <w:r>
        <w:rPr>
          <w:rFonts w:ascii="Arial" w:cs="Arial" w:eastAsia="Arial" w:hAnsi="Arial"/>
          <w:i w:val="false"/>
          <w:iCs w:val="false"/>
          <w:color w:val="000000"/>
          <w:sz w:val="20"/>
          <w:szCs w:val="20"/>
        </w:rPr>
        <w:t xml:space="preserve">File: shared/fm_shared/analysis/valuation.py (line 54)</w:t>
      </w:r>
    </w:p>
    <w:p>
      <w:pPr>
        <w:spacing w:after="60" w:before="60"/>
        <w:ind/>
      </w:pPr>
      <w:r>
        <w:rPr>
          <w:rFonts w:ascii="Arial" w:cs="Arial" w:eastAsia="Arial" w:hAnsi="Arial"/>
          <w:i w:val="false"/>
          <w:iCs w:val="false"/>
          <w:color w:val="000000"/>
          <w:sz w:val="20"/>
          <w:szCs w:val="20"/>
        </w:rPr>
        <w:t xml:space="preserve">Current: pv = cf / ((1.0 + wacc) ** ((t + 1) / 12.0))  discounts to period-end. Cash flows are earned throughout the period, not entirely at the end. Over a 5-year model at 10% WACC, this systematically understates PV by approximately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FFF8F0" w:val="clear"/>
            <w:tcMar>
              <w:top w:type="dxa" w:w="100"/>
              <w:left w:type="dxa" w:w="160"/>
              <w:bottom w:type="dxa" w:w="100"/>
              <w:right w:type="dxa" w:w="80"/>
            </w:tcMar>
            <w:vAlign w:val="center"/>
          </w:tcPr>
          <w:p>
            <w:pPr>
              <w:jc w:val="center"/>
            </w:pPr>
            <w:r>
              <w:rPr>
                <w:rFonts w:ascii="Arial" w:cs="Arial" w:eastAsia="Arial" w:hAnsi="Arial"/>
                <w:b/>
                <w:bCs/>
                <w:color w:val="E36C09"/>
                <w:sz w:val="18"/>
                <w:szCs w:val="18"/>
              </w:rPr>
              <w:t xml:space="preserve">FIX</w:t>
            </w:r>
          </w:p>
        </w:tc>
        <w:tc>
          <w:tcPr>
            <w:tcW w:type="dxa" w:w="8160"/>
            <w:tcBorders>
              <w:top w:val="nil" w:color="FFFFFF" w:sz="0"/>
              <w:left w:val="nil" w:color="FFFFFF" w:sz="0"/>
              <w:bottom w:val="nil" w:color="FFFFFF" w:sz="0"/>
              <w:right w:val="nil" w:color="FFFFFF" w:sz="0"/>
            </w:tcBorders>
            <w:shd w:fill="FFF8F0" w:val="clear"/>
            <w:tcMar>
              <w:top w:type="dxa" w:w="100"/>
              <w:left w:type="dxa" w:w="120"/>
              <w:bottom w:type="dxa" w:w="100"/>
              <w:right w:type="dxa" w:w="120"/>
            </w:tcMar>
          </w:tcPr>
          <w:p>
            <w:r>
              <w:rPr>
                <w:rFonts w:ascii="Arial" w:cs="Arial" w:eastAsia="Arial" w:hAnsi="Arial"/>
                <w:sz w:val="19"/>
                <w:szCs w:val="19"/>
              </w:rPr>
              <w:t xml:space="preserve">Change (t + 1) / 12.0 to (t + 0.5) / 12.0 for mid-period discounting. Apply the corresponding mid-year adjustment to the terminal value discount factor: n_mid = (n - 0.5) / 12.0. This aligns with CFA Institute standard (Koller et al. Valuation Chapter 8). Update 3 test cases to reflect the corrected values.</w:t>
            </w:r>
          </w:p>
        </w:tc>
      </w:tr>
    </w:tbl>
    <w:p>
      <w:pPr>
        <w:spacing w:after="0" w:before="60"/>
      </w:pPr>
      <w:r>
        <w:t xml:space="preserve"/>
      </w:r>
    </w:p>
    <w:p>
      <w:pPr>
        <w:pStyle w:val="Heading3"/>
        <w:spacing w:after="80" w:before="200"/>
      </w:pPr>
      <w:r>
        <w:rPr>
          <w:rFonts w:ascii="Arial" w:cs="Arial" w:eastAsia="Arial" w:hAnsi="Arial"/>
          <w:b/>
          <w:bCs/>
          <w:color w:val="E36C09"/>
          <w:sz w:val="22"/>
          <w:szCs w:val="22"/>
        </w:rPr>
        <w:t xml:space="preserve">CR-F2 · HIGH · No Equity Bridge</w:t>
      </w:r>
    </w:p>
    <w:p>
      <w:pPr>
        <w:spacing w:after="60" w:before="60"/>
        <w:ind/>
      </w:pPr>
      <w:r>
        <w:rPr>
          <w:rFonts w:ascii="Arial" w:cs="Arial" w:eastAsia="Arial" w:hAnsi="Arial"/>
          <w:i w:val="false"/>
          <w:iCs w:val="false"/>
          <w:color w:val="000000"/>
          <w:sz w:val="20"/>
          <w:szCs w:val="20"/>
        </w:rPr>
        <w:t xml:space="preserve">File: shared/fm_shared/analysis/valuation.py (lines 67-68)</w:t>
      </w:r>
    </w:p>
    <w:p>
      <w:pPr>
        <w:spacing w:after="60" w:before="60"/>
        <w:ind/>
      </w:pPr>
      <w:r>
        <w:rPr>
          <w:rFonts w:ascii="Arial" w:cs="Arial" w:eastAsia="Arial" w:hAnsi="Arial"/>
          <w:i w:val="false"/>
          <w:iCs w:val="false"/>
          <w:color w:val="000000"/>
          <w:sz w:val="20"/>
          <w:szCs w:val="20"/>
        </w:rPr>
        <w:t xml:space="preserve">DCFResult returns enterprise_value only. Investment professionals require equity_value = EV - net_debt - minority_interest + associates to compare against market capitalisation or derive per-share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FFF8F0" w:val="clear"/>
            <w:tcMar>
              <w:top w:type="dxa" w:w="100"/>
              <w:left w:type="dxa" w:w="160"/>
              <w:bottom w:type="dxa" w:w="100"/>
              <w:right w:type="dxa" w:w="80"/>
            </w:tcMar>
            <w:vAlign w:val="center"/>
          </w:tcPr>
          <w:p>
            <w:pPr>
              <w:jc w:val="center"/>
            </w:pPr>
            <w:r>
              <w:rPr>
                <w:rFonts w:ascii="Arial" w:cs="Arial" w:eastAsia="Arial" w:hAnsi="Arial"/>
                <w:b/>
                <w:bCs/>
                <w:color w:val="E36C09"/>
                <w:sz w:val="18"/>
                <w:szCs w:val="18"/>
              </w:rPr>
              <w:t xml:space="preserve">FIX</w:t>
            </w:r>
          </w:p>
        </w:tc>
        <w:tc>
          <w:tcPr>
            <w:tcW w:type="dxa" w:w="8160"/>
            <w:tcBorders>
              <w:top w:val="nil" w:color="FFFFFF" w:sz="0"/>
              <w:left w:val="nil" w:color="FFFFFF" w:sz="0"/>
              <w:bottom w:val="nil" w:color="FFFFFF" w:sz="0"/>
              <w:right w:val="nil" w:color="FFFFFF" w:sz="0"/>
            </w:tcBorders>
            <w:shd w:fill="FFF8F0" w:val="clear"/>
            <w:tcMar>
              <w:top w:type="dxa" w:w="100"/>
              <w:left w:type="dxa" w:w="120"/>
              <w:bottom w:type="dxa" w:w="100"/>
              <w:right w:type="dxa" w:w="120"/>
            </w:tcMar>
          </w:tcPr>
          <w:p>
            <w:r>
              <w:rPr>
                <w:rFonts w:ascii="Arial" w:cs="Arial" w:eastAsia="Arial" w:hAnsi="Arial"/>
                <w:sz w:val="19"/>
                <w:szCs w:val="19"/>
              </w:rPr>
              <w:t xml:space="preserve">Add net_debt: float, minority_interest: float, associates: float to DCFResult. Compute equity_value = enterprise_value - net_debt - minority_interest + associates. Add as optional inputs to dcf_valuation() with default 0.0 to preserve all existing tests.</w:t>
            </w:r>
          </w:p>
        </w:tc>
      </w:tr>
    </w:tbl>
    <w:p>
      <w:pPr>
        <w:spacing w:after="0" w:before="60"/>
      </w:pPr>
      <w:r>
        <w:t xml:space="preserve"/>
      </w:r>
    </w:p>
    <w:p>
      <w:pPr>
        <w:pStyle w:val="Heading3"/>
        <w:spacing w:after="80" w:before="200"/>
      </w:pPr>
      <w:r>
        <w:rPr>
          <w:rFonts w:ascii="Arial" w:cs="Arial" w:eastAsia="Arial" w:hAnsi="Arial"/>
          <w:b/>
          <w:bCs/>
          <w:color w:val="E36C09"/>
          <w:sz w:val="22"/>
          <w:szCs w:val="22"/>
        </w:rPr>
        <w:t xml:space="preserve">CR-F3 · HIGH · Exit Multiple Applied to FCF Instead of EBITDA</w:t>
      </w:r>
    </w:p>
    <w:p>
      <w:pPr>
        <w:spacing w:after="60" w:before="60"/>
        <w:ind/>
      </w:pPr>
      <w:r>
        <w:rPr>
          <w:rFonts w:ascii="Arial" w:cs="Arial" w:eastAsia="Arial" w:hAnsi="Arial"/>
          <w:i w:val="false"/>
          <w:iCs w:val="false"/>
          <w:color w:val="000000"/>
          <w:sz w:val="20"/>
          <w:szCs w:val="20"/>
        </w:rPr>
        <w:t xml:space="preserve">File: shared/fm_shared/analysis/valuation.py (lines 64-65)</w:t>
      </w:r>
    </w:p>
    <w:p>
      <w:pPr>
        <w:spacing w:after="60" w:before="60"/>
        <w:ind/>
      </w:pPr>
      <w:r>
        <w:rPr>
          <w:rFonts w:ascii="Arial" w:cs="Arial" w:eastAsia="Arial" w:hAnsi="Arial"/>
          <w:i w:val="false"/>
          <w:iCs w:val="false"/>
          <w:color w:val="000000"/>
          <w:sz w:val="20"/>
          <w:szCs w:val="20"/>
        </w:rPr>
        <w:t xml:space="preserve">terminal_value = fcf_annual * terminal_multiple applies a market EV/EBITDA multiple (typically 8-12x) to free cash flow. This produces terminal values 2-4x higher than correct, dominating the DCF result. EV/EBITDA multiples are not applicable to FCF.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FFF8F0" w:val="clear"/>
            <w:tcMar>
              <w:top w:type="dxa" w:w="100"/>
              <w:left w:type="dxa" w:w="160"/>
              <w:bottom w:type="dxa" w:w="100"/>
              <w:right w:type="dxa" w:w="80"/>
            </w:tcMar>
            <w:vAlign w:val="center"/>
          </w:tcPr>
          <w:p>
            <w:pPr>
              <w:jc w:val="center"/>
            </w:pPr>
            <w:r>
              <w:rPr>
                <w:rFonts w:ascii="Arial" w:cs="Arial" w:eastAsia="Arial" w:hAnsi="Arial"/>
                <w:b/>
                <w:bCs/>
                <w:color w:val="E36C09"/>
                <w:sz w:val="18"/>
                <w:szCs w:val="18"/>
              </w:rPr>
              <w:t xml:space="preserve">FIX</w:t>
            </w:r>
          </w:p>
        </w:tc>
        <w:tc>
          <w:tcPr>
            <w:tcW w:type="dxa" w:w="8160"/>
            <w:tcBorders>
              <w:top w:val="nil" w:color="FFFFFF" w:sz="0"/>
              <w:left w:val="nil" w:color="FFFFFF" w:sz="0"/>
              <w:bottom w:val="nil" w:color="FFFFFF" w:sz="0"/>
              <w:right w:val="nil" w:color="FFFFFF" w:sz="0"/>
            </w:tcBorders>
            <w:shd w:fill="FFF8F0" w:val="clear"/>
            <w:tcMar>
              <w:top w:type="dxa" w:w="100"/>
              <w:left w:type="dxa" w:w="120"/>
              <w:bottom w:type="dxa" w:w="100"/>
              <w:right w:type="dxa" w:w="120"/>
            </w:tcMar>
          </w:tcPr>
          <w:p>
            <w:r>
              <w:rPr>
                <w:rFonts w:ascii="Arial" w:cs="Arial" w:eastAsia="Arial" w:hAnsi="Arial"/>
                <w:sz w:val="19"/>
                <w:szCs w:val="19"/>
              </w:rPr>
              <w:t xml:space="preserve">Require ebitda_terminal: float as a separate input when terminal_multiple is used. Add assertion: if terminal_multiple and ebitda_terminal is None: raise ValueError('terminal_multiple requires ebitda_terminal input'). Document clearly that terminal_multiple is an EV/EBITDA multiple applied to EBITDA.</w:t>
            </w:r>
          </w:p>
        </w:tc>
      </w:tr>
    </w:tbl>
    <w:p>
      <w:pPr>
        <w:spacing w:after="0" w:before="60"/>
      </w:pPr>
      <w:r>
        <w:t xml:space="preserve"/>
      </w:r>
    </w:p>
    <w:p>
      <w:pPr>
        <w:pStyle w:val="Heading3"/>
        <w:spacing w:after="80" w:before="200"/>
      </w:pPr>
      <w:r>
        <w:rPr>
          <w:rFonts w:ascii="Arial" w:cs="Arial" w:eastAsia="Arial" w:hAnsi="Arial"/>
          <w:b/>
          <w:bCs/>
          <w:color w:val="E36C09"/>
          <w:sz w:val="22"/>
          <w:szCs w:val="22"/>
        </w:rPr>
        <w:t xml:space="preserve">CR-F4 · HIGH · No Tax Loss Carryforward (NOL)</w:t>
      </w:r>
    </w:p>
    <w:p>
      <w:pPr>
        <w:spacing w:after="60" w:before="60"/>
        <w:ind/>
      </w:pPr>
      <w:r>
        <w:rPr>
          <w:rFonts w:ascii="Arial" w:cs="Arial" w:eastAsia="Arial" w:hAnsi="Arial"/>
          <w:i w:val="false"/>
          <w:iCs w:val="false"/>
          <w:color w:val="000000"/>
          <w:sz w:val="20"/>
          <w:szCs w:val="20"/>
        </w:rPr>
        <w:t xml:space="preserve">File: shared/fm_shared/model/statements.py</w:t>
      </w:r>
    </w:p>
    <w:p>
      <w:pPr>
        <w:spacing w:after="60" w:before="60"/>
        <w:ind/>
      </w:pPr>
      <w:r>
        <w:rPr>
          <w:rFonts w:ascii="Arial" w:cs="Arial" w:eastAsia="Arial" w:hAnsi="Arial"/>
          <w:i w:val="false"/>
          <w:iCs w:val="false"/>
          <w:color w:val="000000"/>
          <w:sz w:val="20"/>
          <w:szCs w:val="20"/>
        </w:rPr>
        <w:t xml:space="preserve">In multi-year models where a company posts losses in early years and profits later, the income statement computes tax = max(0, ebt * tax_rate) each period independently. There is no cumulative NOL tracker. In many jurisdictions (US, UK, SA) losses carried forward reduce future taxable income — ignoring this inflates tax expense and understates net income in recovery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FFF8F0" w:val="clear"/>
            <w:tcMar>
              <w:top w:type="dxa" w:w="100"/>
              <w:left w:type="dxa" w:w="160"/>
              <w:bottom w:type="dxa" w:w="100"/>
              <w:right w:type="dxa" w:w="80"/>
            </w:tcMar>
            <w:vAlign w:val="center"/>
          </w:tcPr>
          <w:p>
            <w:pPr>
              <w:jc w:val="center"/>
            </w:pPr>
            <w:r>
              <w:rPr>
                <w:rFonts w:ascii="Arial" w:cs="Arial" w:eastAsia="Arial" w:hAnsi="Arial"/>
                <w:b/>
                <w:bCs/>
                <w:color w:val="E36C09"/>
                <w:sz w:val="18"/>
                <w:szCs w:val="18"/>
              </w:rPr>
              <w:t xml:space="preserve">FIX</w:t>
            </w:r>
          </w:p>
        </w:tc>
        <w:tc>
          <w:tcPr>
            <w:tcW w:type="dxa" w:w="8160"/>
            <w:tcBorders>
              <w:top w:val="nil" w:color="FFFFFF" w:sz="0"/>
              <w:left w:val="nil" w:color="FFFFFF" w:sz="0"/>
              <w:bottom w:val="nil" w:color="FFFFFF" w:sz="0"/>
              <w:right w:val="nil" w:color="FFFFFF" w:sz="0"/>
            </w:tcBorders>
            <w:shd w:fill="FFF8F0" w:val="clear"/>
            <w:tcMar>
              <w:top w:type="dxa" w:w="100"/>
              <w:left w:type="dxa" w:w="120"/>
              <w:bottom w:type="dxa" w:w="100"/>
              <w:right w:type="dxa" w:w="120"/>
            </w:tcMar>
          </w:tcPr>
          <w:p>
            <w:r>
              <w:rPr>
                <w:rFonts w:ascii="Arial" w:cs="Arial" w:eastAsia="Arial" w:hAnsi="Arial"/>
                <w:sz w:val="19"/>
                <w:szCs w:val="19"/>
              </w:rPr>
              <w:t xml:space="preserve">Add cumulative_nol: float running tracker in generate_statements(). Each period: if ebt &lt; 0, cumulative_nol += abs(ebt). Taxable income = max(0, ebt - min(cumulative_nol, ebt)). Reduce cumulative_nol by amount used. Add nol_utilised column to income_statement output.</w:t>
            </w:r>
          </w:p>
        </w:tc>
      </w:tr>
    </w:tbl>
    <w:p>
      <w:pPr>
        <w:spacing w:after="0" w:before="60"/>
      </w:pPr>
      <w:r>
        <w:t xml:space="preserve"/>
      </w:r>
    </w:p>
    <w:p>
      <w:pPr>
        <w:pStyle w:val="Heading3"/>
        <w:spacing w:after="80" w:before="200"/>
      </w:pPr>
      <w:r>
        <w:rPr>
          <w:rFonts w:ascii="Arial" w:cs="Arial" w:eastAsia="Arial" w:hAnsi="Arial"/>
          <w:b/>
          <w:bCs/>
          <w:color w:val="E36C09"/>
          <w:sz w:val="22"/>
          <w:szCs w:val="22"/>
        </w:rPr>
        <w:t xml:space="preserve">CR-T1 · HIGH · Monte Carlo Not Parallelised</w:t>
      </w:r>
    </w:p>
    <w:p>
      <w:pPr>
        <w:spacing w:after="60" w:before="60"/>
        <w:ind/>
      </w:pPr>
      <w:r>
        <w:rPr>
          <w:rFonts w:ascii="Arial" w:cs="Arial" w:eastAsia="Arial" w:hAnsi="Arial"/>
          <w:i w:val="false"/>
          <w:iCs w:val="false"/>
          <w:color w:val="000000"/>
          <w:sz w:val="20"/>
          <w:szCs w:val="20"/>
        </w:rPr>
        <w:t xml:space="preserve">File: shared/fm_shared/analysis/monte_carlo.py</w:t>
      </w:r>
    </w:p>
    <w:p>
      <w:pPr>
        <w:spacing w:after="60" w:before="60"/>
        <w:ind/>
      </w:pPr>
      <w:r>
        <w:rPr>
          <w:rFonts w:ascii="Arial" w:cs="Arial" w:eastAsia="Arial" w:hAnsi="Arial"/>
          <w:i w:val="false"/>
          <w:iCs w:val="false"/>
          <w:color w:val="000000"/>
          <w:sz w:val="20"/>
          <w:szCs w:val="20"/>
        </w:rPr>
        <w:t xml:space="preserve">The main simulation loop is a serial Python for loop. At 10,000 simulations this takes 60-120 seconds on a single core. The sensitivity module already uses ProcessPoolExecutor correctly — this pattern should be replicated for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FFF8F0" w:val="clear"/>
            <w:tcMar>
              <w:top w:type="dxa" w:w="100"/>
              <w:left w:type="dxa" w:w="160"/>
              <w:bottom w:type="dxa" w:w="100"/>
              <w:right w:type="dxa" w:w="80"/>
            </w:tcMar>
            <w:vAlign w:val="center"/>
          </w:tcPr>
          <w:p>
            <w:pPr>
              <w:jc w:val="center"/>
            </w:pPr>
            <w:r>
              <w:rPr>
                <w:rFonts w:ascii="Arial" w:cs="Arial" w:eastAsia="Arial" w:hAnsi="Arial"/>
                <w:b/>
                <w:bCs/>
                <w:color w:val="E36C09"/>
                <w:sz w:val="18"/>
                <w:szCs w:val="18"/>
              </w:rPr>
              <w:t xml:space="preserve">FIX</w:t>
            </w:r>
          </w:p>
        </w:tc>
        <w:tc>
          <w:tcPr>
            <w:tcW w:type="dxa" w:w="8160"/>
            <w:tcBorders>
              <w:top w:val="nil" w:color="FFFFFF" w:sz="0"/>
              <w:left w:val="nil" w:color="FFFFFF" w:sz="0"/>
              <w:bottom w:val="nil" w:color="FFFFFF" w:sz="0"/>
              <w:right w:val="nil" w:color="FFFFFF" w:sz="0"/>
            </w:tcBorders>
            <w:shd w:fill="FFF8F0" w:val="clear"/>
            <w:tcMar>
              <w:top w:type="dxa" w:w="100"/>
              <w:left w:type="dxa" w:w="120"/>
              <w:bottom w:type="dxa" w:w="100"/>
              <w:right w:type="dxa" w:w="120"/>
            </w:tcMar>
          </w:tcPr>
          <w:p>
            <w:r>
              <w:rPr>
                <w:rFonts w:ascii="Arial" w:cs="Arial" w:eastAsia="Arial" w:hAnsi="Arial"/>
                <w:sz w:val="19"/>
                <w:szCs w:val="19"/>
              </w:rPr>
              <w:t xml:space="preserve">Add module-level worker function _mc_worker(args: tuple[dict, list, int, int]) -&gt; dict that accepts (config_dict, override_dicts, horizon, seed_offset). Refactor run_monte_carlo() to build a task list and dispatch via ProcessPoolExecutor with the same BrokenProcessPool fallback pattern from sensitivity.py.</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B.4  New Findings Not in Prior Review</w:t>
      </w:r>
    </w:p>
    <w:p>
      <w:pPr>
        <w:pStyle w:val="Heading3"/>
        <w:spacing w:after="80" w:before="200"/>
      </w:pPr>
      <w:r>
        <w:rPr>
          <w:rFonts w:ascii="Arial" w:cs="Arial" w:eastAsia="Arial" w:hAnsi="Arial"/>
          <w:b/>
          <w:bCs/>
          <w:color w:val="1B3A5C"/>
          <w:sz w:val="22"/>
          <w:szCs w:val="22"/>
        </w:rPr>
        <w:t xml:space="preserve">CR-N5 · LLM Router Policy Is a Module-Level Constant</w:t>
      </w:r>
    </w:p>
    <w:p>
      <w:pPr>
        <w:spacing w:after="60" w:before="60"/>
        <w:ind/>
      </w:pPr>
      <w:r>
        <w:rPr>
          <w:rFonts w:ascii="Arial" w:cs="Arial" w:eastAsia="Arial" w:hAnsi="Arial"/>
          <w:i w:val="false"/>
          <w:iCs w:val="false"/>
          <w:color w:val="000000"/>
          <w:sz w:val="20"/>
          <w:szCs w:val="20"/>
        </w:rPr>
        <w:t xml:space="preserve">DEFAULT_POLICY in router.py is a Python dict literal at module load. Changing model assignments or temperatures requires a full redeploy. There is no admin UI or database-backed policy. For a multi-tenant production system serving investment professionals, this severely limits operational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EEF4FB" w:val="clear"/>
            <w:tcMar>
              <w:top w:type="dxa" w:w="100"/>
              <w:left w:type="dxa" w:w="160"/>
              <w:bottom w:type="dxa" w:w="100"/>
              <w:right w:type="dxa" w:w="80"/>
            </w:tcMar>
            <w:vAlign w:val="center"/>
          </w:tcPr>
          <w:p>
            <w:pPr>
              <w:jc w:val="center"/>
            </w:pPr>
            <w:r>
              <w:rPr>
                <w:rFonts w:ascii="Arial" w:cs="Arial" w:eastAsia="Arial" w:hAnsi="Arial"/>
                <w:b/>
                <w:bCs/>
                <w:color w:val="1B3A5C"/>
                <w:sz w:val="18"/>
                <w:szCs w:val="18"/>
              </w:rPr>
              <w:t xml:space="preserve">RECOMMENDATION</w:t>
            </w:r>
          </w:p>
        </w:tc>
        <w:tc>
          <w:tcPr>
            <w:tcW w:type="dxa" w:w="8160"/>
            <w:tcBorders>
              <w:top w:val="nil" w:color="FFFFFF" w:sz="0"/>
              <w:left w:val="nil" w:color="FFFFFF" w:sz="0"/>
              <w:bottom w:val="nil" w:color="FFFFFF" w:sz="0"/>
              <w:right w:val="nil" w:color="FFFFFF" w:sz="0"/>
            </w:tcBorders>
            <w:shd w:fill="EEF4FB" w:val="clear"/>
            <w:tcMar>
              <w:top w:type="dxa" w:w="100"/>
              <w:left w:type="dxa" w:w="120"/>
              <w:bottom w:type="dxa" w:w="100"/>
              <w:right w:type="dxa" w:w="120"/>
            </w:tcMar>
          </w:tcPr>
          <w:p>
            <w:r>
              <w:rPr>
                <w:rFonts w:ascii="Arial" w:cs="Arial" w:eastAsia="Arial" w:hAnsi="Arial"/>
                <w:sz w:val="19"/>
                <w:szCs w:val="19"/>
              </w:rPr>
              <w:t xml:space="preserve">Add llm_policies table (tenant_id, policy_json, updated_at). Fallback to DEFAULT_POLICY if no tenant-specific policy exists. Build admin-only PATCH /api/v1/admin/llm-policy endpoint. Cache with 60-second TTL in Redis. This enables model routing adjustments without redeploys.</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CR-N7 · No Structured LLM Latency Logging Per Task Label</w:t>
      </w:r>
    </w:p>
    <w:p>
      <w:pPr>
        <w:spacing w:after="60" w:before="60"/>
        <w:ind/>
      </w:pPr>
      <w:r>
        <w:rPr>
          <w:rFonts w:ascii="Arial" w:cs="Arial" w:eastAsia="Arial" w:hAnsi="Arial"/>
          <w:i w:val="false"/>
          <w:iCs w:val="false"/>
          <w:color w:val="000000"/>
          <w:sz w:val="20"/>
          <w:szCs w:val="20"/>
        </w:rPr>
        <w:t xml:space="preserve">The billing service records token usage and cost per task_label, but latency_ms is not logged at the task_label level in any queryable form. Without this, it is impossible to identify which LLM calls cause P95 latency spikes or which task labels should route to faster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EEF4FB" w:val="clear"/>
            <w:tcMar>
              <w:top w:type="dxa" w:w="100"/>
              <w:left w:type="dxa" w:w="160"/>
              <w:bottom w:type="dxa" w:w="100"/>
              <w:right w:type="dxa" w:w="80"/>
            </w:tcMar>
            <w:vAlign w:val="center"/>
          </w:tcPr>
          <w:p>
            <w:pPr>
              <w:jc w:val="center"/>
            </w:pPr>
            <w:r>
              <w:rPr>
                <w:rFonts w:ascii="Arial" w:cs="Arial" w:eastAsia="Arial" w:hAnsi="Arial"/>
                <w:b/>
                <w:bCs/>
                <w:color w:val="1B3A5C"/>
                <w:sz w:val="18"/>
                <w:szCs w:val="18"/>
              </w:rPr>
              <w:t xml:space="preserve">RECOMMENDATION</w:t>
            </w:r>
          </w:p>
        </w:tc>
        <w:tc>
          <w:tcPr>
            <w:tcW w:type="dxa" w:w="8160"/>
            <w:tcBorders>
              <w:top w:val="nil" w:color="FFFFFF" w:sz="0"/>
              <w:left w:val="nil" w:color="FFFFFF" w:sz="0"/>
              <w:bottom w:val="nil" w:color="FFFFFF" w:sz="0"/>
              <w:right w:val="nil" w:color="FFFFFF" w:sz="0"/>
            </w:tcBorders>
            <w:shd w:fill="EEF4FB" w:val="clear"/>
            <w:tcMar>
              <w:top w:type="dxa" w:w="100"/>
              <w:left w:type="dxa" w:w="120"/>
              <w:bottom w:type="dxa" w:w="100"/>
              <w:right w:type="dxa" w:w="120"/>
            </w:tcMar>
          </w:tcPr>
          <w:p>
            <w:r>
              <w:rPr>
                <w:rFonts w:ascii="Arial" w:cs="Arial" w:eastAsia="Arial" w:hAnsi="Arial"/>
                <w:sz w:val="19"/>
                <w:szCs w:val="19"/>
              </w:rPr>
              <w:t xml:space="preserve">Add task_label, provider, model, latency_ms to llm_usage_logs table. Add GET /api/v1/admin/llm-stats endpoint aggregating P50/P95 latency and cost per task_label. This is especially important for PIM which will introduce 6 new task labels.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40"/>
              <w:left w:type="dxa" w:w="240"/>
              <w:bottom w:type="dxa" w:w="140"/>
              <w:right w:type="dxa" w:w="240"/>
            </w:tcMar>
          </w:tcPr>
          <w:p>
            <w:pPr>
              <w:jc w:val="center"/>
            </w:pPr>
            <w:r>
              <w:rPr>
                <w:rFonts w:ascii="Arial" w:cs="Arial" w:eastAsia="Arial" w:hAnsi="Arial"/>
                <w:b/>
                <w:bCs/>
                <w:color w:val="FFFFFF"/>
                <w:sz w:val="24"/>
                <w:szCs w:val="24"/>
              </w:rPr>
              <w:t xml:space="preserve">PART C — PLATFORM REMEDIATION BACKLOG</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C.1  Remediation Priorities</w:t>
      </w:r>
    </w:p>
    <w:p>
      <w:pPr>
        <w:spacing w:after="60" w:before="60"/>
        <w:ind/>
      </w:pPr>
      <w:r>
        <w:rPr>
          <w:rFonts w:ascii="Arial" w:cs="Arial" w:eastAsia="Arial" w:hAnsi="Arial"/>
          <w:i w:val="false"/>
          <w:iCs w:val="false"/>
          <w:color w:val="000000"/>
          <w:sz w:val="20"/>
          <w:szCs w:val="20"/>
        </w:rPr>
        <w:t xml:space="preserve">Items are sequenced by dependency and risk. Critical security and statistical items must be completed before any PIM development begins.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760"/>
        <w:gridCol w:w="720"/>
        <w:gridCol w:w="4620"/>
        <w:gridCol w:w="600"/>
        <w:gridCol w:w="760"/>
      </w:tblGrid>
      <w:tr>
        <w:trPr>
          <w:tblHeader/>
        </w:trPr>
        <w:tc>
          <w:tcPr>
            <w:tcW w:type="dxa" w:w="3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7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46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6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c>
          <w:tcPr>
            <w:tcW w:type="dxa" w:w="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REM-01</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CR-S2</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Statistical pre-processing for anomaly detection (Z-score, IQR before LLM)</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REM-02</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CR-S4</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JWKS cache: asyncio.Lock + replace httpx.get() with AsyncClient</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REM-03</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CR-S5</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Replace synchronous Redis with redis.asyncio; fix lifespan init</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REM-04</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CR-F3</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Fix DCF exit multiple — require ebitda_terminal; add assertion</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REM-05</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CR-F1</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DCF mid-year convention: change (t+1)/12 to (t+0.5)/12</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6</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REM-06</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CR-F2</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DCF equity bridge: add net_debt, minority_interest, equity_value</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REM-07</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CR-Q4</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Frontend status fix: align succeeded check; add RunStatus enum</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XS</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8</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REM-08</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CR-T1</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Monte Carlo parallelisation via ProcessPoolExecutor</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REM-09</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CR-F4</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Tax loss carryforward (NOL) in multi-year IS model</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10</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REM-10</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CR-F5</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IAS 21 multi-rate FX: average rate for IS, closing rate for BS</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REM-11</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CR-Q1</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Decompose generate_statements() into 5 focused functions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12</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REM-12</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CR-Q2</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Split budgets.py into 4 modules (crud, variance, actuals, llm)</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REM-13</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CR-Q3</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Extract AFS orchestration to services/afs/ — thin router handlers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14</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REM-14</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CR-Q5</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Fix N+1 budget dashboard: batch with WHERE id = ANY($1)</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REM-15</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CR-Q6</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Add ALLOWED_SORT_COLUMNS SQL allowlists in afs.py and budgets.py</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16</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REM-16</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CR-Q7</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Replace bare except: pass with structured WARNING logging (6 files)</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REM-17</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CR-Q8</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Define IncomeStatementRow, BalanceSheetRow, CashFlowRow TS types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18</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REM-18</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CR-Q9</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Add parameter_path allowlist to sensitivity analysis</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REM-19</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CR-N1</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Frontend page-level smoke tests: 6 priority pages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20</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REM-20</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CR-N2</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Wire board pack email to SendGrid / SES</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REM-21</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CR-N5</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DB-backed LLM policy with admin PATCH endpoint and 60s TTL</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22</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REM-22</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CR-N7</w:t>
            </w:r>
          </w:p>
        </w:tc>
        <w:tc>
          <w:tcPr>
            <w:tcW w:type="dxa" w:w="4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Task label latency logging + admin LLM stats endpoint</w:t>
            </w:r>
          </w:p>
        </w:tc>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REM-23</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CR-N3</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Update CONTEXT.md (Rounds 23-25 + PIM module)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XS</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40"/>
              <w:left w:type="dxa" w:w="240"/>
              <w:bottom w:type="dxa" w:w="140"/>
              <w:right w:type="dxa" w:w="240"/>
            </w:tcMar>
          </w:tcPr>
          <w:p>
            <w:pPr>
              <w:jc w:val="center"/>
            </w:pPr>
            <w:r>
              <w:rPr>
                <w:rFonts w:ascii="Arial" w:cs="Arial" w:eastAsia="Arial" w:hAnsi="Arial"/>
                <w:b/>
                <w:bCs/>
                <w:color w:val="FFFFFF"/>
                <w:sz w:val="24"/>
                <w:szCs w:val="24"/>
              </w:rPr>
              <w:t xml:space="preserve">PART D — SENTIMENT-AUGMENTED PORTFOLIO INTELLIGENCE MODULE</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D.1  Module Overview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w:t>
            </w:r>
          </w:p>
        </w:tc>
        <w:tc>
          <w:tcPr>
            <w:tcW w:type="dxa" w:w="69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Module Name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Portfolio Intelligence Module (PIM)</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API Prefix</w:t>
            </w:r>
          </w:p>
        </w:tc>
        <w:tc>
          <w:tcPr>
            <w:tcW w:type="dxa" w:w="6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/api/v1/pim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Billing Gate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Feature flag pim_enabled per tenant; billed as separate line item when billing module is activated</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Target Users</w:t>
            </w:r>
          </w:p>
        </w:tc>
        <w:tc>
          <w:tcPr>
            <w:tcW w:type="dxa" w:w="6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Investment professionals: analysts, portfolio managers, PE/VC associates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Data Sources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Three-tier: Free public APIs → Commercial providers → Premium alternative data (see D.3)</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Core Engine</w:t>
            </w:r>
          </w:p>
        </w:tc>
        <w:tc>
          <w:tcPr>
            <w:tcW w:type="dxa" w:w="6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Composite Investment Score (CIS) + Markov Chain regime prediction engine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Outputs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Portfolio review pack (PDF/PPTX), investment committee memo, backtest validation report</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D.2  Architecture — Seven Sub-Systems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720"/>
        <w:gridCol w:w="3480"/>
      </w:tblGrid>
      <w:tr>
        <w:trPr>
          <w:tblHeader/>
        </w:trPr>
        <w:tc>
          <w:tcPr>
            <w:tcW w:type="dxa" w:w="21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Sub-System</w:t>
            </w:r>
          </w:p>
        </w:tc>
        <w:tc>
          <w:tcPr>
            <w:tcW w:type="dxa" w:w="37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348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Output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D.2.1  Sentiment Ingestion Engine</w:t>
            </w:r>
          </w:p>
        </w:tc>
        <w:tc>
          <w:tcPr>
            <w:tcW w:type="dxa" w:w="3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Ingest raw text; extract structured sentiment scores via LLM with deterministic post-processing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pim_sentiment_signals table; per-source scores (-1 to +1)</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D.2.2  Economic Context Registry</w:t>
            </w:r>
          </w:p>
        </w:tc>
        <w:tc>
          <w:tcPr>
            <w:tcW w:type="dxa" w:w="3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Snapshot macro indicators per period/region for economic overlay stripping</w:t>
            </w:r>
          </w:p>
        </w:tc>
        <w:tc>
          <w:tcPr>
            <w:tcW w:type="dxa" w:w="34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pim_economic_snapshots table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D.2.3  Fundamental Aggregator</w:t>
            </w:r>
          </w:p>
        </w:tc>
        <w:tc>
          <w:tcPr>
            <w:tcW w:type="dxa" w:w="3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Compute fundamental factor scores from existing AFS/model run data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Fundamental Quality, Momentum, Relative Position scores</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D.2.4  Portfolio Scoring Engine</w:t>
            </w:r>
          </w:p>
        </w:tc>
        <w:tc>
          <w:tcPr>
            <w:tcW w:type="dxa" w:w="3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Compute CIS and construct optimal portfolio under configurable constraints</w:t>
            </w:r>
          </w:p>
        </w:tc>
        <w:tc>
          <w:tcPr>
            <w:tcW w:type="dxa" w:w="34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pim_portfolio_runs; ranked holdings with factor attribution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D.2.5  Markov Chain Engine</w:t>
            </w:r>
          </w:p>
        </w:tc>
        <w:tc>
          <w:tcPr>
            <w:tcW w:type="dxa" w:w="3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Learn regime transition probabilities; predict optimal forecasting horizon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pim_markov_states; Sentiment Prediction Contribution (SPC)</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D.2.6  Backtesting &amp; Validation</w:t>
            </w:r>
          </w:p>
        </w:tc>
        <w:tc>
          <w:tcPr>
            <w:tcW w:type="dxa" w:w="3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Expanding-window backtest with IC, ICIR, SPC metrics; hypothesis testing</w:t>
            </w:r>
          </w:p>
        </w:tc>
        <w:tc>
          <w:tcPr>
            <w:tcW w:type="dxa" w:w="34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pim_backtest_results; validation report PDF</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D.2.7  PE Benchmarking Engine</w:t>
            </w:r>
          </w:p>
        </w:tc>
        <w:tc>
          <w:tcPr>
            <w:tcW w:type="dxa" w:w="3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Map private companies to listed peer groups; compute Management Residual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pim_pe_assessments; investment committee memo draft</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D.3  Sentiment Data Sources</w:t>
      </w:r>
    </w:p>
    <w:p>
      <w:pPr>
        <w:spacing w:after="60" w:before="60"/>
        <w:ind/>
      </w:pPr>
      <w:r>
        <w:rPr>
          <w:rFonts w:ascii="Arial" w:cs="Arial" w:eastAsia="Arial" w:hAnsi="Arial"/>
          <w:i w:val="false"/>
          <w:iCs w:val="false"/>
          <w:color w:val="000000"/>
          <w:sz w:val="20"/>
          <w:szCs w:val="20"/>
        </w:rPr>
        <w:t xml:space="preserve">This section answers: where does sentiment data come from? Three tiers are defined with different cost profiles, data quality, and implementation complexity. All tiers feed into the same pim_sentiment_signals schema via the SentimentIngestor interface.</w:t>
      </w:r>
    </w:p>
    <w:p>
      <w:pPr>
        <w:spacing w:after="0" w:before="60"/>
      </w:pPr>
      <w:r>
        <w:t xml:space="preserve"/>
      </w:r>
    </w:p>
    <w:p>
      <w:pPr>
        <w:pStyle w:val="Heading3"/>
        <w:spacing w:after="80" w:before="200"/>
      </w:pPr>
      <w:r>
        <w:rPr>
          <w:rFonts w:ascii="Arial" w:cs="Arial" w:eastAsia="Arial" w:hAnsi="Arial"/>
          <w:b/>
          <w:bCs/>
          <w:color w:val="1B3A5C"/>
          <w:sz w:val="22"/>
          <w:szCs w:val="22"/>
        </w:rPr>
        <w:t xml:space="preserve">D.3.1  Tier 1 — Free / Open Sources (Available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560"/>
        <w:gridCol w:w="1200"/>
        <w:gridCol w:w="1920"/>
      </w:tblGrid>
      <w:tr>
        <w:trPr>
          <w:tblHeader/>
        </w:trPr>
        <w:tc>
          <w:tcPr>
            <w:tcW w:type="dxa" w:w="21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25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15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Coverage</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Lag</w:t>
            </w:r>
          </w:p>
        </w:tc>
        <w:tc>
          <w:tcPr>
            <w:tcW w:type="dxa" w:w="19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Cost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SEC EDGAR Full-Text Search API</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10-K, 10-Q, 8-K filings: MD&amp;A, risk factors, forward-looking statements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 listed companies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1-2 days after filing</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SEDAR+ (Canada)</w:t>
            </w:r>
          </w:p>
        </w:tc>
        <w:tc>
          <w:tcPr>
            <w:tcW w:type="dxa" w:w="25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Annual Information Forms, MD&amp;A</w:t>
            </w:r>
          </w:p>
        </w:tc>
        <w:tc>
          <w:tcPr>
            <w:tcW w:type="dxa" w:w="1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Canadian listed companies</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2-5 days</w:t>
            </w:r>
          </w:p>
        </w:tc>
        <w:tc>
          <w:tcPr>
            <w:tcW w:type="dxa" w:w="19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Free (login required)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JSE SENS (South Africa)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SENS announcements, results releases, trading statements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JSE-listed companies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Real-time (RSS feed)</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Free (screen-scraped)</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RSS Earnings Feeds (PR Newswire, GlobeNewsWire)</w:t>
            </w:r>
          </w:p>
        </w:tc>
        <w:tc>
          <w:tcPr>
            <w:tcW w:type="dxa" w:w="25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Press releases, earnings announcements</w:t>
            </w:r>
          </w:p>
        </w:tc>
        <w:tc>
          <w:tcPr>
            <w:tcW w:type="dxa" w:w="1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Global large-cap</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Minutes after release</w:t>
            </w:r>
          </w:p>
        </w:tc>
        <w:tc>
          <w:tcPr>
            <w:tcW w:type="dxa" w:w="19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Free (public RSS)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Wikipedia Pageview API</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Article view counts as retail attention proxy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Named public companies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Daily lag</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Reddit API (r/investing, r/SecurityAnalysis)</w:t>
            </w:r>
          </w:p>
        </w:tc>
        <w:tc>
          <w:tcPr>
            <w:tcW w:type="dxa" w:w="25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Community discussion sentiment — high noise, contrarian indicator only</w:t>
            </w:r>
          </w:p>
        </w:tc>
        <w:tc>
          <w:tcPr>
            <w:tcW w:type="dxa" w:w="1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US-biased, variable</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Hours</w:t>
            </w:r>
          </w:p>
        </w:tc>
        <w:tc>
          <w:tcPr>
            <w:tcW w:type="dxa" w:w="19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Free (rate-limited)</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D.3.2  Tier 2 — Commercial Data APIs (Production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760"/>
        <w:gridCol w:w="1800"/>
        <w:gridCol w:w="2760"/>
      </w:tblGrid>
      <w:tr>
        <w:trPr>
          <w:tblHeader/>
        </w:trPr>
        <w:tc>
          <w:tcPr>
            <w:tcW w:type="dxa" w:w="204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Provider</w:t>
            </w:r>
          </w:p>
        </w:tc>
        <w:tc>
          <w:tcPr>
            <w:tcW w:type="dxa" w:w="2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18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Approx Cost</w:t>
            </w:r>
          </w:p>
        </w:tc>
        <w:tc>
          <w:tcPr>
            <w:tcW w:type="dxa" w:w="2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PIM Use</w:t>
            </w:r>
          </w:p>
        </w:tc>
      </w:tr>
      <w:tr>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Refinitiv / LSEG Data &amp; Analytics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Earnings call transcripts, analyst reports, news sentiment scores, ESG signals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USD 2,000-15,000/month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Primary earnings call sentiment; analyst revision tracking</w:t>
            </w:r>
          </w:p>
        </w:tc>
      </w:tr>
      <w:tr>
        <w:tc>
          <w:tcPr>
            <w:tcW w:type="dxa" w:w="20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Bloomberg Terminal (B-PIPE / BLPAPI)</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Broker research, sentiment indices, options flow, short interest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Bundled with Terminal subscription</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Cross-asset sentiment; institutional positioning</w:t>
            </w:r>
          </w:p>
        </w:tc>
      </w:tr>
      <w:tr>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FactSet Transcripts &amp; Estimates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Earnings call transcripts, consensus estimate revisions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USD 1,500-8,000/month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Estimate revision momentum; management guidance tone</w:t>
            </w:r>
          </w:p>
        </w:tc>
      </w:tr>
      <w:tr>
        <w:tc>
          <w:tcPr>
            <w:tcW w:type="dxa" w:w="20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AlphaSense</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AI-powered search over broker research and filings; pre-scored sentiment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USD 1,200-6,000/month</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Rapid ingestion of broker research sentiment without manual LLM processing</w:t>
            </w:r>
          </w:p>
        </w:tc>
      </w:tr>
      <w:tr>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Quandl / Nasdaq Data Link</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Macro indicators, alternative data, short interest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USD 500-3,000/month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Economic snapshot data: PMI, CPI proxies, credit spreads</w:t>
            </w:r>
          </w:p>
        </w:tc>
      </w:tr>
      <w:tr>
        <w:tc>
          <w:tcPr>
            <w:tcW w:type="dxa" w:w="20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Intrinio</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Financials, news sentiment, insider trading, options sentiment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USD 200-2,000/month</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Cost-effective option for smaller deployments and initial production</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D.3.3  Tier 3 — Premium Alternative Data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324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Signal Type</w:t>
            </w:r>
          </w:p>
        </w:tc>
        <w:tc>
          <w:tcPr>
            <w:tcW w:type="dxa" w:w="39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PIM Use Case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Glassdoor / Indeed via aggregators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Employee satisfaction, management quality signals, hiring velocity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Management Quality Score (MQS) sub-module</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Orbital Insight / Satellogic</w:t>
            </w:r>
          </w:p>
        </w:tc>
        <w:tc>
          <w:tcPr>
            <w:tcW w:type="dxa" w:w="32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Satellite imagery: parking lot occupancy, shipping, factory activity</w:t>
            </w:r>
          </w:p>
        </w:tc>
        <w:tc>
          <w:tcPr>
            <w:tcW w:type="dxa" w:w="3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Non-financial operational sentiment validation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Thinknum Alternative Data</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LinkedIn headcount growth, job posting sentiment, web traffic trends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Growth signal validation for PE assessments</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Social Market Analytics (SMA)</w:t>
            </w:r>
          </w:p>
        </w:tc>
        <w:tc>
          <w:tcPr>
            <w:tcW w:type="dxa" w:w="32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Twitter/X sentiment scored per ticker, z-scored for statistical rigour</w:t>
            </w:r>
          </w:p>
        </w:tc>
        <w:tc>
          <w:tcPr>
            <w:tcW w:type="dxa" w:w="3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Retail sentiment overlay in testing module only</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Preqin / PitchBook</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PE deal sentiment, fund manager commentary, LP/GP activity signals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PE benchmarking module enrichment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EEF4FB" w:val="clear"/>
            <w:tcMar>
              <w:top w:type="dxa" w:w="100"/>
              <w:left w:type="dxa" w:w="160"/>
              <w:bottom w:type="dxa" w:w="100"/>
              <w:right w:type="dxa" w:w="80"/>
            </w:tcMar>
            <w:vAlign w:val="center"/>
          </w:tcPr>
          <w:p>
            <w:pPr>
              <w:jc w:val="center"/>
            </w:pPr>
            <w:r>
              <w:rPr>
                <w:rFonts w:ascii="Arial" w:cs="Arial" w:eastAsia="Arial" w:hAnsi="Arial"/>
                <w:b/>
                <w:bCs/>
                <w:color w:val="1B3A5C"/>
                <w:sz w:val="18"/>
                <w:szCs w:val="18"/>
              </w:rPr>
              <w:t xml:space="preserve">DATA SOURCING RECOMMENDATION</w:t>
            </w:r>
          </w:p>
        </w:tc>
        <w:tc>
          <w:tcPr>
            <w:tcW w:type="dxa" w:w="8160"/>
            <w:tcBorders>
              <w:top w:val="nil" w:color="FFFFFF" w:sz="0"/>
              <w:left w:val="nil" w:color="FFFFFF" w:sz="0"/>
              <w:bottom w:val="nil" w:color="FFFFFF" w:sz="0"/>
              <w:right w:val="nil" w:color="FFFFFF" w:sz="0"/>
            </w:tcBorders>
            <w:shd w:fill="EEF4FB" w:val="clear"/>
            <w:tcMar>
              <w:top w:type="dxa" w:w="100"/>
              <w:left w:type="dxa" w:w="120"/>
              <w:bottom w:type="dxa" w:w="100"/>
              <w:right w:type="dxa" w:w="120"/>
            </w:tcMar>
          </w:tcPr>
          <w:p>
            <w:r>
              <w:rPr>
                <w:rFonts w:ascii="Arial" w:cs="Arial" w:eastAsia="Arial" w:hAnsi="Arial"/>
                <w:sz w:val="19"/>
                <w:szCs w:val="19"/>
              </w:rPr>
              <w:t xml:space="preserve">Launch with Tier 1 (free) sources for the developer testing and calibration module. Add a single Tier 2 provider for production PIM — AlphaSense or Intrinio recommended for cost efficiency and Python SDK availability. The SentimentIngestor interface is provider-agnostic: adding a new source requires only a new ingestor class with no core model changes.</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D.4  Billing Architecture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72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Feature Flag</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New column pim_enabled BOOLEAN DEFAULT false in tenants table. All PIM endpoints call await check_pim_access(tenant_id) as the first operation.</w:t>
            </w:r>
          </w:p>
        </w:tc>
      </w:tr>
      <w:tr>
        <w:tc>
          <w:tcPr>
            <w:tcW w:type="dxa" w:w="2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Billing Hook</w:t>
            </w:r>
          </w:p>
        </w:tc>
        <w:tc>
          <w:tcPr>
            <w:tcW w:type="dxa" w:w="7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check_pim_access() checks pim_enabled flag. When billing module is activated, it also calls billing.check_addon_active(tenant_id, 'pim'). Zero PIM code changes required at billing activation.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Usage Metering</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All PIM LLM calls use task_labels prefixed pim_. Token usage is auto-attributed to the PIM add-on in billing records via existing LLM metering infrastructure.</w:t>
            </w:r>
          </w:p>
        </w:tc>
      </w:tr>
      <w:tr>
        <w:tc>
          <w:tcPr>
            <w:tcW w:type="dxa" w:w="2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Pricing Unit</w:t>
            </w:r>
          </w:p>
        </w:tc>
        <w:tc>
          <w:tcPr>
            <w:tcW w:type="dxa" w:w="7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Suggested: per portfolio run + per PE assessment + LLM tokens consumed. All configurable in billing_plans table.</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Graceful Degradation</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If pim_enabled=false, API returns HTTP 403: {detail: 'PIM module not enabled', upgrade_url: '/billing/addons/pim'}</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D.5  Database Schema — New PIM Tables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3240"/>
        <w:gridCol w:w="2520"/>
      </w:tblGrid>
      <w:tr>
        <w:trPr>
          <w:tblHeader/>
        </w:trPr>
        <w:tc>
          <w:tcPr>
            <w:tcW w:type="dxa" w:w="21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Table</w:t>
            </w:r>
          </w:p>
        </w:tc>
        <w:tc>
          <w:tcPr>
            <w:tcW w:type="dxa" w:w="144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Key</w:t>
            </w:r>
          </w:p>
        </w:tc>
        <w:tc>
          <w:tcPr>
            <w:tcW w:type="dxa" w:w="324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Columns</w:t>
            </w:r>
          </w:p>
        </w:tc>
        <w:tc>
          <w:tcPr>
            <w:tcW w:type="dxa" w:w="25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pim_universes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universe_id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name, sectors[], geographies[], exchanges[], horizon_months, config_json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Portfolio universe definitions</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pim_sentiment_signals</w:t>
            </w:r>
          </w:p>
        </w:tc>
        <w:tc>
          <w:tcPr>
            <w:tcW w:type="dxa" w:w="14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signal_id</w:t>
            </w:r>
          </w:p>
        </w:tc>
        <w:tc>
          <w:tcPr>
            <w:tcW w:type="dxa" w:w="32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company_id, sector_id, signal_date, source_type, raw_score, stripped_score, confidence, task_label</w:t>
            </w:r>
          </w:p>
        </w:tc>
        <w:tc>
          <w:tcPr>
            <w:tcW w:type="dxa" w:w="25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Individual scored sentiment events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pim_sentiment_aggregates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aggregate_id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entity_id, period_start, period_end, raw_score, local_stripped, global_stripped, signal_count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Bucketed aggregated sentiment: raw, local-stripped, and global-stripped variants</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pim_economic_snapshots</w:t>
            </w:r>
          </w:p>
        </w:tc>
        <w:tc>
          <w:tcPr>
            <w:tcW w:type="dxa" w:w="14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snapshot_id</w:t>
            </w:r>
          </w:p>
        </w:tc>
        <w:tc>
          <w:tcPr>
            <w:tcW w:type="dxa" w:w="32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country_code, snapshot_date, pmi, cpi_yoy, rate_spread_bps, fx_vol_index, credit_conditions, global_sentiment_index</w:t>
            </w:r>
          </w:p>
        </w:tc>
        <w:tc>
          <w:tcPr>
            <w:tcW w:type="dxa" w:w="25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Per-period macro indicator sets by region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pim_portfolio_runs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run_id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universe_id, run_date, methodology_config_json, holdings_json, sector_weights_json, benchmark_id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Portfolio construction run results</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pim_portfolio_holdings</w:t>
            </w:r>
          </w:p>
        </w:tc>
        <w:tc>
          <w:tcPr>
            <w:tcW w:type="dxa" w:w="14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holding_id</w:t>
            </w:r>
          </w:p>
        </w:tc>
        <w:tc>
          <w:tcPr>
            <w:tcW w:type="dxa" w:w="32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run_id, company_id, weight_pct, cis_score, fundamental_score, sentiment_score, factor_attribution_json</w:t>
            </w:r>
          </w:p>
        </w:tc>
        <w:tc>
          <w:tcPr>
            <w:tcW w:type="dxa" w:w="25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Individual holdings within a run with full factor attribution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pim_backtest_results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backtest_id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universe_id, training_start, training_end, horizon_weeks, ic, icir, spc, hit_rate_q1, stats_json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Full backtest result per methodology/horizon combination</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pim_markov_states</w:t>
            </w:r>
          </w:p>
        </w:tc>
        <w:tc>
          <w:tcPr>
            <w:tcW w:type="dxa" w:w="14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state_id</w:t>
            </w:r>
          </w:p>
        </w:tc>
        <w:tc>
          <w:tcPr>
            <w:tcW w:type="dxa" w:w="32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universe_id, snapshot_date, state_vector_json, transition_matrix_json, mixing_time_estimate, factor_weights_json, spc</w:t>
            </w:r>
          </w:p>
        </w:tc>
        <w:tc>
          <w:tcPr>
            <w:tcW w:type="dxa" w:w="25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Markov chain state snapshot with mixing time uncertainty indicator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pim_pe_assessments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assessment_id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company_name, sector_id, peer_universe_id, fpr_percentile, management_residual, factor_attribution_json, memo_draft, assessment_date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PE target benchmarking assessments</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D.6  LLM Task Labels — New for PIM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720"/>
        <w:gridCol w:w="1080"/>
        <w:gridCol w:w="4800"/>
      </w:tblGrid>
      <w:tr>
        <w:trPr>
          <w:tblHeader/>
        </w:trPr>
        <w:tc>
          <w:tcPr>
            <w:tcW w:type="dxa" w:w="2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 Label</w:t>
            </w:r>
          </w:p>
        </w:tc>
        <w:tc>
          <w:tcPr>
            <w:tcW w:type="dxa" w:w="7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Temp</w:t>
            </w:r>
          </w:p>
        </w:tc>
        <w:tc>
          <w:tcPr>
            <w:tcW w:type="dxa" w:w="108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Tokens</w:t>
            </w:r>
          </w:p>
        </w:tc>
        <w:tc>
          <w:tcPr>
            <w:tcW w:type="dxa" w:w="48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pim_sentiment_extraction</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0.1</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2048</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Extract structured sentiment scores from raw text. Deterministic statistical post-processing required before storage.</w:t>
            </w:r>
          </w:p>
        </w:tc>
      </w:tr>
      <w:tr>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pim_sentiment_summary</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0.3</w:t>
            </w:r>
          </w:p>
        </w:tc>
        <w:tc>
          <w:tcPr>
            <w:tcW w:type="dxa" w:w="10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1024</w:t>
            </w:r>
          </w:p>
        </w:tc>
        <w:tc>
          <w:tcPr>
            <w:tcW w:type="dxa" w:w="4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Narrative summary of sentiment evolution over a look-back period.</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pim_factor_attribution_narrative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0.3</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2048</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Plain-English explanation of portfolio position CIS factor drivers.</w:t>
            </w:r>
          </w:p>
        </w:tc>
      </w:tr>
      <w:tr>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pim_pe_thesis_draft</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0.4</w:t>
            </w:r>
          </w:p>
        </w:tc>
        <w:tc>
          <w:tcPr>
            <w:tcW w:type="dxa" w:w="10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4096</w:t>
            </w:r>
          </w:p>
        </w:tc>
        <w:tc>
          <w:tcPr>
            <w:tcW w:type="dxa" w:w="4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Investment thesis narrative for PE target assessment.</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pim_pe_memo_full</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0.4</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8192</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Full investment committee memo for PE assessment with factor attribution.</w:t>
            </w:r>
          </w:p>
        </w:tc>
      </w:tr>
      <w:tr>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pim_backtest_interpretation</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0.3</w:t>
            </w:r>
          </w:p>
        </w:tc>
        <w:tc>
          <w:tcPr>
            <w:tcW w:type="dxa" w:w="10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2048</w:t>
            </w:r>
          </w:p>
        </w:tc>
        <w:tc>
          <w:tcPr>
            <w:tcW w:type="dxa" w:w="4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Narrative interpretation of backtest IC / ICIR / SPC results.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40"/>
              <w:left w:type="dxa" w:w="240"/>
              <w:bottom w:type="dxa" w:w="140"/>
              <w:right w:type="dxa" w:w="240"/>
            </w:tcMar>
          </w:tcPr>
          <w:p>
            <w:pPr>
              <w:jc w:val="center"/>
            </w:pPr>
            <w:r>
              <w:rPr>
                <w:rFonts w:ascii="Arial" w:cs="Arial" w:eastAsia="Arial" w:hAnsi="Arial"/>
                <w:b/>
                <w:bCs/>
                <w:color w:val="FFFFFF"/>
                <w:sz w:val="24"/>
                <w:szCs w:val="24"/>
              </w:rPr>
              <w:t xml:space="preserve">PART E — PIM BUILD PLAN</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E.1  Phase Overview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720"/>
        <w:gridCol w:w="3600"/>
        <w:gridCol w:w="2280"/>
      </w:tblGrid>
      <w:tr>
        <w:trPr>
          <w:tblHeader/>
        </w:trPr>
        <w:tc>
          <w:tcPr>
            <w:tcW w:type="dxa" w:w="48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28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7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Weeks</w:t>
            </w:r>
          </w:p>
        </w:tc>
        <w:tc>
          <w:tcPr>
            <w:tcW w:type="dxa" w:w="36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Deliverables</w:t>
            </w:r>
          </w:p>
        </w:tc>
        <w:tc>
          <w:tcPr>
            <w:tcW w:type="dxa" w:w="228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Data Infrastructure &amp; Sentiment Ingestion</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9 DB migrations; SentimentIngestor interface + EDGAR ingestor; economic overlay stripping; economic snapshot API</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Sentiment signals ingested; pim_enabled flag working</w:t>
            </w:r>
          </w:p>
        </w:tc>
      </w:tr>
      <w:tr>
        <w:tc>
          <w:tcPr>
            <w:tcW w:type="dxa" w:w="4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c>
          <w:tcPr>
            <w:tcW w:type="dxa" w:w="22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Fundamental Aggregator</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1-2</w:t>
            </w:r>
          </w:p>
        </w:tc>
        <w:tc>
          <w:tcPr>
            <w:tcW w:type="dxa" w:w="3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Fundamental score computation from AFS/model runs; sector percentile ranking; benchmark module integration</w:t>
            </w:r>
          </w:p>
        </w:tc>
        <w:tc>
          <w:tcPr>
            <w:tcW w:type="dxa" w:w="22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Fundamental scores computable for any entity in VA universe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Portfolio Scoring Engine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CIS computation (5 factors); portfolio construction API with constraints; Universe Manager + Portfolio Builder + Dashboard frontend</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CIS scores live; first portfolio runs producible</w:t>
            </w:r>
          </w:p>
        </w:tc>
      </w:tr>
      <w:tr>
        <w:tc>
          <w:tcPr>
            <w:tcW w:type="dxa" w:w="4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c>
          <w:tcPr>
            <w:tcW w:type="dxa" w:w="22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Markov Chain Prediction Engine</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3-4</w:t>
            </w:r>
          </w:p>
        </w:tc>
        <w:tc>
          <w:tcPr>
            <w:tcW w:type="dxa" w:w="3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81-state space; tercile discretisation; transition matrix learning; forward simulation API; Markov State Diagram visualisation</w:t>
            </w:r>
          </w:p>
        </w:tc>
        <w:tc>
          <w:tcPr>
            <w:tcW w:type="dxa" w:w="22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SPC computable; optimal horizon i determinable per regime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Backtesting &amp; Validation</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Expanding-window backtest harness; IC/ICIR/SPC computation; hypothesis testing suite; Backtest Studio + Results frontend; validation PDF export</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Full backtest producible; H1-H5 hypothesis results available</w:t>
            </w:r>
          </w:p>
        </w:tc>
      </w:tr>
      <w:tr>
        <w:tc>
          <w:tcPr>
            <w:tcW w:type="dxa" w:w="4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6</w:t>
            </w:r>
          </w:p>
        </w:tc>
        <w:tc>
          <w:tcPr>
            <w:tcW w:type="dxa" w:w="22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PE Benchmarking Engine</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c>
          <w:tcPr>
            <w:tcW w:type="dxa" w:w="3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PE assessment data model; Management Residual computation; factor attribution decomposition; PE memo via LLM; PE Assessments frontend</w:t>
            </w:r>
          </w:p>
        </w:tc>
        <w:tc>
          <w:tcPr>
            <w:tcW w:type="dxa" w:w="22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PE assessments live; IC memos generatable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Integration, Hardening &amp; Billing Gate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Board Pack integration; pim_enabled billing hook; Sentiment Monitor + Economic Context frontend pages; full test suite</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Feature flag tested; billing integration live; all tests passing</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E.2  Composite Investment Score (CIS) — Factor Design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3360"/>
        <w:gridCol w:w="2640"/>
      </w:tblGrid>
      <w:tr>
        <w:trPr>
          <w:tblHeader/>
        </w:trPr>
        <w:tc>
          <w:tcPr>
            <w:tcW w:type="dxa" w:w="21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Factor Group</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Default Weight</w:t>
            </w:r>
          </w:p>
        </w:tc>
        <w:tc>
          <w:tcPr>
            <w:tcW w:type="dxa" w:w="33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Components</w:t>
            </w:r>
          </w:p>
        </w:tc>
        <w:tc>
          <w:tcPr>
            <w:tcW w:type="dxa" w:w="264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Fundamental Quality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Profitability (ROE, ROIC, EBITDA margin), balance sheet strength (net debt/EBITDA, current ratio), cash generation quality (FCF conversion ratio)</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AFS trial balance + model runs</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Fundamental Momentum</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20%</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Revenue growth trend (3M vs 12M CAGR), margin expansion trajectory, working capital efficiency change</w:t>
            </w:r>
          </w:p>
        </w:tc>
        <w:tc>
          <w:tcPr>
            <w:tcW w:type="dxa" w:w="26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AFS YoY comparatives + model runs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Idiosyncratic Sentiment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Global-stripped sentiment score (mean over look-back window), management communication credibility index</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pim_sentiment_aggregates (global_stripped column)</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Relative Sentiment Momentum</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10%</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Change in idiosyncratic sentiment score over 1-3 month window — captures sentiment inflection points ahead of fundamental data</w:t>
            </w:r>
          </w:p>
        </w:tc>
        <w:tc>
          <w:tcPr>
            <w:tcW w:type="dxa" w:w="26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pim_sentiment_aggregates delta calculation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Sector Relative Position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Percentile rank of entity within sector peer group on key fundamental metrics</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pim_portfolio_holdings + existing benchmark module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EEF4FB" w:val="clear"/>
            <w:tcMar>
              <w:top w:type="dxa" w:w="100"/>
              <w:left w:type="dxa" w:w="160"/>
              <w:bottom w:type="dxa" w:w="100"/>
              <w:right w:type="dxa" w:w="80"/>
            </w:tcMar>
            <w:vAlign w:val="center"/>
          </w:tcPr>
          <w:p>
            <w:pPr>
              <w:jc w:val="center"/>
            </w:pPr>
            <w:r>
              <w:rPr>
                <w:rFonts w:ascii="Arial" w:cs="Arial" w:eastAsia="Arial" w:hAnsi="Arial"/>
                <w:b/>
                <w:bCs/>
                <w:color w:val="1B3A5C"/>
                <w:sz w:val="18"/>
                <w:szCs w:val="18"/>
              </w:rPr>
              <w:t xml:space="preserve">WEIGHT CONFIGURABILITY</w:t>
            </w:r>
          </w:p>
        </w:tc>
        <w:tc>
          <w:tcPr>
            <w:tcW w:type="dxa" w:w="8160"/>
            <w:tcBorders>
              <w:top w:val="nil" w:color="FFFFFF" w:sz="0"/>
              <w:left w:val="nil" w:color="FFFFFF" w:sz="0"/>
              <w:bottom w:val="nil" w:color="FFFFFF" w:sz="0"/>
              <w:right w:val="nil" w:color="FFFFFF" w:sz="0"/>
            </w:tcBorders>
            <w:shd w:fill="EEF4FB" w:val="clear"/>
            <w:tcMar>
              <w:top w:type="dxa" w:w="100"/>
              <w:left w:type="dxa" w:w="120"/>
              <w:bottom w:type="dxa" w:w="100"/>
              <w:right w:type="dxa" w:w="120"/>
            </w:tcMar>
          </w:tcPr>
          <w:p>
            <w:r>
              <w:rPr>
                <w:rFonts w:ascii="Arial" w:cs="Arial" w:eastAsia="Arial" w:hAnsi="Arial"/>
                <w:sz w:val="19"/>
                <w:szCs w:val="19"/>
              </w:rPr>
              <w:t xml:space="preserve">All factor weights are configurable per portfolio run via methodology_config_json. The defaults above represent the calibrated starting weights from the DTF-A historical calibration. Weights must sum to 100%. The DTF will empirically validate and adjust optimal weights across sectors and regimes.</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E.3  Markov Chain Engine — Design Specification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69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State Space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81 states: 3 Fundamental Quality Regimes × 3 Sentiment Regimes × 3 Macro Regimes × 3 Relative Momentum Regimes. Each dimension: Low / Neutral / High.</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State Discretisation</w:t>
            </w:r>
          </w:p>
        </w:tc>
        <w:tc>
          <w:tcPr>
            <w:tcW w:type="dxa" w:w="6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Tercile-based: bottom 33% = Low, middle 34% = Neutral, top 33% = High. Computed over rolling 2-year window of historical data to account for regime drift.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Transition Matrix</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81×81 empirical transition matrix estimated from historical data. Laplace smoothing (pseudocount = 0.5) prevents zero-probability transitions and regularises sparse states.</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Adaptive Iteration</w:t>
            </w:r>
          </w:p>
        </w:tc>
        <w:tc>
          <w:tcPr>
            <w:tcW w:type="dxa" w:w="6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Number of matrix-multiplication steps to reach stationary distribution (within ε = 0.001) is the uncertainty indicator. Fast convergence (&lt; 5 steps) = stable regime. Slow convergence (&gt; 20 steps) = high uncertainty.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Optimal Horizon (i)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Empirically determined per-regime. Typically t+1 to t+4 weeks when sentiment dominates (high SPC); t+1 to t+3 months for mixed regimes; t+3 to t+12 months when fundamentals dominate (SPC → 0).</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SPC Metric</w:t>
            </w:r>
          </w:p>
        </w:tc>
        <w:tc>
          <w:tcPr>
            <w:tcW w:type="dxa" w:w="6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Incremental R² from adding idiosyncratic sentiment to a fundamentals-only return prediction model. Reported with point estimate and F-test p-value. SPC &gt; 0.05 with p &lt; 0.05 required for sentiment to contribute to CIS weighting in any given regime.</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E.4  PE Benchmarking Engine — Key Metrics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 / Definition</w:t>
            </w:r>
          </w:p>
        </w:tc>
        <w:tc>
          <w:tcPr>
            <w:tcW w:type="dxa" w:w="4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Fundamental Percentile Rank (FPR)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Percentile of private target's fundamental score within listed peer distribution for its sector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Where does this company rank vs listed comps on pure fundamentals?</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Expected Sector Return (ESR)</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Mean return of listed companies at equivalent FPR given current Markov macro regime</w:t>
            </w:r>
          </w:p>
        </w:tc>
        <w:tc>
          <w:tcPr>
            <w:tcW w:type="dxa" w:w="4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What should a company at this quality level return under current conditions?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Management Residual (MR)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Actual/Projected Performance minus ESR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MR &gt; 0: management adding alpha. MR &lt; 0: underperformance vs structural position. MR ≈ 0: returns explained by sector/macro.</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Factor Attribution Waterfall</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Decompose return: Sector Beta + Macro Sensitivity + Fundamental Quality + Sentiment Opportunity + Management Residual</w:t>
            </w:r>
          </w:p>
        </w:tc>
        <w:tc>
          <w:tcPr>
            <w:tcW w:type="dxa" w:w="4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Full attribution from sector/macro exposure to idiosyncratic management contribution</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40"/>
              <w:left w:type="dxa" w:w="240"/>
              <w:bottom w:type="dxa" w:w="140"/>
              <w:right w:type="dxa" w:w="240"/>
            </w:tcMar>
          </w:tcPr>
          <w:p>
            <w:pPr>
              <w:jc w:val="center"/>
            </w:pPr>
            <w:r>
              <w:rPr>
                <w:rFonts w:ascii="Arial" w:cs="Arial" w:eastAsia="Arial" w:hAnsi="Arial"/>
                <w:b/>
                <w:bCs/>
                <w:color w:val="FFFFFF"/>
                <w:sz w:val="24"/>
                <w:szCs w:val="24"/>
              </w:rPr>
              <w:t xml:space="preserve">PART F — DEVELOPER TESTING &amp; CALIBRATION FRAMEWORK (DTF)</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F.1  Framework Overview</w:t>
      </w:r>
    </w:p>
    <w:p>
      <w:pPr>
        <w:spacing w:after="60" w:before="60"/>
        <w:ind/>
      </w:pPr>
      <w:r>
        <w:rPr>
          <w:rFonts w:ascii="Arial" w:cs="Arial" w:eastAsia="Arial" w:hAnsi="Arial"/>
          <w:i w:val="false"/>
          <w:iCs w:val="false"/>
          <w:color w:val="000000"/>
          <w:sz w:val="20"/>
          <w:szCs w:val="20"/>
        </w:rPr>
        <w:t xml:space="preserve">The DTF is a developer-only toolset for two activities:</w:t>
      </w:r>
    </w:p>
    <w:p>
      <w:pPr>
        <w:pStyle w:val="ListParagraph"/>
        <w:numPr>
          <w:ilvl w:val="0"/>
          <w:numId w:val="2"/>
        </w:numPr>
        <w:spacing w:after="40" w:before="40"/>
      </w:pPr>
      <w:r>
        <w:rPr>
          <w:rFonts w:ascii="Arial" w:cs="Arial" w:eastAsia="Arial" w:hAnsi="Arial"/>
          <w:sz w:val="20"/>
          <w:szCs w:val="20"/>
        </w:rPr>
        <w:t xml:space="preserve">DTF-A: Historical Parameter Calibration — establishes optimal model parameters from statistically significant listed-company historical data. One-time plus periodic activity.</w:t>
      </w:r>
    </w:p>
    <w:p>
      <w:pPr>
        <w:pStyle w:val="ListParagraph"/>
        <w:numPr>
          <w:ilvl w:val="0"/>
          <w:numId w:val="2"/>
        </w:numPr>
        <w:spacing w:after="40" w:before="40"/>
      </w:pPr>
      <w:r>
        <w:rPr>
          <w:rFonts w:ascii="Arial" w:cs="Arial" w:eastAsia="Arial" w:hAnsi="Arial"/>
          <w:sz w:val="20"/>
          <w:szCs w:val="20"/>
        </w:rPr>
        <w:t xml:space="preserve">DTF-B: Ongoing Prediction Validation — continuously tests live predictions against actual outcomes, computes accuracy metrics, and triggers automated parameter review alerts.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FFF0F0" w:val="clear"/>
            <w:tcMar>
              <w:top w:type="dxa" w:w="100"/>
              <w:left w:type="dxa" w:w="160"/>
              <w:bottom w:type="dxa" w:w="100"/>
              <w:right w:type="dxa" w:w="80"/>
            </w:tcMar>
            <w:vAlign w:val="center"/>
          </w:tcPr>
          <w:p>
            <w:pPr>
              <w:jc w:val="center"/>
            </w:pPr>
            <w:r>
              <w:rPr>
                <w:rFonts w:ascii="Arial" w:cs="Arial" w:eastAsia="Arial" w:hAnsi="Arial"/>
                <w:b/>
                <w:bCs/>
                <w:color w:val="C00000"/>
                <w:sz w:val="18"/>
                <w:szCs w:val="18"/>
              </w:rPr>
              <w:t xml:space="preserve">ACCESS RESTRICTION</w:t>
            </w:r>
          </w:p>
        </w:tc>
        <w:tc>
          <w:tcPr>
            <w:tcW w:type="dxa" w:w="8160"/>
            <w:tcBorders>
              <w:top w:val="nil" w:color="FFFFFF" w:sz="0"/>
              <w:left w:val="nil" w:color="FFFFFF" w:sz="0"/>
              <w:bottom w:val="nil" w:color="FFFFFF" w:sz="0"/>
              <w:right w:val="nil" w:color="FFFFFF" w:sz="0"/>
            </w:tcBorders>
            <w:shd w:fill="FFF0F0" w:val="clear"/>
            <w:tcMar>
              <w:top w:type="dxa" w:w="100"/>
              <w:left w:type="dxa" w:w="120"/>
              <w:bottom w:type="dxa" w:w="100"/>
              <w:right w:type="dxa" w:w="120"/>
            </w:tcMar>
          </w:tcPr>
          <w:p>
            <w:r>
              <w:rPr>
                <w:rFonts w:ascii="Arial" w:cs="Arial" w:eastAsia="Arial" w:hAnsi="Arial"/>
                <w:sz w:val="19"/>
                <w:szCs w:val="19"/>
              </w:rPr>
              <w:t xml:space="preserve">The DTF has no user-facing UI and is not exposed in any tenant API. All DTF tooling runs via CLI (dtf.py) and a restricted internal admin panel accessible only with ADMIN_API_KEY. It must never be deployed with public endpoints.</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F.2  DTF-A — Historical Parameter Calibration</w:t>
      </w:r>
    </w:p>
    <w:p>
      <w:pPr>
        <w:pStyle w:val="Heading3"/>
        <w:spacing w:after="80" w:before="200"/>
      </w:pPr>
      <w:r>
        <w:rPr>
          <w:rFonts w:ascii="Arial" w:cs="Arial" w:eastAsia="Arial" w:hAnsi="Arial"/>
          <w:b/>
          <w:bCs/>
          <w:color w:val="1B3A5C"/>
          <w:sz w:val="22"/>
          <w:szCs w:val="22"/>
        </w:rPr>
        <w:t xml:space="preserve">F.2.1  Data Requirements</w:t>
      </w:r>
    </w:p>
    <w:p>
      <w:pPr>
        <w:spacing w:after="60" w:before="60"/>
        <w:ind/>
      </w:pPr>
      <w:r>
        <w:rPr>
          <w:rFonts w:ascii="Arial" w:cs="Arial" w:eastAsia="Arial" w:hAnsi="Arial"/>
          <w:i w:val="false"/>
          <w:iCs w:val="false"/>
          <w:color w:val="000000"/>
          <w:sz w:val="20"/>
          <w:szCs w:val="20"/>
        </w:rPr>
        <w:t xml:space="preserve">A statistically significant sample requires minimum:</w:t>
      </w:r>
    </w:p>
    <w:p>
      <w:pPr>
        <w:pStyle w:val="ListParagraph"/>
        <w:numPr>
          <w:ilvl w:val="0"/>
          <w:numId w:val="2"/>
        </w:numPr>
        <w:spacing w:after="40" w:before="40"/>
      </w:pPr>
      <w:r>
        <w:rPr>
          <w:rFonts w:ascii="Arial" w:cs="Arial" w:eastAsia="Arial" w:hAnsi="Arial"/>
          <w:sz w:val="20"/>
          <w:szCs w:val="20"/>
        </w:rPr>
        <w:t xml:space="preserve">500+ companies across at least 10 sectors (diversified across market caps and geographies)</w:t>
      </w:r>
    </w:p>
    <w:p>
      <w:pPr>
        <w:pStyle w:val="ListParagraph"/>
        <w:numPr>
          <w:ilvl w:val="0"/>
          <w:numId w:val="2"/>
        </w:numPr>
        <w:spacing w:after="40" w:before="40"/>
      </w:pPr>
      <w:r>
        <w:rPr>
          <w:rFonts w:ascii="Arial" w:cs="Arial" w:eastAsia="Arial" w:hAnsi="Arial"/>
          <w:sz w:val="20"/>
          <w:szCs w:val="20"/>
        </w:rPr>
        <w:t xml:space="preserve">10 years of quarterly fundamental data per company (40 data points minimum per company)</w:t>
      </w:r>
    </w:p>
    <w:p>
      <w:pPr>
        <w:pStyle w:val="ListParagraph"/>
        <w:numPr>
          <w:ilvl w:val="0"/>
          <w:numId w:val="2"/>
        </w:numPr>
        <w:spacing w:after="40" w:before="40"/>
      </w:pPr>
      <w:r>
        <w:rPr>
          <w:rFonts w:ascii="Arial" w:cs="Arial" w:eastAsia="Arial" w:hAnsi="Arial"/>
          <w:sz w:val="20"/>
          <w:szCs w:val="20"/>
        </w:rPr>
        <w:t xml:space="preserve">5 years of sentiment signal data per company (bootstrappable from historical filings via EDGAR/SEDAR)</w:t>
      </w:r>
    </w:p>
    <w:p>
      <w:pPr>
        <w:pStyle w:val="ListParagraph"/>
        <w:numPr>
          <w:ilvl w:val="0"/>
          <w:numId w:val="2"/>
        </w:numPr>
        <w:spacing w:after="40" w:before="40"/>
      </w:pPr>
      <w:r>
        <w:rPr>
          <w:rFonts w:ascii="Arial" w:cs="Arial" w:eastAsia="Arial" w:hAnsi="Arial"/>
          <w:sz w:val="20"/>
          <w:szCs w:val="20"/>
        </w:rPr>
        <w:t xml:space="preserve">5 years of economic snapshot data per region (PMI, CPI, credit spreads — available from FRED, World Bank APIs)</w:t>
      </w:r>
    </w:p>
    <w:p>
      <w:pPr>
        <w:pStyle w:val="ListParagraph"/>
        <w:numPr>
          <w:ilvl w:val="0"/>
          <w:numId w:val="2"/>
        </w:numPr>
        <w:spacing w:after="40" w:before="40"/>
      </w:pPr>
      <w:r>
        <w:rPr>
          <w:rFonts w:ascii="Arial" w:cs="Arial" w:eastAsia="Arial" w:hAnsi="Arial"/>
          <w:sz w:val="20"/>
          <w:szCs w:val="20"/>
        </w:rPr>
        <w:t xml:space="preserve">Adjusted price/total return data for each company — Yahoo Finance API (free, suitable for calibration) or Tier 2 provider (production)</w:t>
      </w:r>
    </w:p>
    <w:p>
      <w:pPr>
        <w:spacing w:after="0" w:before="60"/>
      </w:pPr>
      <w:r>
        <w:t xml:space="preserve"/>
      </w:r>
    </w:p>
    <w:p>
      <w:pPr>
        <w:pStyle w:val="Heading3"/>
        <w:spacing w:after="80" w:before="200"/>
      </w:pPr>
      <w:r>
        <w:rPr>
          <w:rFonts w:ascii="Arial" w:cs="Arial" w:eastAsia="Arial" w:hAnsi="Arial"/>
          <w:b/>
          <w:bCs/>
          <w:color w:val="1B3A5C"/>
          <w:sz w:val="22"/>
          <w:szCs w:val="22"/>
        </w:rPr>
        <w:t xml:space="preserve">F.2.2  Calibration Pipeline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43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Process</w:t>
            </w:r>
          </w:p>
        </w:tc>
        <w:tc>
          <w:tcPr>
            <w:tcW w:type="dxa" w:w="43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 Data Load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Load historical data from pim_calibration_universe (developer-only table). Clean, normalise, and align time series across companies and periods.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Clean time-series: fundamentals, sentiment, macro, total returns by company and period</w:t>
            </w:r>
          </w:p>
        </w:tc>
      </w:tr>
      <w:tr>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 Feature Engineering</w:t>
            </w:r>
          </w:p>
        </w:tc>
        <w:tc>
          <w:tcPr>
            <w:tcW w:type="dxa" w:w="4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Compute all CIS factor components for each company × quarter × horizon combination. Discretise into tercile-based regime states for Markov encoding.</w:t>
            </w:r>
          </w:p>
        </w:tc>
        <w:tc>
          <w:tcPr>
            <w:tcW w:type="dxa" w:w="4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Feature matrix: N_companies × T_periods × N_features, plus regime state labels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 Transition Matrix Estimation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Count state transitions in historical data. Apply Laplace smoothing. Compute mixing times. Identify stable vs unstable regime clusters by dwell time and transition entropy.</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81×81 transition matrix with confidence intervals and per-state stability metrics</w:t>
            </w:r>
          </w:p>
        </w:tc>
      </w:tr>
      <w:tr>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 Factor Weight Optimisation</w:t>
            </w:r>
          </w:p>
        </w:tc>
        <w:tc>
          <w:tcPr>
            <w:tcW w:type="dxa" w:w="4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Grid search or Bayesian optimisation over factor weights (Fundamental Quality 20-50%, Momentum 10-30%, Sentiment 15-35%, Relative Momentum 5-20%, Sector 5-15%). Objective: maximise mean IC across all horizons.</w:t>
            </w:r>
          </w:p>
        </w:tc>
        <w:tc>
          <w:tcPr>
            <w:tcW w:type="dxa" w:w="4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Optimal weight vector with IC uplift vs equal-weight baseline and confidence intervals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 SPC Estimation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Run incremental R² analysis: fundamentals-only model vs fundamentals+sentiment model at each horizon (1W, 1M, 3M, 6M, 12M). Compute SPC(i) curve and confidence bands.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SPC curve: SPC(i) for i = 1 week to 12 months, with standard errors and p-values</w:t>
            </w:r>
          </w:p>
        </w:tc>
      </w:tr>
      <w:tr>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6. Hypothesis Testing</w:t>
            </w:r>
          </w:p>
        </w:tc>
        <w:tc>
          <w:tcPr>
            <w:tcW w:type="dxa" w:w="4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Test H1: Sentiment adds IC across all horizons. H2: Sentiment IC varies with horizon. H3: SPC higher in high-uncertainty macro regimes. H4: Global-stripped outperforms raw. H5: Sector-specific optimal weighting.</w:t>
            </w:r>
          </w:p>
        </w:tc>
        <w:tc>
          <w:tcPr>
            <w:tcW w:type="dxa" w:w="4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Hypothesis test results with p-values and rejection decisions at alpha=0.05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7. Parameter Commit</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Write calibrated parameters to pim_calibration_params with version, run_id, IC/ICIR validation results, and committer. Require explicit CLI confirmation: python dtf.py commit --run-id RUN_ID --confirm</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Versioned parameter set stored with full audit trail</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F.2.3  Markov Chain Iterative Calibration Methodology</w:t>
      </w:r>
    </w:p>
    <w:p>
      <w:pPr>
        <w:spacing w:after="60" w:before="60"/>
        <w:ind/>
      </w:pPr>
      <w:r>
        <w:rPr>
          <w:rFonts w:ascii="Arial" w:cs="Arial" w:eastAsia="Arial" w:hAnsi="Arial"/>
          <w:i w:val="false"/>
          <w:iCs w:val="false"/>
          <w:color w:val="000000"/>
          <w:sz w:val="20"/>
          <w:szCs w:val="20"/>
        </w:rPr>
        <w:t xml:space="preserve">The Markov calibration uses a structured iterative expanding-window approach:</w:t>
      </w:r>
    </w:p>
    <w:p>
      <w:pPr>
        <w:pStyle w:val="ListParagraph"/>
        <w:numPr>
          <w:ilvl w:val="0"/>
          <w:numId w:val="2"/>
        </w:numPr>
        <w:spacing w:after="40" w:before="40"/>
      </w:pPr>
      <w:r>
        <w:rPr>
          <w:rFonts w:ascii="Arial" w:cs="Arial" w:eastAsia="Arial" w:hAnsi="Arial"/>
          <w:sz w:val="20"/>
          <w:szCs w:val="20"/>
        </w:rPr>
        <w:t xml:space="preserve">Iteration 1 — Seed matrix: Estimate transition matrix from first 50% of historical data. Compute mixing time for all 81 states.</w:t>
      </w:r>
    </w:p>
    <w:p>
      <w:pPr>
        <w:pStyle w:val="ListParagraph"/>
        <w:numPr>
          <w:ilvl w:val="0"/>
          <w:numId w:val="2"/>
        </w:numPr>
        <w:spacing w:after="40" w:before="40"/>
      </w:pPr>
      <w:r>
        <w:rPr>
          <w:rFonts w:ascii="Arial" w:cs="Arial" w:eastAsia="Arial" w:hAnsi="Arial"/>
          <w:sz w:val="20"/>
          <w:szCs w:val="20"/>
        </w:rPr>
        <w:t xml:space="preserve">Iteration 2 — Holdout validation: Apply calibrated matrix to remaining 50%. Measure IC, ICIR, SPC on out-of-sample data.</w:t>
      </w:r>
    </w:p>
    <w:p>
      <w:pPr>
        <w:pStyle w:val="ListParagraph"/>
        <w:numPr>
          <w:ilvl w:val="0"/>
          <w:numId w:val="2"/>
        </w:numPr>
        <w:spacing w:after="40" w:before="40"/>
      </w:pPr>
      <w:r>
        <w:rPr>
          <w:rFonts w:ascii="Arial" w:cs="Arial" w:eastAsia="Arial" w:hAnsi="Arial"/>
          <w:sz w:val="20"/>
          <w:szCs w:val="20"/>
        </w:rPr>
        <w:t xml:space="preserve">Iteration 3-N — Expanding window: Re-estimate on 60% training / 40% test. Continue in 5% increments up to 80/20 split.</w:t>
      </w:r>
    </w:p>
    <w:p>
      <w:pPr>
        <w:pStyle w:val="ListParagraph"/>
        <w:numPr>
          <w:ilvl w:val="0"/>
          <w:numId w:val="2"/>
        </w:numPr>
        <w:spacing w:after="40" w:before="40"/>
      </w:pPr>
      <w:r>
        <w:rPr>
          <w:rFonts w:ascii="Arial" w:cs="Arial" w:eastAsia="Arial" w:hAnsi="Arial"/>
          <w:sz w:val="20"/>
          <w:szCs w:val="20"/>
        </w:rPr>
        <w:t xml:space="preserve">Convergence criterion: Stop when ICIR variance across windows falls below threshold (σ_ICIR &lt; 0.05). This indicates a stable transition matrix over the calibration period.</w:t>
      </w:r>
    </w:p>
    <w:p>
      <w:pPr>
        <w:pStyle w:val="ListParagraph"/>
        <w:numPr>
          <w:ilvl w:val="0"/>
          <w:numId w:val="2"/>
        </w:numPr>
        <w:spacing w:after="40" w:before="40"/>
      </w:pPr>
      <w:r>
        <w:rPr>
          <w:rFonts w:ascii="Arial" w:cs="Arial" w:eastAsia="Arial" w:hAnsi="Arial"/>
          <w:sz w:val="20"/>
          <w:szCs w:val="20"/>
        </w:rPr>
        <w:t xml:space="preserve">Regime stability check: For each of 81 states, compute average dwell time and transition entropy. States with dwell time &lt; 2 periods indicate unstable discretisation — adjust tercile boundaries and repeat.</w:t>
      </w:r>
    </w:p>
    <w:p>
      <w:pPr>
        <w:pStyle w:val="ListParagraph"/>
        <w:numPr>
          <w:ilvl w:val="0"/>
          <w:numId w:val="2"/>
        </w:numPr>
        <w:spacing w:after="40" w:before="40"/>
      </w:pPr>
      <w:r>
        <w:rPr>
          <w:rFonts w:ascii="Arial" w:cs="Arial" w:eastAsia="Arial" w:hAnsi="Arial"/>
          <w:sz w:val="20"/>
          <w:szCs w:val="20"/>
        </w:rPr>
        <w:t xml:space="preserve">Final validation: Full expanding-window backtest on calibrated parameters. Report IC, ICIR, SPC, and hit rate by quintile.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EEF4FB" w:val="clear"/>
            <w:tcMar>
              <w:top w:type="dxa" w:w="100"/>
              <w:left w:type="dxa" w:w="160"/>
              <w:bottom w:type="dxa" w:w="100"/>
              <w:right w:type="dxa" w:w="80"/>
            </w:tcMar>
            <w:vAlign w:val="center"/>
          </w:tcPr>
          <w:p>
            <w:pPr>
              <w:jc w:val="center"/>
            </w:pPr>
            <w:r>
              <w:rPr>
                <w:rFonts w:ascii="Arial" w:cs="Arial" w:eastAsia="Arial" w:hAnsi="Arial"/>
                <w:b/>
                <w:bCs/>
                <w:color w:val="1B3A5C"/>
                <w:sz w:val="18"/>
                <w:szCs w:val="18"/>
              </w:rPr>
              <w:t xml:space="preserve">ADDING NEW PARAMETERS OVER TIME</w:t>
            </w:r>
          </w:p>
        </w:tc>
        <w:tc>
          <w:tcPr>
            <w:tcW w:type="dxa" w:w="8160"/>
            <w:tcBorders>
              <w:top w:val="nil" w:color="FFFFFF" w:sz="0"/>
              <w:left w:val="nil" w:color="FFFFFF" w:sz="0"/>
              <w:bottom w:val="nil" w:color="FFFFFF" w:sz="0"/>
              <w:right w:val="nil" w:color="FFFFFF" w:sz="0"/>
            </w:tcBorders>
            <w:shd w:fill="EEF4FB" w:val="clear"/>
            <w:tcMar>
              <w:top w:type="dxa" w:w="100"/>
              <w:left w:type="dxa" w:w="120"/>
              <w:bottom w:type="dxa" w:w="100"/>
              <w:right w:type="dxa" w:w="120"/>
            </w:tcMar>
          </w:tcPr>
          <w:p>
            <w:r>
              <w:rPr>
                <w:rFonts w:ascii="Arial" w:cs="Arial" w:eastAsia="Arial" w:hAnsi="Arial"/>
                <w:sz w:val="19"/>
                <w:szCs w:val="19"/>
              </w:rPr>
              <w:t xml:space="preserve">New candidate parameters (e.g. insider trading signal, options put/call ratio, earnings revision velocity) are added to the DTF as additional feature columns. The calibration pipeline automatically tests incremental SPC contribution. Promotion criterion: new parameter improves out-of-sample ICIR by &gt; 0.05 and has p &lt; 0.05 on F-test. This is the standard process for continuous model improvement over time.</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F.3  DTF-B — Ongoing Prediction Validation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69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Prediction Logging</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Every PIM portfolio run stores predicted CIS scores and predicted returns at each horizon (1W, 1M, 3M, 6M, 12M) in pim_prediction_log. Markov mixing_time_estimate is also stored as an uncertainty flag.</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Outcome Recording</w:t>
            </w:r>
          </w:p>
        </w:tc>
        <w:tc>
          <w:tcPr>
            <w:tcW w:type="dxa" w:w="6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Weekly scheduled job fetches actual total returns from price data API. Joins against pim_prediction_log on company_id × horizon. Stores actuals and prediction errors in pim_prediction_outcomes.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IC Monitoring</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Rolling 52-week Information Coefficient (Spearman rank correlation: predicted CIS rank vs actual return rank) computed weekly per sector and per horizon. Structural IC decline (5-week rolling IC &lt; 0) triggers model review alert.</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ICIR Monitoring</w:t>
            </w:r>
          </w:p>
        </w:tc>
        <w:tc>
          <w:tcPr>
            <w:tcW w:type="dxa" w:w="6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Rolling IC Information Ratio (mean IC / std dev of IC) computed monthly. ICIR &lt; 0.3 for 3 consecutive months triggers alert: 'Model IC is inconsistent — calibration review recommended.'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SPC Drift Detection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Monthly SPC re-estimation on last 12 months of outcomes. If SPC drops by &gt; 0.03 vs calibrated baseline, alert: 'Sentiment signal predictive power has declined — check data source quality and consider recalibration.'</w:t>
            </w:r>
          </w:p>
        </w:tc>
      </w:tr>
      <w:tr>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Parameter Update Cadence</w:t>
            </w:r>
          </w:p>
        </w:tc>
        <w:tc>
          <w:tcPr>
            <w:tcW w:type="dxa" w:w="6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Quarterly: Full DTF-A recalibration with last 3 years of data (rolling window). Monthly: Incremental update of transition matrix probabilities only. Ad-hoc: Triggered by DTF-B alerts via alert_dispatcher.py.</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F.4  DTF File Structure &amp; Developer Tables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1E1E" w:val="clear"/>
            <w:tcMar>
              <w:top w:type="dxa" w:w="120"/>
              <w:left w:type="dxa" w:w="200"/>
              <w:bottom w:type="dxa" w:w="120"/>
              <w:right w:type="dxa" w:w="200"/>
            </w:tcMar>
          </w:tcPr>
          <w:p>
            <w:r>
              <w:rPr>
                <w:rFonts w:ascii="Courier New" w:cs="Courier New" w:eastAsia="Courier New" w:hAnsi="Courier New"/>
                <w:color w:val="4FC1FF"/>
                <w:sz w:val="18"/>
                <w:szCs w:val="18"/>
              </w:rPr>
              <w:t xml:space="preserve">tools/dtf/</w:t>
            </w:r>
          </w:p>
          <w:p>
            <w:r>
              <w:rPr>
                <w:rFonts w:ascii="Courier New" w:cs="Courier New" w:eastAsia="Courier New" w:hAnsi="Courier New"/>
                <w:color w:val="4FC1FF"/>
                <w:sz w:val="18"/>
                <w:szCs w:val="18"/>
              </w:rPr>
              <w:t xml:space="preserve">├── calibration/</w:t>
            </w:r>
          </w:p>
          <w:p>
            <w:r>
              <w:rPr>
                <w:rFonts w:ascii="Courier New" w:cs="Courier New" w:eastAsia="Courier New" w:hAnsi="Courier New"/>
                <w:color w:val="6A9955"/>
                <w:sz w:val="18"/>
                <w:szCs w:val="18"/>
              </w:rPr>
              <w:t xml:space="preserve">│   ├── data_loader.py          # Load historical data from calibration universe</w:t>
            </w:r>
          </w:p>
          <w:p>
            <w:r>
              <w:rPr>
                <w:rFonts w:ascii="Courier New" w:cs="Courier New" w:eastAsia="Courier New" w:hAnsi="Courier New"/>
                <w:color w:val="6A9955"/>
                <w:sz w:val="18"/>
                <w:szCs w:val="18"/>
              </w:rPr>
              <w:t xml:space="preserve">│   ├── feature_engineer.py     # Compute all CIS factor components + regime discretisation</w:t>
            </w:r>
          </w:p>
          <w:p>
            <w:r>
              <w:rPr>
                <w:rFonts w:ascii="Courier New" w:cs="Courier New" w:eastAsia="Courier New" w:hAnsi="Courier New"/>
                <w:color w:val="6A9955"/>
                <w:sz w:val="18"/>
                <w:szCs w:val="18"/>
              </w:rPr>
              <w:t xml:space="preserve">│   ├── markov_estimator.py     # 81x81 transition matrix + Laplace smoothing + mixing times</w:t>
            </w:r>
          </w:p>
          <w:p>
            <w:r>
              <w:rPr>
                <w:rFonts w:ascii="Courier New" w:cs="Courier New" w:eastAsia="Courier New" w:hAnsi="Courier New"/>
                <w:color w:val="6A9955"/>
                <w:sz w:val="18"/>
                <w:szCs w:val="18"/>
              </w:rPr>
              <w:t xml:space="preserve">│   ├── weight_optimizer.py     # Grid search / Bayesian optimisation over factor weights</w:t>
            </w:r>
          </w:p>
          <w:p>
            <w:r>
              <w:rPr>
                <w:rFonts w:ascii="Courier New" w:cs="Courier New" w:eastAsia="Courier New" w:hAnsi="Courier New"/>
                <w:color w:val="6A9955"/>
                <w:sz w:val="18"/>
                <w:szCs w:val="18"/>
              </w:rPr>
              <w:t xml:space="preserve">│   ├── spc_analyzer.py         # Incremental R² / SPC computation by horizon (1W to 12M)</w:t>
            </w:r>
          </w:p>
          <w:p>
            <w:r>
              <w:rPr>
                <w:rFonts w:ascii="Courier New" w:cs="Courier New" w:eastAsia="Courier New" w:hAnsi="Courier New"/>
                <w:color w:val="6A9955"/>
                <w:sz w:val="18"/>
                <w:szCs w:val="18"/>
              </w:rPr>
              <w:t xml:space="preserve">│   ├── hypothesis_tester.py    # H1-H5 statistical tests with F-test p-values</w:t>
            </w:r>
          </w:p>
          <w:p>
            <w:r>
              <w:rPr>
                <w:rFonts w:ascii="Courier New" w:cs="Courier New" w:eastAsia="Courier New" w:hAnsi="Courier New"/>
                <w:color w:val="6A9955"/>
                <w:sz w:val="18"/>
                <w:szCs w:val="18"/>
              </w:rPr>
              <w:t xml:space="preserve">│   └── param_committer.py      # Write versioned params to pim_calibration_params with audit trail</w:t>
            </w:r>
          </w:p>
          <w:p>
            <w:r>
              <w:rPr>
                <w:rFonts w:ascii="Courier New" w:cs="Courier New" w:eastAsia="Courier New" w:hAnsi="Courier New"/>
                <w:color w:val="4FC1FF"/>
                <w:sz w:val="18"/>
                <w:szCs w:val="18"/>
              </w:rPr>
              <w:t xml:space="preserve">├── validation/</w:t>
            </w:r>
          </w:p>
          <w:p>
            <w:r>
              <w:rPr>
                <w:rFonts w:ascii="Courier New" w:cs="Courier New" w:eastAsia="Courier New" w:hAnsi="Courier New"/>
                <w:color w:val="6A9955"/>
                <w:sz w:val="18"/>
                <w:szCs w:val="18"/>
              </w:rPr>
              <w:t xml:space="preserve">│   ├── outcome_recorder.py     # Fetch actual returns; join with pim_prediction_log</w:t>
            </w:r>
          </w:p>
          <w:p>
            <w:r>
              <w:rPr>
                <w:rFonts w:ascii="Courier New" w:cs="Courier New" w:eastAsia="Courier New" w:hAnsi="Courier New"/>
                <w:color w:val="6A9955"/>
                <w:sz w:val="18"/>
                <w:szCs w:val="18"/>
              </w:rPr>
              <w:t xml:space="preserve">│   ├── ic_monitor.py           # Rolling IC/ICIR computation + structural decline alerts</w:t>
            </w:r>
          </w:p>
          <w:p>
            <w:r>
              <w:rPr>
                <w:rFonts w:ascii="Courier New" w:cs="Courier New" w:eastAsia="Courier New" w:hAnsi="Courier New"/>
                <w:color w:val="6A9955"/>
                <w:sz w:val="18"/>
                <w:szCs w:val="18"/>
              </w:rPr>
              <w:t xml:space="preserve">│   ├── spc_drift_detector.py   # Monthly SPC re-estimation vs calibrated baseline</w:t>
            </w:r>
          </w:p>
          <w:p>
            <w:r>
              <w:rPr>
                <w:rFonts w:ascii="Courier New" w:cs="Courier New" w:eastAsia="Courier New" w:hAnsi="Courier New"/>
                <w:color w:val="6A9955"/>
                <w:sz w:val="18"/>
                <w:szCs w:val="18"/>
              </w:rPr>
              <w:t xml:space="preserve">│   └── alert_dispatcher.py     # Send alerts via Slack webhook + email</w:t>
            </w:r>
          </w:p>
          <w:p>
            <w:r>
              <w:rPr>
                <w:rFonts w:ascii="Courier New" w:cs="Courier New" w:eastAsia="Courier New" w:hAnsi="Courier New"/>
                <w:color w:val="4FC1FF"/>
                <w:sz w:val="18"/>
                <w:szCs w:val="18"/>
              </w:rPr>
              <w:t xml:space="preserve">├── datasets/</w:t>
            </w:r>
          </w:p>
          <w:p>
            <w:r>
              <w:rPr>
                <w:rFonts w:ascii="Courier New" w:cs="Courier New" w:eastAsia="Courier New" w:hAnsi="Courier New"/>
                <w:color w:val="6A9955"/>
                <w:sz w:val="18"/>
                <w:szCs w:val="18"/>
              </w:rPr>
              <w:t xml:space="preserve">│   ├── fetch_edgar_sentiment.py # Bootstrap historical sentiment from SEC EDGAR filings</w:t>
            </w:r>
          </w:p>
          <w:p>
            <w:r>
              <w:rPr>
                <w:rFonts w:ascii="Courier New" w:cs="Courier New" w:eastAsia="Courier New" w:hAnsi="Courier New"/>
                <w:color w:val="6A9955"/>
                <w:sz w:val="18"/>
                <w:szCs w:val="18"/>
              </w:rPr>
              <w:t xml:space="preserve">│   ├── fetch_macro_snapshots.py # Pull PMI/CPI/rates from FRED API (free)</w:t>
            </w:r>
          </w:p>
          <w:p>
            <w:r>
              <w:rPr>
                <w:rFonts w:ascii="Courier New" w:cs="Courier New" w:eastAsia="Courier New" w:hAnsi="Courier New"/>
                <w:color w:val="6A9955"/>
                <w:sz w:val="18"/>
                <w:szCs w:val="18"/>
              </w:rPr>
              <w:t xml:space="preserve">│   └── fetch_returns.py         # Pull adjusted total returns from Yahoo Finance / Tier 2 provider</w:t>
            </w:r>
          </w:p>
          <w:p>
            <w:r>
              <w:rPr>
                <w:rFonts w:ascii="Courier New" w:cs="Courier New" w:eastAsia="Courier New" w:hAnsi="Courier New"/>
                <w:color w:val="4FC1FF"/>
                <w:sz w:val="18"/>
                <w:szCs w:val="18"/>
              </w:rPr>
              <w:t xml:space="preserve">├── notebooks/                  # Jupyter notebooks for exploratory analysis (NOT deployed)</w:t>
            </w:r>
          </w:p>
          <w:p>
            <w:r>
              <w:rPr>
                <w:rFonts w:ascii="Courier New" w:cs="Courier New" w:eastAsia="Courier New" w:hAnsi="Courier New"/>
                <w:color w:val="DCDCAA"/>
                <w:sz w:val="18"/>
                <w:szCs w:val="18"/>
              </w:rPr>
              <w:t xml:space="preserve">├── dtf.py                      # CLI: python dtf.py calibrate | validate | commit --run-id ID --confirm</w:t>
            </w:r>
          </w:p>
          <w:p>
            <w:r>
              <w:rPr>
                <w:rFonts w:ascii="Courier New" w:cs="Courier New" w:eastAsia="Courier New" w:hAnsi="Courier New"/>
                <w:color w:val="6A9955"/>
                <w:sz w:val="18"/>
                <w:szCs w:val="18"/>
              </w:rPr>
              <w:t xml:space="preserve">└── README_DTF.md               # Developer documentation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080"/>
        <w:gridCol w:w="5520"/>
      </w:tblGrid>
      <w:tr>
        <w:trPr>
          <w:tblHeader/>
        </w:trPr>
        <w:tc>
          <w:tcPr>
            <w:tcW w:type="dxa" w:w="2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Developer-Only Table</w:t>
            </w:r>
          </w:p>
        </w:tc>
        <w:tc>
          <w:tcPr>
            <w:tcW w:type="dxa" w:w="108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Access</w:t>
            </w:r>
          </w:p>
        </w:tc>
        <w:tc>
          <w:tcPr>
            <w:tcW w:type="dxa" w:w="55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pim_calibration_universe</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ADMIN only</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500+ company reference dataset with historical fundamentals, sentiment, macro, and returns. Never exposed to tenants.</w:t>
            </w:r>
          </w:p>
        </w:tc>
      </w:tr>
      <w:tr>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pim_calibration_params</w:t>
            </w:r>
          </w:p>
        </w:tc>
        <w:tc>
          <w:tcPr>
            <w:tcW w:type="dxa" w:w="10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ADMIN only</w:t>
            </w:r>
          </w:p>
        </w:tc>
        <w:tc>
          <w:tcPr>
            <w:tcW w:type="dxa" w:w="55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Versioned parameter sets: factor weights, transition matrix, SPC curves, IC/ICIR validation results. Full audit trail.</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pim_prediction_log</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ADMIN only</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Every live portfolio run prediction stored with predicted score, return estimate, and Markov horizon at each forecasting horizon.</w:t>
            </w:r>
          </w:p>
        </w:tc>
      </w:tr>
      <w:tr>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pim_prediction_outcomes</w:t>
            </w:r>
          </w:p>
        </w:tc>
        <w:tc>
          <w:tcPr>
            <w:tcW w:type="dxa" w:w="10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ADMIN only</w:t>
            </w:r>
          </w:p>
        </w:tc>
        <w:tc>
          <w:tcPr>
            <w:tcW w:type="dxa" w:w="55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Actual returns joined against pim_prediction_log. Primary source for ongoing IC/ICIR/SPC monitoring and DTF-B alerts.</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F.5  Statistical Standards — Non-Negotiable</w:t>
      </w:r>
    </w:p>
    <w:p>
      <w:pPr>
        <w:pStyle w:val="ListParagraph"/>
        <w:numPr>
          <w:ilvl w:val="0"/>
          <w:numId w:val="2"/>
        </w:numPr>
        <w:spacing w:after="40" w:before="40"/>
      </w:pPr>
      <w:r>
        <w:rPr>
          <w:rFonts w:ascii="Arial" w:cs="Arial" w:eastAsia="Arial" w:hAnsi="Arial"/>
          <w:sz w:val="20"/>
          <w:szCs w:val="20"/>
        </w:rPr>
        <w:t xml:space="preserve">All anomaly flags backed by deterministic statistical tests before LLM interpretation (REM-01 enforces this)</w:t>
      </w:r>
    </w:p>
    <w:p>
      <w:pPr>
        <w:pStyle w:val="ListParagraph"/>
        <w:numPr>
          <w:ilvl w:val="0"/>
          <w:numId w:val="2"/>
        </w:numPr>
        <w:spacing w:after="40" w:before="40"/>
      </w:pPr>
      <w:r>
        <w:rPr>
          <w:rFonts w:ascii="Arial" w:cs="Arial" w:eastAsia="Arial" w:hAnsi="Arial"/>
          <w:sz w:val="20"/>
          <w:szCs w:val="20"/>
        </w:rPr>
        <w:t xml:space="preserve">All prediction confidence intervals reported with standard errors, not point estimates only</w:t>
      </w:r>
    </w:p>
    <w:p>
      <w:pPr>
        <w:pStyle w:val="ListParagraph"/>
        <w:numPr>
          <w:ilvl w:val="0"/>
          <w:numId w:val="2"/>
        </w:numPr>
        <w:spacing w:after="40" w:before="40"/>
      </w:pPr>
      <w:r>
        <w:rPr>
          <w:rFonts w:ascii="Arial" w:cs="Arial" w:eastAsia="Arial" w:hAnsi="Arial"/>
          <w:sz w:val="20"/>
          <w:szCs w:val="20"/>
        </w:rPr>
        <w:t xml:space="preserve">Markov transition matrix estimated with Laplace regularisation; uncertainty propagated into prediction intervals as mixing_time_estimate</w:t>
      </w:r>
    </w:p>
    <w:p>
      <w:pPr>
        <w:pStyle w:val="ListParagraph"/>
        <w:numPr>
          <w:ilvl w:val="0"/>
          <w:numId w:val="2"/>
        </w:numPr>
        <w:spacing w:after="40" w:before="40"/>
      </w:pPr>
      <w:r>
        <w:rPr>
          <w:rFonts w:ascii="Arial" w:cs="Arial" w:eastAsia="Arial" w:hAnsi="Arial"/>
          <w:sz w:val="20"/>
          <w:szCs w:val="20"/>
        </w:rPr>
        <w:t xml:space="preserve">SPC reports point estimate and F-test p-value. SPC &gt; 0.05 with p &lt; 0.05 required for sentiment to contribute to CIS weighting in any given regime</w:t>
      </w:r>
    </w:p>
    <w:p>
      <w:pPr>
        <w:pStyle w:val="ListParagraph"/>
        <w:numPr>
          <w:ilvl w:val="0"/>
          <w:numId w:val="2"/>
        </w:numPr>
        <w:spacing w:after="40" w:before="40"/>
      </w:pPr>
      <w:r>
        <w:rPr>
          <w:rFonts w:ascii="Arial" w:cs="Arial" w:eastAsia="Arial" w:hAnsi="Arial"/>
          <w:sz w:val="20"/>
          <w:szCs w:val="20"/>
        </w:rPr>
        <w:t xml:space="preserve">Backtest results include explicit transaction cost assumptions (default: 25bps round-trip). All metrics reported net-of-cost</w:t>
      </w:r>
    </w:p>
    <w:p>
      <w:pPr>
        <w:pStyle w:val="ListParagraph"/>
        <w:numPr>
          <w:ilvl w:val="0"/>
          <w:numId w:val="2"/>
        </w:numPr>
        <w:spacing w:after="40" w:before="40"/>
      </w:pPr>
      <w:r>
        <w:rPr>
          <w:rFonts w:ascii="Arial" w:cs="Arial" w:eastAsia="Arial" w:hAnsi="Arial"/>
          <w:sz w:val="20"/>
          <w:szCs w:val="20"/>
        </w:rPr>
        <w:t xml:space="preserve">Required disclosures on all PIM output documents: (a) past model performance does not guarantee future accuracy; (b) sentiment signals from AI models may contain undetectable biases; (c) Management Residual estimates carry significant uncertainty for data-sparse companies</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40"/>
              <w:left w:type="dxa" w:w="240"/>
              <w:bottom w:type="dxa" w:w="140"/>
              <w:right w:type="dxa" w:w="240"/>
            </w:tcMar>
          </w:tcPr>
          <w:p>
            <w:pPr>
              <w:jc w:val="center"/>
            </w:pPr>
            <w:r>
              <w:rPr>
                <w:rFonts w:ascii="Arial" w:cs="Arial" w:eastAsia="Arial" w:hAnsi="Arial"/>
                <w:b/>
                <w:bCs/>
                <w:color w:val="FFFFFF"/>
                <w:sz w:val="24"/>
                <w:szCs w:val="24"/>
              </w:rPr>
              <w:t xml:space="preserve">PART G — MASTER BACKLOG &amp; SPRINT PLAN</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G.1  Sprint Overview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40"/>
        <w:gridCol w:w="2760"/>
        <w:gridCol w:w="1080"/>
        <w:gridCol w:w="2760"/>
      </w:tblGrid>
      <w:tr>
        <w:trPr>
          <w:tblHeader/>
        </w:trPr>
        <w:tc>
          <w:tcPr>
            <w:tcW w:type="dxa" w:w="7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204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2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Items</w:t>
            </w:r>
          </w:p>
        </w:tc>
        <w:tc>
          <w:tcPr>
            <w:tcW w:type="dxa" w:w="108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Duration</w:t>
            </w:r>
          </w:p>
        </w:tc>
        <w:tc>
          <w:tcPr>
            <w:tcW w:type="dxa" w:w="27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Critical platform remediation (MUST complete before PIM)</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REM-01 through REM-07</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 weeks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All 7 items merged; critical DCF and anomaly detection fixes live</w:t>
            </w:r>
          </w:p>
        </w:tc>
      </w:tr>
      <w:tr>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c>
          <w:tcPr>
            <w:tcW w:type="dxa" w:w="20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High-priority remediation + DTF data preparation</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REM-08 through REM-11 + DTF-01 through DTF-05</w:t>
            </w:r>
          </w:p>
        </w:tc>
        <w:tc>
          <w:tcPr>
            <w:tcW w:type="dxa" w:w="10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2-3 weeks</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MC parallelised; NOL working; EDGAR/FRED/returns data loading</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Medium remediation + PIM Phases 1-2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REM-12 through REM-18 + PIM-P1 + PIM-P2</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 weeks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 sentiment ingestion live; fundamental aggregator tested</w:t>
            </w:r>
          </w:p>
        </w:tc>
      </w:tr>
      <w:tr>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c>
          <w:tcPr>
            <w:tcW w:type="dxa" w:w="20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 Phases 3-4 + remaining remediation + DTF calibration</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PIM-P3 + PIM-P4 + REM-19 through REM-23 + DTF-06 through DTF-11</w:t>
            </w:r>
          </w:p>
        </w:tc>
        <w:tc>
          <w:tcPr>
            <w:tcW w:type="dxa" w:w="10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 weeks</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Portfolio scoring and Markov engine live; first DTF-A calibration run</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 Phases 5-6 + DTF-B validation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PIM-P5 + PIM-P6 + DTF-12 through DTF-14</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3-4 weeks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Backtest studio live; PE benchmarking live; IC monitoring running</w:t>
            </w:r>
          </w:p>
        </w:tc>
      </w:tr>
      <w:tr>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6</w:t>
            </w:r>
          </w:p>
        </w:tc>
        <w:tc>
          <w:tcPr>
            <w:tcW w:type="dxa" w:w="20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 Phase 7 + billing gate + full QA</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PIM-P7 + billing hook + E2E tests</w:t>
            </w:r>
          </w:p>
        </w:tc>
        <w:tc>
          <w:tcPr>
            <w:tcW w:type="dxa" w:w="108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 weeks</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Feature flag tested; billing integration complete; all tests passing</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G.2  Full Backlog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1020"/>
        <w:gridCol w:w="4020"/>
        <w:gridCol w:w="720"/>
        <w:gridCol w:w="720"/>
      </w:tblGrid>
      <w:tr>
        <w:trPr>
          <w:tblHeader/>
        </w:trPr>
        <w:tc>
          <w:tcPr>
            <w:tcW w:type="dxa" w:w="3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9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0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40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Item</w:t>
            </w:r>
          </w:p>
        </w:tc>
        <w:tc>
          <w:tcPr>
            <w:tcW w:type="dxa" w:w="7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c>
          <w:tcPr>
            <w:tcW w:type="dxa" w:w="7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REM-01</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Statistical anomaly detection: Z-score + IQR pre-processing before LLM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REM-02</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JWKS cache: asyncio.Lock + async httpx.AsyncClient</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REM-03</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Redis async migration + lifespan init + WARNING logging</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REM-04</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DCF exit multiple fix: require ebitda_terminal; assertion</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REM-05</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DCF mid-year convention: (t+0.5)/12 + terminal value adjustment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6</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REM-06</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DCF equity bridge: net_debt, minority_interest, equity_value</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REM-07</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Frontend RunStatus enum + align succeeded check</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XS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8</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REM-08</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Monte Carlo ProcessPoolExecutor parallelisation</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REM-09</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Tax loss carryforward (NOL) in multi-year IS model</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10</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REM-10</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IAS 21 multi-rate FX: average for IS, closing for BS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REM-11</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Decompose generate_statements() into 5 focused functions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12</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REM-12</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Split budgets.py: crud / variance / actuals / llm modules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REM-13</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Extract AFS orchestration to services/afs/ layer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14</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REM-14</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Fix N+1 budget dashboard: batch with WHERE id = ANY($1)</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REM-15</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Add ALLOWED_SORT_COLUMNS SQL allowlists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16</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REM-16</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Replace bare except: pass with WARNING logging (6 files)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REM-17</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Define IncomeStatementRow / BalanceSheetRow / CashFlowRow TS types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18</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REM-18</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Add parameter_path allowlist to sensitivity analysis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REM-19</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Frontend smoke tests: 6 priority pages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20</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REM-20</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Wire board pack email to SendGrid / SES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REM-21</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DB-backed LLM policy + admin PATCH endpoint + 60s TTL</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22</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REM-22</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LLM latency logging per task_label + admin stats endpoint</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REM-23</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Remediation</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Update CONTEXT.md (Rounds 23-25 + PIM module)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XS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24</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DTF-01</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 file structure + CLI entry point (dtf.py calibrate/validate/commit)</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DTF-02</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EDGAR historical filings ingestion for sentiment bootstrap</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26</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DTF-03</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FRED API macro snapshots (PMI, CPI, credit spreads)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DTF-04</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Yahoo Finance adjusted total returns fetch</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28</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DTF-05</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DB migrations: 4 developer-only DTF tables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DTF-06</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Feature engineer pipeline (CIS factor computation + discretisation)</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30</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DTF-07</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Markov transition matrix estimator + Laplace smoothing</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DTF-08</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Factor weight optimiser (grid search + Bayesian option)</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32</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DTF-09</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SPC analyser: incremental R² by horizon (1W to 12M)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DTF-10</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Hypothesis test suite H1-H5 with F-test p-values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34</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DTF-11</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Parameter committer with versioning and audit trail</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DTF-12</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Outcome recorder (fetch actual returns; join prediction_log)</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36</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DTF-13</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Rolling IC/ICIR monitor + structural decline alert dispatcher</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DTF-14</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DTF</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Monthly SPC drift detector vs calibrated baseline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38</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PIM-P1a</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DB migrations: 9 PIM tenant-facing tables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PIM-P1b</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SentimentIngestor base class + EDGAR Tier 1 ingestor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40</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PIM-P1c</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Economic overlay stripping (two-stage regression)</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PIM-P1d</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Sentiment aggregation API + pim_enabled feature flag</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42</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PIM-P2a</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Fundamental score computation from AFS/model runs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PIM-P2b</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Sector percentile ranking engine + benchmark integration</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44</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PIM-P3a</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CIS computation engine (5-factor weighted, configurable)</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PIM-P3b</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Portfolio construction API with constraint engine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46</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PIM-P3c</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Frontend: Universe Manager + Portfolio Builder + Dashboard</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PIM-P4a</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81-state space definition + tercile discretisation</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48</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PIM-P4b</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Transition matrix learning + forward simulation API</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PIM-P4c</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Frontend: Markov State Diagram visualisation</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50</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PIM-P5a</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Expanding-window backtest harness (no look-ahead bias)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PIM-P5b</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IC / ICIR / SPC computation engine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52</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PIM-P5c</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Frontend: Backtest Studio + Results pages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PIM-P5d</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Backtest validation report PDF export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54</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PIM-P6a</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PE assessment data model + Management Residual computation</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PIM-P6b</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PE factor attribution decomposition (5-component waterfall)</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56</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PIM-P6c</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PE IC memo generation (pim_pe_memo_full task label)</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PIM-P6d</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Frontend: PE Assessments pages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58</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PIM-P7a</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Board Pack integration (PIM portfolio and PE sections)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6</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PIM-P7b</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Billing hook: check_pim_access() + addon gate wiring</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6</w:t>
            </w:r>
          </w:p>
        </w:tc>
      </w:tr>
      <w:tr>
        <w:tc>
          <w:tcPr>
            <w:tcW w:type="dxa" w:w="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60</w:t>
            </w:r>
          </w:p>
        </w:tc>
        <w:tc>
          <w:tcPr>
            <w:tcW w:type="dxa" w:w="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PIM-P7c</w:t>
            </w:r>
          </w:p>
        </w:tc>
        <w:tc>
          <w:tcPr>
            <w:tcW w:type="dxa" w:w="1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Frontend: Sentiment Monitor + Economic Context pages</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M</w:t>
            </w:r>
          </w:p>
        </w:tc>
        <w:tc>
          <w:tcPr>
            <w:tcW w:type="dxa" w:w="7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6</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61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PIM-P7d</w:t>
            </w:r>
          </w:p>
        </w:tc>
        <w:tc>
          <w:tcPr>
            <w:tcW w:type="dxa" w:w="1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PIM</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Full PIM test suite (unit + integration + billing gate)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6</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H.1  Critical Path &amp; Key Dependencies</w:t>
      </w:r>
    </w:p>
    <w:p>
      <w:pPr>
        <w:pStyle w:val="ListParagraph"/>
        <w:numPr>
          <w:ilvl w:val="0"/>
          <w:numId w:val="2"/>
        </w:numPr>
        <w:spacing w:after="40" w:before="40"/>
      </w:pPr>
      <w:r>
        <w:rPr>
          <w:rFonts w:ascii="Arial" w:cs="Arial" w:eastAsia="Arial" w:hAnsi="Arial"/>
          <w:sz w:val="20"/>
          <w:szCs w:val="20"/>
        </w:rPr>
        <w:t xml:space="preserve">Sprint 1 gate: All 7 platform remediation blockers merged before any PIM code is written</w:t>
      </w:r>
    </w:p>
    <w:p>
      <w:pPr>
        <w:pStyle w:val="ListParagraph"/>
        <w:numPr>
          <w:ilvl w:val="0"/>
          <w:numId w:val="2"/>
        </w:numPr>
        <w:spacing w:after="40" w:before="40"/>
      </w:pPr>
      <w:r>
        <w:rPr>
          <w:rFonts w:ascii="Arial" w:cs="Arial" w:eastAsia="Arial" w:hAnsi="Arial"/>
          <w:sz w:val="20"/>
          <w:szCs w:val="20"/>
        </w:rPr>
        <w:t xml:space="preserve">DTF-A calibration (DTF-01 through DTF-11) must complete before PIM Phase 4 Markov engine can use calibrated parameters</w:t>
      </w:r>
    </w:p>
    <w:p>
      <w:pPr>
        <w:pStyle w:val="ListParagraph"/>
        <w:numPr>
          <w:ilvl w:val="0"/>
          <w:numId w:val="2"/>
        </w:numPr>
        <w:spacing w:after="40" w:before="40"/>
      </w:pPr>
      <w:r>
        <w:rPr>
          <w:rFonts w:ascii="Arial" w:cs="Arial" w:eastAsia="Arial" w:hAnsi="Arial"/>
          <w:sz w:val="20"/>
          <w:szCs w:val="20"/>
        </w:rPr>
        <w:t xml:space="preserve">PIM Phases 1-3 can run in parallel with DTF data preparation to compress overall timeline</w:t>
      </w:r>
    </w:p>
    <w:p>
      <w:pPr>
        <w:pStyle w:val="ListParagraph"/>
        <w:numPr>
          <w:ilvl w:val="0"/>
          <w:numId w:val="2"/>
        </w:numPr>
        <w:spacing w:after="40" w:before="40"/>
      </w:pPr>
      <w:r>
        <w:rPr>
          <w:rFonts w:ascii="Arial" w:cs="Arial" w:eastAsia="Arial" w:hAnsi="Arial"/>
          <w:sz w:val="20"/>
          <w:szCs w:val="20"/>
        </w:rPr>
        <w:t xml:space="preserve">Tier 2 data provider procurement must begin during Sprint 2-3 — 2-4 week contract and API provisioning lead time</w:t>
      </w:r>
    </w:p>
    <w:p>
      <w:pPr>
        <w:pStyle w:val="ListParagraph"/>
        <w:numPr>
          <w:ilvl w:val="0"/>
          <w:numId w:val="2"/>
        </w:numPr>
        <w:spacing w:after="40" w:before="40"/>
      </w:pPr>
      <w:r>
        <w:rPr>
          <w:rFonts w:ascii="Arial" w:cs="Arial" w:eastAsia="Arial" w:hAnsi="Arial"/>
          <w:sz w:val="20"/>
          <w:szCs w:val="20"/>
        </w:rPr>
        <w:t xml:space="preserve">Billing gate (PIM-P7b) is the final item — enables commercial deployment of PIM as add-on product</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H.2  External Data Access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320"/>
        <w:gridCol w:w="4440"/>
      </w:tblGrid>
      <w:tr>
        <w:trPr>
          <w:tblHeader/>
        </w:trPr>
        <w:tc>
          <w:tcPr>
            <w:tcW w:type="dxa" w:w="21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144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3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Lead Time</w:t>
            </w:r>
          </w:p>
        </w:tc>
        <w:tc>
          <w:tcPr>
            <w:tcW w:type="dxa" w:w="444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 Required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SEC EDGAR Full-Text API</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Free — available immediately</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4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None — start DTF dataset bootstrap immediately</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FRED API (macro data)</w:t>
            </w:r>
          </w:p>
        </w:tc>
        <w:tc>
          <w:tcPr>
            <w:tcW w:type="dxa" w:w="14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Free — API key required</w:t>
            </w:r>
          </w:p>
        </w:tc>
        <w:tc>
          <w:tcPr>
            <w:tcW w:type="dxa" w:w="1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&lt; 1 day</w:t>
            </w:r>
          </w:p>
        </w:tc>
        <w:tc>
          <w:tcPr>
            <w:tcW w:type="dxa" w:w="44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Register at fred.stlouisfed.org for API key</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Yahoo Finance (yfinance)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Free unofficial API</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4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pip install yfinance — use for calibration only, not production SLA</w:t>
            </w:r>
          </w:p>
        </w:tc>
      </w:tr>
      <w:tr>
        <w:tc>
          <w:tcPr>
            <w:tcW w:type="dxa" w:w="2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AlphaSense or Intrinio</w:t>
            </w:r>
          </w:p>
        </w:tc>
        <w:tc>
          <w:tcPr>
            <w:tcW w:type="dxa" w:w="14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Commercial — requires contract</w:t>
            </w:r>
          </w:p>
        </w:tc>
        <w:tc>
          <w:tcPr>
            <w:tcW w:type="dxa" w:w="1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2-4 weeks</w:t>
            </w:r>
          </w:p>
        </w:tc>
        <w:tc>
          <w:tcPr>
            <w:tcW w:type="dxa" w:w="444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sz w:val="18"/>
                <w:szCs w:val="18"/>
              </w:rPr>
              <w:t xml:space="preserve">Initiate procurement during Sprint 2 to avoid blocking Phase 3</w:t>
            </w:r>
          </w:p>
        </w:tc>
      </w:tr>
    </w:tbl>
    <w:p>
      <w:pPr>
        <w:spacing w:after="0" w:before="60"/>
      </w:pPr>
      <w:r>
        <w:t xml:space="preserve"/>
      </w:r>
    </w:p>
    <w:p>
      <w:pPr>
        <w:pStyle w:val="Heading2"/>
        <w:pBdr>
          <w:bottom w:val="single" w:color="2E75B6" w:sz="6" w:space="1"/>
        </w:pBdr>
        <w:spacing w:after="120" w:before="280"/>
      </w:pPr>
      <w:r>
        <w:rPr>
          <w:rFonts w:ascii="Arial" w:cs="Arial" w:eastAsia="Arial" w:hAnsi="Arial"/>
          <w:b/>
          <w:bCs/>
          <w:color w:val="1B3A5C"/>
          <w:sz w:val="26"/>
          <w:szCs w:val="26"/>
        </w:rPr>
        <w:t xml:space="preserve">H.3  Recommendations Summary</w:t>
      </w:r>
    </w:p>
    <w:p>
      <w:pPr>
        <w:pStyle w:val="ListParagraph"/>
        <w:numPr>
          <w:ilvl w:val="0"/>
          <w:numId w:val="2"/>
        </w:numPr>
        <w:spacing w:after="40" w:before="40"/>
      </w:pPr>
      <w:r>
        <w:rPr>
          <w:rFonts w:ascii="Arial" w:cs="Arial" w:eastAsia="Arial" w:hAnsi="Arial"/>
          <w:sz w:val="20"/>
          <w:szCs w:val="20"/>
        </w:rPr>
        <w:t xml:space="preserve">Begin Sprint 1 immediately. The 7 critical/high items represent genuine financial calculation errors and security risks, not minor polish items.</w:t>
      </w:r>
    </w:p>
    <w:p>
      <w:pPr>
        <w:pStyle w:val="ListParagraph"/>
        <w:numPr>
          <w:ilvl w:val="0"/>
          <w:numId w:val="2"/>
        </w:numPr>
        <w:spacing w:after="40" w:before="40"/>
      </w:pPr>
      <w:r>
        <w:rPr>
          <w:rFonts w:ascii="Arial" w:cs="Arial" w:eastAsia="Arial" w:hAnsi="Arial"/>
          <w:sz w:val="20"/>
          <w:szCs w:val="20"/>
        </w:rPr>
        <w:t xml:space="preserve">Start DTF dataset collection in parallel with Sprint 1. EDGAR and FRED data pulls have no dependency on platform changes and can run as background processes.</w:t>
      </w:r>
    </w:p>
    <w:p>
      <w:pPr>
        <w:pStyle w:val="ListParagraph"/>
        <w:numPr>
          <w:ilvl w:val="0"/>
          <w:numId w:val="2"/>
        </w:numPr>
        <w:spacing w:after="40" w:before="40"/>
      </w:pPr>
      <w:r>
        <w:rPr>
          <w:rFonts w:ascii="Arial" w:cs="Arial" w:eastAsia="Arial" w:hAnsi="Arial"/>
          <w:sz w:val="20"/>
          <w:szCs w:val="20"/>
        </w:rPr>
        <w:t xml:space="preserve">Procure a Tier 2 data provider during Sprint 2-3. AlphaSense or Intrinio recommended as first provider: both have Python SDKs, reasonable entry pricing, and REST APIs compatible with the SentimentIngestor interface.</w:t>
      </w:r>
    </w:p>
    <w:p>
      <w:pPr>
        <w:pStyle w:val="ListParagraph"/>
        <w:numPr>
          <w:ilvl w:val="0"/>
          <w:numId w:val="2"/>
        </w:numPr>
        <w:spacing w:after="40" w:before="40"/>
      </w:pPr>
      <w:r>
        <w:rPr>
          <w:rFonts w:ascii="Arial" w:cs="Arial" w:eastAsia="Arial" w:hAnsi="Arial"/>
          <w:sz w:val="20"/>
          <w:szCs w:val="20"/>
        </w:rPr>
        <w:t xml:space="preserve">Seed the DTF calibration universe with at least 500 companies across 3 geographies (US, Europe, South Africa for local market relevance) before running Markov engine calibration.</w:t>
      </w:r>
    </w:p>
    <w:p>
      <w:pPr>
        <w:pStyle w:val="ListParagraph"/>
        <w:numPr>
          <w:ilvl w:val="0"/>
          <w:numId w:val="2"/>
        </w:numPr>
        <w:spacing w:after="40" w:before="40"/>
      </w:pPr>
      <w:r>
        <w:rPr>
          <w:rFonts w:ascii="Arial" w:cs="Arial" w:eastAsia="Arial" w:hAnsi="Arial"/>
          <w:sz w:val="20"/>
          <w:szCs w:val="20"/>
        </w:rPr>
        <w:t xml:space="preserve">Do not launch PIM to investment professionals until DTF-A calibration has completed and the initial SPC analysis confirms that sentiment adds statistically significant predictive power (SPC &gt; 0.05, p &lt; 0.05) for at least the 1W-3M horizon range.</w:t>
      </w:r>
    </w:p>
    <w:p>
      <w:pPr>
        <w:spacing w:after="0" w:before="80"/>
      </w:pPr>
      <w:r>
        <w:t xml:space="preserve"/>
      </w:r>
    </w:p>
    <w:p>
      <w:pPr>
        <w:pBdr>
          <w:top w:val="single" w:color="2E75B6" w:sz="4" w:space="6"/>
        </w:pBdr>
        <w:spacing w:after="60" w:before="200"/>
        <w:jc w:val="center"/>
      </w:pPr>
      <w:r>
        <w:rPr>
          <w:rFonts w:ascii="Arial" w:cs="Arial" w:eastAsia="Arial" w:hAnsi="Arial"/>
          <w:i/>
          <w:iCs/>
          <w:color w:val="A0A0A0"/>
          <w:sz w:val="16"/>
          <w:szCs w:val="16"/>
        </w:rPr>
        <w:t xml:space="preserve">Virtual Analyst · Master Build Plan v1.0 · Confidential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3"/>
      </w:pBdr>
    </w:pPr>
    <w:r>
      <w:rPr>
        <w:rFonts w:ascii="Arial" w:cs="Arial" w:eastAsia="Arial" w:hAnsi="Arial"/>
        <w:color w:val="A0A0A0"/>
        <w:sz w:val="16"/>
        <w:szCs w:val="16"/>
      </w:rPr>
      <w:t xml:space="preserve">March 2026  ·  Developer Use Only  ·  Page </w:t>
    </w:r>
    <w:r>
      <w:rPr>
        <w:rFonts w:ascii="Arial" w:cs="Arial" w:eastAsia="Arial" w:hAnsi="Arial"/>
        <w:color w:val="A0A0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3"/>
      </w:pBdr>
    </w:pPr>
    <w:r>
      <w:rPr>
        <w:rFonts w:ascii="Arial" w:cs="Arial" w:eastAsia="Arial" w:hAnsi="Arial"/>
        <w:b/>
        <w:bCs/>
        <w:color w:val="1B3A5C"/>
        <w:sz w:val="16"/>
        <w:szCs w:val="16"/>
      </w:rPr>
      <w:t xml:space="preserve">VIRTUAL ANALYST  ·  Master Build Plan v1.0</w:t>
    </w:r>
    <w:r>
      <w:rPr>
        <w:rFonts w:ascii="Arial" w:cs="Arial" w:eastAsia="Arial" w:hAnsi="Arial"/>
        <w:i/>
        <w:iCs/>
        <w:color w:val="A0A0A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2026-03-05T20:38:59.579Z</dcterms:created>
  <dcterms:modified xsi:type="dcterms:W3CDTF">2026-03-05T20:38:59.583Z</dcterms:modified>
</cp:coreProperties>
</file>

<file path=docProps/custom.xml><?xml version="1.0" encoding="utf-8"?>
<Properties xmlns="http://schemas.openxmlformats.org/officeDocument/2006/custom-properties" xmlns:vt="http://schemas.openxmlformats.org/officeDocument/2006/docPropsVTypes"/>
</file>