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600"/>
              <w:left w:type="dxa" w:w="480"/>
              <w:bottom w:type="dxa" w:w="600"/>
              <w:right w:type="dxa" w:w="480"/>
            </w:tcMar>
          </w:tcPr>
          <w:p>
            <w:pPr>
              <w:spacing w:before="480" w:after="120"/>
              <w:jc w:val="center"/>
            </w:pPr>
            <w:r>
              <w:rPr>
                <w:rFonts w:ascii="Arial" w:cs="Arial" w:eastAsia="Arial" w:hAnsi="Arial"/>
                <w:b/>
                <w:bCs/>
                <w:color w:val="FFFFFF"/>
                <w:sz w:val="56"/>
                <w:szCs w:val="56"/>
              </w:rPr>
              <w:t xml:space="preserve">VIRTUAL ANALYST</w:t>
            </w:r>
          </w:p>
          <w:p>
            <w:pPr>
              <w:spacing w:before="0" w:after="120"/>
              <w:jc w:val="center"/>
            </w:pPr>
            <w:r>
              <w:rPr>
                <w:rFonts w:ascii="Arial" w:cs="Arial" w:eastAsia="Arial" w:hAnsi="Arial"/>
                <w:b/>
                <w:bCs/>
                <w:color w:val="A8C8E8"/>
                <w:sz w:val="38"/>
                <w:szCs w:val="38"/>
              </w:rPr>
              <w:t xml:space="preserve">Portfolio Intelligence Module (PIM)</w:t>
            </w:r>
          </w:p>
          <w:p>
            <w:pPr>
              <w:spacing w:before="0" w:after="200"/>
              <w:jc w:val="center"/>
            </w:pPr>
            <w:r>
              <w:rPr>
                <w:rFonts w:ascii="Arial" w:cs="Arial" w:eastAsia="Arial" w:hAnsi="Arial"/>
                <w:i/>
                <w:iCs/>
                <w:color w:val="C8DCF0"/>
                <w:sz w:val="28"/>
                <w:szCs w:val="28"/>
              </w:rPr>
              <w:t xml:space="preserve">Updated Requirements &amp; Backlog Build Plan</w:t>
            </w:r>
          </w:p>
          <w:p>
            <w:pPr>
              <w:spacing w:before="240" w:after="0"/>
              <w:jc w:val="center"/>
            </w:pPr>
            <w:r>
              <w:rPr>
                <w:rFonts w:ascii="Arial" w:cs="Arial" w:eastAsia="Arial" w:hAnsi="Arial"/>
                <w:color w:val="B0B8C8"/>
                <w:sz w:val="20"/>
                <w:szCs w:val="20"/>
              </w:rPr>
              <w:t xml:space="preserve">March 2026  ·  v2.0  ·  Confidential  ·  For Developer Review Only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1200"/>
        <w:gridCol w:w="3060"/>
      </w:tblGrid>
      <w:tr>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Supersedes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Requirements &amp; Backlog Build Plan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 - Developer Review</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v2.0</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VA_Master_Build_Plan v1.0 (2026-03-07)</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single" w:color="1B2A4A" w:sz="1"/>
              <w:right w:val="single" w:color="CBD5E0" w:sz="1"/>
            </w:tcBorders>
            <w:shd w:fill="F0F4FA"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Scope of This Document</w:t>
            </w:r>
          </w:p>
          <w:p>
            <w:pPr>
              <w:spacing w:before="0" w:after="0"/>
            </w:pPr>
            <w:r>
              <w:rPr>
                <w:rFonts w:ascii="Arial" w:cs="Arial" w:eastAsia="Arial" w:hAnsi="Arial"/>
                <w:color w:val="1A1A2E"/>
                <w:sz w:val="22"/>
                <w:szCs w:val="22"/>
              </w:rPr>
              <w:t xml:space="preserve">This document supersedes the PIM sections of the VA Master Build Plan v1.0 (2026-03-07). It incorporates: (1) a fresh architectural review of the existing codebase, (2) updated requirements reflecting the investment-professional context and regulatory standards, (3) a revised 7-phase PIM build plan with updated sprint allocations, (4) a complete master backlog with prioritisation, and (5) updated Developer Testing Framework specification.</w:t>
            </w:r>
          </w:p>
        </w:tc>
      </w:tr>
    </w:tbl>
    <w:p>
      <w:pPr>
        <w:spacing w:before="0" w:after="80"/>
      </w:pP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1 — EXECUTIVE SUMMARY &amp; CONTEXT</w:t>
            </w:r>
          </w:p>
        </w:tc>
      </w:tr>
    </w:tbl>
    <w:p>
      <w:pPr>
        <w:spacing w:before="0" w:after="80"/>
      </w:pPr>
    </w:p>
    <w:p>
      <w:pPr>
        <w:pStyle w:val="Heading1"/>
        <w:spacing w:before="360" w:after="120"/>
      </w:pPr>
      <w:r>
        <w:rPr>
          <w:rFonts w:ascii="Arial" w:cs="Arial" w:eastAsia="Arial" w:hAnsi="Arial"/>
          <w:b/>
          <w:bCs/>
          <w:color w:val="1B3A6B"/>
          <w:sz w:val="36"/>
          <w:szCs w:val="36"/>
        </w:rPr>
        <w:t xml:space="preserve">1.1  Module Purpose</w:t>
      </w:r>
    </w:p>
    <w:p>
      <w:pPr>
        <w:spacing w:before="0" w:after="100"/>
      </w:pPr>
      <w:r>
        <w:rPr>
          <w:rFonts w:ascii="Arial" w:cs="Arial" w:eastAsia="Arial" w:hAnsi="Arial"/>
          <w:color w:val="1A1A2E"/>
          <w:sz w:val="22"/>
          <w:szCs w:val="22"/>
        </w:rPr>
        <w:t xml:space="preserve">The Portfolio Intelligence Module (PIM) is a billing-isolated, professionally-scoped add-on to the Virtual Analyst platform. It is designed exclusively for investment professionals — equity portfolio managers, sector analysts, buy-side research teams, and private equity practitioners.</w:t>
      </w:r>
    </w:p>
    <w:p>
      <w:pPr>
        <w:spacing w:before="0" w:after="40"/>
      </w:pPr>
    </w:p>
    <w:p>
      <w:pPr>
        <w:spacing w:before="0" w:after="100"/>
      </w:pPr>
      <w:r>
        <w:rPr>
          <w:rFonts w:ascii="Arial" w:cs="Arial" w:eastAsia="Arial" w:hAnsi="Arial"/>
          <w:color w:val="1A1A2E"/>
          <w:sz w:val="22"/>
          <w:szCs w:val="22"/>
        </w:rPr>
        <w:t xml:space="preserve">The module's core thesis is that financial fundamentals and market sentiment are complementary signals. Fundamentals tell you what a company is worth based on verifiable historical and projected data. Sentiment tells you how the market perceives that value in real time. Combined and stripped of macro noise, they reveal whether an asset is genuinely mispriced or simply riding an economic tide.</w:t>
      </w:r>
    </w:p>
    <w:p>
      <w:pPr>
        <w:spacing w:before="0" w:after="80"/>
      </w:pPr>
    </w:p>
    <w:p>
      <w:pPr>
        <w:pStyle w:val="Heading1"/>
        <w:spacing w:before="360" w:after="120"/>
      </w:pPr>
      <w:r>
        <w:rPr>
          <w:rFonts w:ascii="Arial" w:cs="Arial" w:eastAsia="Arial" w:hAnsi="Arial"/>
          <w:b/>
          <w:bCs/>
          <w:color w:val="1B3A6B"/>
          <w:sz w:val="36"/>
          <w:szCs w:val="36"/>
        </w:rPr>
        <w:t xml:space="preserve">1.2  What This Module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single" w:color="1B2A4A" w:sz="1"/>
              <w:right w:val="single" w:color="CBD5E0" w:sz="1"/>
            </w:tcBorders>
            <w:shd w:fill="F0F4FA"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Important: Investment Professional Module Only</w:t>
            </w:r>
          </w:p>
          <w:p>
            <w:pPr>
              <w:spacing w:before="0" w:after="0"/>
            </w:pPr>
            <w:r>
              <w:rPr>
                <w:rFonts w:ascii="Arial" w:cs="Arial" w:eastAsia="Arial" w:hAnsi="Arial"/>
                <w:color w:val="1A1A2E"/>
                <w:sz w:val="22"/>
                <w:szCs w:val="22"/>
              </w:rPr>
              <w:t xml:space="preserve">The PIM is not a retail investment product. It does not provide personalised investment advice. It is a quantitative analytical toolkit for qualified professionals exercising their own investment judgement. All outputs must be reviewed by the investment professional before reliance. The module complies with MiFID II research standards and GIPS performance reporting norms.</w:t>
            </w:r>
          </w:p>
        </w:tc>
      </w:tr>
    </w:tbl>
    <w:p>
      <w:pPr>
        <w:spacing w:before="0" w:after="80"/>
      </w:pPr>
    </w:p>
    <w:p>
      <w:pPr>
        <w:pStyle w:val="Heading1"/>
        <w:spacing w:before="360" w:after="120"/>
      </w:pPr>
      <w:r>
        <w:rPr>
          <w:rFonts w:ascii="Arial" w:cs="Arial" w:eastAsia="Arial" w:hAnsi="Arial"/>
          <w:b/>
          <w:bCs/>
          <w:color w:val="1B3A6B"/>
          <w:sz w:val="36"/>
          <w:szCs w:val="36"/>
        </w:rPr>
        <w:t xml:space="preserve">1.3  Strategic Value Proposition</w:t>
      </w:r>
    </w:p>
    <w:p>
      <w:pPr>
        <w:spacing w:before="0" w:after="100"/>
      </w:pPr>
      <w:r>
        <w:rPr>
          <w:rFonts w:ascii="Arial" w:cs="Arial" w:eastAsia="Arial" w:hAnsi="Arial"/>
          <w:color w:val="1A1A2E"/>
          <w:sz w:val="22"/>
          <w:szCs w:val="22"/>
        </w:rPr>
        <w:t xml:space="preserve">The PIM delivers three interconnected capabilities that are differentiated in the investment analytics market:</w:t>
      </w:r>
    </w:p>
    <w:p>
      <w:pPr>
        <w:spacing w:before="0" w:after="40"/>
      </w:pPr>
    </w:p>
    <w:p>
      <w:pPr>
        <w:pStyle w:val="ListParagraph"/>
        <w:numPr>
          <w:ilvl w:val="0"/>
          <w:numId w:val="2"/>
        </w:numPr>
        <w:spacing w:before="0" w:after="60"/>
      </w:pPr>
      <w:r>
        <w:rPr>
          <w:rFonts w:ascii="Arial" w:cs="Arial" w:eastAsia="Arial" w:hAnsi="Arial"/>
          <w:color w:val="1A1A2E"/>
          <w:sz w:val="22"/>
          <w:szCs w:val="22"/>
        </w:rPr>
        <w:t xml:space="preserve">Sentiment-Augmented Portfolio Construction: imports sector financials alongside structured, multi-source sentiment signals to build scored, ranked portfolios with full factor attribution — enabling portfolio managers to see not just a ranking, but why each holding is ranked where it is.</w:t>
      </w:r>
    </w:p>
    <w:p>
      <w:pPr>
        <w:pStyle w:val="ListParagraph"/>
        <w:numPr>
          <w:ilvl w:val="0"/>
          <w:numId w:val="2"/>
        </w:numPr>
        <w:spacing w:before="0" w:after="60"/>
      </w:pPr>
      <w:r>
        <w:rPr>
          <w:rFonts w:ascii="Arial" w:cs="Arial" w:eastAsia="Arial" w:hAnsi="Arial"/>
          <w:color w:val="1A1A2E"/>
          <w:sz w:val="22"/>
          <w:szCs w:val="22"/>
        </w:rPr>
        <w:t xml:space="preserve">Backtesting and Adaptive Prediction: tests portfolio construction methodologies against historical data, measures how accurately sentiment-augmented models predict future relative performance, and dynamically adapts factor weights based on current market regime.</w:t>
      </w:r>
    </w:p>
    <w:p>
      <w:pPr>
        <w:pStyle w:val="ListParagraph"/>
        <w:numPr>
          <w:ilvl w:val="0"/>
          <w:numId w:val="2"/>
        </w:numPr>
        <w:spacing w:before="0" w:after="60"/>
      </w:pPr>
      <w:r>
        <w:rPr>
          <w:rFonts w:ascii="Arial" w:cs="Arial" w:eastAsia="Arial" w:hAnsi="Arial"/>
          <w:color w:val="1A1A2E"/>
          <w:sz w:val="22"/>
          <w:szCs w:val="22"/>
        </w:rPr>
        <w:t xml:space="preserve">Private Equity Sector Benchmarking: applies the same framework to private companies, benchmarking them against listed peers to isolate the Management Residual — the performance contribution attributable to management quality after stripping out all sector, macro, and fundamental factors.</w:t>
      </w:r>
    </w:p>
    <w:p>
      <w:pPr>
        <w:spacing w:before="0" w:after="40"/>
      </w:pPr>
    </w:p>
    <w:p>
      <w:pPr>
        <w:spacing w:before="0" w:after="100"/>
      </w:pPr>
      <w:r>
        <w:rPr>
          <w:rFonts w:ascii="Arial" w:cs="Arial" w:eastAsia="Arial" w:hAnsi="Arial"/>
          <w:color w:val="1A1A2E"/>
          <w:sz w:val="22"/>
          <w:szCs w:val="22"/>
        </w:rPr>
        <w:t xml:space="preserve">The mathematical backbone is a Markov chain model governing adaptive iteration count. This model answers not just what the optimal portfolio looks like, but how confident the system is in that view at the current moment — expressed as the Sentiment Prediction Contribution (SPC) metric.</w:t>
      </w:r>
    </w:p>
    <w:p>
      <w:pPr>
        <w:spacing w:before="0" w:after="80"/>
      </w:pPr>
    </w:p>
    <w:p>
      <w:pPr>
        <w:pStyle w:val="Heading1"/>
        <w:spacing w:before="360" w:after="120"/>
      </w:pPr>
      <w:r>
        <w:rPr>
          <w:rFonts w:ascii="Arial" w:cs="Arial" w:eastAsia="Arial" w:hAnsi="Arial"/>
          <w:b/>
          <w:bCs/>
          <w:color w:val="1B3A6B"/>
          <w:sz w:val="36"/>
          <w:szCs w:val="36"/>
        </w:rPr>
        <w:t xml:space="preserve">1.4  Platform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Component</w:t>
            </w:r>
          </w:p>
        </w:tc>
        <w:tc>
          <w:tcPr>
            <w:tcW w:type="dxa" w:w="59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PIM Integrates</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Engine (Baselines/Runs)</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imports P&amp;L, BS, CF, and KPIs from existing model runs as fundamental inputs to portfolio scoring</w:t>
            </w:r>
          </w:p>
        </w:tc>
      </w:tr>
      <w:tr>
        <w:tc>
          <w:tcPr>
            <w:tcW w:type="dxa" w:w="3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AFS Module (Trial Balance Analytics)</w:t>
            </w:r>
          </w:p>
        </w:tc>
        <w:tc>
          <w:tcPr>
            <w:tcW w:type="dxa" w:w="5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Sector ratio benchmarks from AFS analytics feed into sector-level composite scoring and Fundamental Percentile Rank (FPR)</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Benchmark Module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 comparison aggregates enrich sector percentile positioning within the Composite Investment Score (CIS)</w:t>
            </w:r>
          </w:p>
        </w:tc>
      </w:tr>
      <w:tr>
        <w:tc>
          <w:tcPr>
            <w:tcW w:type="dxa" w:w="3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LLM Router (Anthropic/OpenAI)</w:t>
            </w:r>
          </w:p>
        </w:tc>
        <w:tc>
          <w:tcPr>
            <w:tcW w:type="dxa" w:w="5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Generates structured sentiment extractions, narrative commentary, factor attribution summaries, and PE memo drafts</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Monte Carlo Engine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Adapted for portfolio simulation — draws correlated return distributions across sector constituents. Requires REM-08 parallelisation fix first.</w:t>
            </w:r>
          </w:p>
        </w:tc>
      </w:tr>
      <w:tr>
        <w:tc>
          <w:tcPr>
            <w:tcW w:type="dxa" w:w="3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Ventures Module</w:t>
            </w:r>
          </w:p>
        </w:tc>
        <w:tc>
          <w:tcPr>
            <w:tcW w:type="dxa" w:w="5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 target assessment uses venture-style questionnaire to establish company profile before PIM benchmarking against listed peers</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Board Pack Module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portfolio analytics, factor attribution, and PE benchmarking output as exportable board pack sections</w:t>
            </w:r>
          </w:p>
        </w:tc>
      </w:tr>
      <w:tr>
        <w:tc>
          <w:tcPr>
            <w:tcW w:type="dxa" w:w="3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Draft &amp; Changesets</w:t>
            </w:r>
          </w:p>
        </w:tc>
        <w:tc>
          <w:tcPr>
            <w:tcW w:type="dxa" w:w="5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Portfolio thesis documents and assumption change tracking via existing draft/changeset infrastructure</w:t>
            </w:r>
          </w:p>
        </w:tc>
      </w:tr>
      <w:tr>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Billing Module (future)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 flag pim_enabled per tenant; billing gate activates with zero PIM code changes when billing module is enabled</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2 — CODEBASE STATUS &amp; PRE-PIM REMEDIATION GATES</w:t>
            </w:r>
          </w:p>
        </w:tc>
      </w:tr>
    </w:tbl>
    <w:p>
      <w:pPr>
        <w:spacing w:before="0" w:after="80"/>
      </w:pPr>
    </w:p>
    <w:p>
      <w:pPr>
        <w:pStyle w:val="Heading1"/>
        <w:spacing w:before="360" w:after="120"/>
      </w:pPr>
      <w:r>
        <w:rPr>
          <w:rFonts w:ascii="Arial" w:cs="Arial" w:eastAsia="Arial" w:hAnsi="Arial"/>
          <w:b/>
          <w:bCs/>
          <w:color w:val="1B3A6B"/>
          <w:sz w:val="36"/>
          <w:szCs w:val="36"/>
        </w:rPr>
        <w:t xml:space="preserve">2.1  Current State Assessment</w:t>
      </w:r>
    </w:p>
    <w:p>
      <w:pPr>
        <w:spacing w:before="0" w:after="100"/>
      </w:pPr>
      <w:r>
        <w:rPr>
          <w:rFonts w:ascii="Arial" w:cs="Arial" w:eastAsia="Arial" w:hAnsi="Arial"/>
          <w:color w:val="1A1A2E"/>
          <w:sz w:val="22"/>
          <w:szCs w:val="22"/>
        </w:rPr>
        <w:t xml:space="preserve">The Virtual Analyst codebase is a functional multi-module investment platform built on FastAPI (Python backend), Next.js (TypeScript frontend), asyncpg with Supabase (data layer), and Celery with Redis (async task processing). The LLM router supports both Anthropic and OpenAI providers with task-label-based routing.</w:t>
      </w:r>
    </w:p>
    <w:p>
      <w:pPr>
        <w:spacing w:before="0" w:after="40"/>
      </w:pPr>
    </w:p>
    <w:p>
      <w:pPr>
        <w:spacing w:before="0" w:after="100"/>
      </w:pPr>
      <w:r>
        <w:rPr>
          <w:rFonts w:ascii="Arial" w:cs="Arial" w:eastAsia="Arial" w:hAnsi="Arial"/>
          <w:color w:val="1A1A2E"/>
          <w:sz w:val="22"/>
          <w:szCs w:val="22"/>
        </w:rPr>
        <w:t xml:space="preserve">The following issue registry reflects the consolidated findings from two code reviews (2026-03-04 and the current review). Two issues have been fixed (CR-S1, CR-S3). Twenty-seven issues remain open, of which seven must be resolved before PIM development begins.</w:t>
      </w:r>
    </w:p>
    <w:p>
      <w:pPr>
        <w:spacing w:before="0" w:after="80"/>
      </w:pPr>
    </w:p>
    <w:p>
      <w:pPr>
        <w:pStyle w:val="Heading1"/>
        <w:spacing w:before="360" w:after="120"/>
      </w:pPr>
      <w:r>
        <w:rPr>
          <w:rFonts w:ascii="Arial" w:cs="Arial" w:eastAsia="Arial" w:hAnsi="Arial"/>
          <w:b/>
          <w:bCs/>
          <w:color w:val="1B3A6B"/>
          <w:sz w:val="36"/>
          <w:szCs w:val="36"/>
        </w:rPr>
        <w:t xml:space="preserve">2.2  Consolidated Issue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960"/>
        <w:gridCol w:w="1200"/>
        <w:gridCol w:w="1400"/>
        <w:gridCol w:w="5040"/>
      </w:tblGrid>
      <w:tr>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4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CR-S1</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Unauthenticated /debug-auth endpoint exposing PII in production</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CR-S2</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Statistics</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Anomaly detection purely LLM-based, no statistical tests (ISA 520 violation)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CR-S3</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middleware falling back to 'investor' role on DB error</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CR-S4</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JWKS cache race condition: synchronous httpx.get() in async context</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CR-S5</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Synchronous Redis blocking async event loop in runs.py</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CR-F1</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DCF lacks mid-year convention (4-5% systematic undervaluation)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CR-F2</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DCF returns EV only — no equity bridge to equity value</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CR-F3</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Exit multiple applied to FCF; must be applied to EBITDA</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CR-F4</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tax loss carryforward (NOL) in multi-year income statement models</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CR-F5</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Single FX rate for entire consolidation horizon (IAS 21 violation)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CR-T1</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 PIM GATE</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Monte Carlo simulation is single-threaded Python loop</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CR-Q1</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generate_statements() is 357 lines with no functional decomposition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CR-Q2</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budgets.py is 1,400+ lines (god file pattern)</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CR-Q3</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afs.py is 2,500+ lines (god file pattern)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CR-Q4</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'succeeded' vs 'completed' status mismatch breaks Excel export</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CR-Q5</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N+1 query in budget dashboard (80+ DB round-trips for 20 budgets)</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CR-Q6</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SQL f-strings in afs.py and budgets.py — no column allowlist</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CR-Q7</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Bare except: pass throughout 6 files (silent failure swallowing)</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CR-Q8</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StatementsData uses unknown[] types — erases all TypeScript type safety</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CR-Q9</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sensitivity parameter_path has no allowlist — permits deep object traversal</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CR-N1</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automated tests across 51 frontend pages</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CR-N2</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Ops</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Board pack email distribution stubbed — not wired to SendGrid/SES</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CR-N3</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CONTEXT.md is stale — Rounds 23-25+ and PIM module not reflected</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CR-N4</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DCF breakdown PV rounding is inconsistent across periods</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CR-N5</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DEFAULT_POLICY is a module-level constant — not hot-reloadable</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CR-N6</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Funding waterfall iterates to 5 passes with no convergence logging</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CR-N7</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structured LLM latency logging per task_label for cost attribution</w:t>
            </w:r>
          </w:p>
        </w:tc>
      </w:tr>
      <w:tr>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CR-N8</w:t>
            </w:r>
          </w:p>
        </w:tc>
        <w:tc>
          <w:tcPr>
            <w:tcW w:type="dxa" w:w="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PERT distribution: r&lt;=0 returns mode with no upstream input validation</w:t>
            </w:r>
          </w:p>
        </w:tc>
      </w:tr>
      <w:tr>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CR-N9</w:t>
            </w:r>
          </w:p>
        </w:tc>
        <w:tc>
          <w:tcPr>
            <w:tcW w:type="dxa" w:w="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Quality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t>
            </w:r>
          </w:p>
        </w:tc>
        <w:tc>
          <w:tcPr>
            <w:tcW w:type="dxa" w:w="5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readiness endpoint acquires DB pool connection without timeout guard</w:t>
            </w:r>
          </w:p>
        </w:tc>
      </w:tr>
    </w:tbl>
    <w:p>
      <w:pPr>
        <w:spacing w:before="0" w:after="80"/>
      </w:pPr>
    </w:p>
    <w:p>
      <w:pPr>
        <w:pStyle w:val="Heading1"/>
        <w:spacing w:before="360" w:after="120"/>
      </w:pPr>
      <w:r>
        <w:rPr>
          <w:rFonts w:ascii="Arial" w:cs="Arial" w:eastAsia="Arial" w:hAnsi="Arial"/>
          <w:b/>
          <w:bCs/>
          <w:color w:val="1B3A6B"/>
          <w:sz w:val="36"/>
          <w:szCs w:val="36"/>
        </w:rPr>
        <w:t xml:space="preserve">2.3  PIM Pre-Conditions (Sprint 0 — Must Close Before PIM Sprint 1)</w:t>
      </w:r>
    </w:p>
    <w:p>
      <w:pPr>
        <w:spacing w:before="0" w:after="100"/>
      </w:pPr>
      <w:r>
        <w:rPr>
          <w:rFonts w:ascii="Arial" w:cs="Arial" w:eastAsia="Arial" w:hAnsi="Arial"/>
          <w:color w:val="1A1A2E"/>
          <w:sz w:val="22"/>
          <w:szCs w:val="22"/>
        </w:rPr>
        <w:t xml:space="preserve">Seven issues must be resolved before any PIM code is written. These issues either introduce financial inaccuracies that would propagate into PIM outputs, create security exposures that the PIM's professional users cannot accept, or impose architectural constraints that would require expensive rework if addressed later.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Gate ID</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Justification for Gate Status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GATE-1</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CR-S2: Statistical anomaly detection</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PIM's sentiment anomaly signals must be deterministically computed (ISA 520). Building on a purely LLM-based foundation violates the statistical standards required for investment-grade analytics.</w:t>
            </w:r>
          </w:p>
        </w:tc>
      </w:tr>
      <w:tr>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GATE-2</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CR-S4: JWKS race condition</w:t>
            </w:r>
          </w:p>
        </w:tc>
        <w:tc>
          <w:tcPr>
            <w:tcW w:type="dxa" w:w="6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Authentication race condition under concurrent load is unacceptable in a multi-tenant professional platform. PIM will add concurrent sentiment ingestion load.</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GATE-3</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CR-S5: Synchronous Redis in async context</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PIM's Celery-based sentiment ingestion and Markov chain tasks will exacerbate this blocking pattern. Fix the foundation before adding async workloads.</w:t>
            </w:r>
          </w:p>
        </w:tc>
      </w:tr>
      <w:tr>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GATE-4</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CR-F1: DCF mid-year convention</w:t>
            </w:r>
          </w:p>
        </w:tc>
        <w:tc>
          <w:tcPr>
            <w:tcW w:type="dxa" w:w="6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 benchmarking in PIM uses DCF valuations. A systematic 4-5% undervaluation would corrupt Management Residual calculations.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GATE-5</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CR-F2: DCF equity bridge</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PE assessments require equity value, not enterprise value. Missing equity bridge = unusable PE output.</w:t>
            </w:r>
          </w:p>
        </w:tc>
      </w:tr>
      <w:tr>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GATE-6</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CR-F3: Exit multiple on FCF vs EBITDA</w:t>
            </w:r>
          </w:p>
        </w:tc>
        <w:tc>
          <w:tcPr>
            <w:tcW w:type="dxa" w:w="6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Terminal value error propagates into PE benchmarking. Must be corrected before PIM PE engine is built on top.</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GATE-7</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CR-T1: Monte Carlo parallelisation</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Markov chain engine reuses the MC simulation infrastructure. Fixing parallelisation now avoids duplicating the pattern across two simulation systems.</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3 — PIM FULL REQUIREMENTS SPECIFICATION</w:t>
            </w:r>
          </w:p>
        </w:tc>
      </w:tr>
    </w:tbl>
    <w:p>
      <w:pPr>
        <w:spacing w:before="0" w:after="80"/>
      </w:pPr>
    </w:p>
    <w:p>
      <w:pPr>
        <w:pStyle w:val="Heading1"/>
        <w:spacing w:before="360" w:after="120"/>
      </w:pPr>
      <w:r>
        <w:rPr>
          <w:rFonts w:ascii="Arial" w:cs="Arial" w:eastAsia="Arial" w:hAnsi="Arial"/>
          <w:b/>
          <w:bCs/>
          <w:color w:val="1B3A6B"/>
          <w:sz w:val="36"/>
          <w:szCs w:val="36"/>
        </w:rPr>
        <w:t xml:space="preserve">3.1  Module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Name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Intelligence Module (PIM)</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API Prefix</w:t>
            </w:r>
          </w:p>
        </w:tc>
        <w:tc>
          <w:tcPr>
            <w:tcW w:type="dxa" w:w="6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/api/v1/pim</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Classification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Investment Professional Module (IPM) — not for retail users</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Billing Model</w:t>
            </w:r>
          </w:p>
        </w:tc>
        <w:tc>
          <w:tcPr>
            <w:tcW w:type="dxa" w:w="6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Feature flag pim_enabled per tenant; billed as separate line item when billing module is activated. Zero code changes required at billing activation.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 Users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Equity portfolio managers, sector analysts, buy-side research teams, PE/VC associates, independent investment advisers</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Regulatory Context</w:t>
            </w:r>
          </w:p>
        </w:tc>
        <w:tc>
          <w:tcPr>
            <w:tcW w:type="dxa" w:w="6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MiFID II research standards (EU), GIPS performance reporting, ISA 520 analytical procedures, IAS 21 FX, IFRS 9/13 valuation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Engine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Composite Investment Score (CIS) + Markov Chain regime prediction + Sentiment Prediction Contribution (SPC)</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Output Formats</w:t>
            </w:r>
          </w:p>
        </w:tc>
        <w:tc>
          <w:tcPr>
            <w:tcW w:type="dxa" w:w="69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Portfolio review pack (PDF/PPTX), investment committee memo, PE benchmarking report, backtest validation report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Graceful Degradation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pim_enabled=false: HTTP 403 with {detail: 'PIM module not enabled', upgrade_url: '/billing/addons/pim'}</w:t>
            </w:r>
          </w:p>
        </w:tc>
      </w:tr>
    </w:tbl>
    <w:p>
      <w:pPr>
        <w:spacing w:before="0" w:after="80"/>
      </w:pPr>
    </w:p>
    <w:p>
      <w:pPr>
        <w:pStyle w:val="Heading1"/>
        <w:spacing w:before="360" w:after="120"/>
      </w:pPr>
      <w:r>
        <w:rPr>
          <w:rFonts w:ascii="Arial" w:cs="Arial" w:eastAsia="Arial" w:hAnsi="Arial"/>
          <w:b/>
          <w:bCs/>
          <w:color w:val="1B3A6B"/>
          <w:sz w:val="36"/>
          <w:szCs w:val="36"/>
        </w:rPr>
        <w:t xml:space="preserve">3.2  Functional Requirements</w:t>
      </w:r>
    </w:p>
    <w:p>
      <w:pPr>
        <w:pStyle w:val="Heading2"/>
        <w:spacing w:before="280" w:after="100"/>
      </w:pPr>
      <w:r>
        <w:rPr>
          <w:rFonts w:ascii="Arial" w:cs="Arial" w:eastAsia="Arial" w:hAnsi="Arial"/>
          <w:b/>
          <w:bCs/>
          <w:color w:val="2E5FA3"/>
          <w:sz w:val="28"/>
          <w:szCs w:val="28"/>
        </w:rPr>
        <w:t xml:space="preserve">FR-1  Sentiment Ingestion &amp; Scoring Engine</w:t>
      </w:r>
    </w:p>
    <w:p>
      <w:pPr>
        <w:spacing w:before="0" w:after="100"/>
      </w:pPr>
      <w:r>
        <w:rPr>
          <w:rFonts w:ascii="Arial" w:cs="Arial" w:eastAsia="Arial" w:hAnsi="Arial"/>
          <w:color w:val="1A1A2E"/>
          <w:sz w:val="22"/>
          <w:szCs w:val="22"/>
        </w:rPr>
        <w:t xml:space="preserve">The engine must ingest raw text from five source categories and produce structured, scored sentiment vectors per company, sector, and time period.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FR-1.1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Accept five source types: earnings call transcripts, analyst reports, regulatory filings (SEC EDGAR / SEDAR+ / JSE SENS), financial news feeds, and social/media commentary</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1 free sources first; Tier 2 commercial as upgrade</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FR-1.2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Route text through LLM router (pim_sentiment_extraction task label, temp=0.1) to extract structured JSON: {entity, period, source_type, raw_score[-1..+1], confidence[0..1], key_themes[], tone_flags[]}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LLM provides score; deterministic post-processing validates range and flags outliers</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FR-1.3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recency decay function: w(t) = exp(-lambda * days_since), with configurable lambda per source type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Ensures stale sentiment does not persist indefinitely</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FR-1.4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Store raw scores in pim_sentiment_signals; compute and store aggregated period buckets in pim_sentiment_aggregates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Both tables require tenant_id RLS</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FR-1.5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 two-stage economic overlay stripping: local_stripped = raw - beta_local * local_sentiment_index; global_stripped = local_stripped - beta_global * global_sentiment_index</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Enables isolation of idiosyncratic vs macro-driven sentiment</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FR-1.6</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Report all three sentiment vectors per entity per period: raw, local_stripped, global_stripped</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Investment professionals need all three to interpret signal origin</w:t>
            </w:r>
          </w:p>
        </w:tc>
      </w:tr>
    </w:tbl>
    <w:p>
      <w:pPr>
        <w:spacing w:before="0" w:after="60"/>
      </w:pPr>
    </w:p>
    <w:p>
      <w:pPr>
        <w:pStyle w:val="Heading2"/>
        <w:spacing w:before="280" w:after="100"/>
      </w:pPr>
      <w:r>
        <w:rPr>
          <w:rFonts w:ascii="Arial" w:cs="Arial" w:eastAsia="Arial" w:hAnsi="Arial"/>
          <w:b/>
          <w:bCs/>
          <w:color w:val="2E5FA3"/>
          <w:sz w:val="28"/>
          <w:szCs w:val="28"/>
        </w:rPr>
        <w:t xml:space="preserve">FR-2  Economic Context Registry</w:t>
      </w:r>
    </w:p>
    <w:p>
      <w:pPr>
        <w:spacing w:before="0" w:after="100"/>
      </w:pPr>
      <w:r>
        <w:rPr>
          <w:rFonts w:ascii="Arial" w:cs="Arial" w:eastAsia="Arial" w:hAnsi="Arial"/>
          <w:color w:val="1A1A2E"/>
          <w:sz w:val="22"/>
          <w:szCs w:val="22"/>
        </w:rPr>
        <w:t xml:space="preserve">The registry must maintain per-period macro indicator snapshots for all active geographies to support economic overlay stripping.</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FR-2.1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 per-period, per-country snapshots of: PMI, CPI YoY%, interest rate spread (bps), FX volatility index, credit conditions index, global sentiment composite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Stored in pim_economic_snapshots</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FR-2.2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Support manual upload via CSV for markets without API coverage (e.g., smaller emerging markets)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Upload path required for day-one viability</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FR-2.3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 API connectors for Tier 1 data sources: FRED (US), ECB SDW (EU), World Bank Open Data (global)</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 commercial upgrades in roadmap</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FR-2.4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Flag periods with missing economic data and widen prediction confidence intervals proportionally</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Required disclosure for investment-grade output</w:t>
            </w:r>
          </w:p>
        </w:tc>
      </w:tr>
    </w:tbl>
    <w:p>
      <w:pPr>
        <w:spacing w:before="0" w:after="60"/>
      </w:pPr>
    </w:p>
    <w:p>
      <w:pPr>
        <w:pStyle w:val="Heading2"/>
        <w:spacing w:before="280" w:after="100"/>
      </w:pPr>
      <w:r>
        <w:rPr>
          <w:rFonts w:ascii="Arial" w:cs="Arial" w:eastAsia="Arial" w:hAnsi="Arial"/>
          <w:b/>
          <w:bCs/>
          <w:color w:val="2E5FA3"/>
          <w:sz w:val="28"/>
          <w:szCs w:val="28"/>
        </w:rPr>
        <w:t xml:space="preserve">FR-3  Composite Investment Score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FR-3.1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CIS as weighted sum of five factor groups: Fundamental Quality (default 35%), Fundamental Momentum (20%), Idiosyncratic Sentiment (25%), Sentiment Momentum (10%), Sector Positioning (10%)</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weights configurable per universe config_json</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FR-3.2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Fundamental Percentile Rank (FPR): rank company within sector on ROE, ROIC, EBITDA margin, revenue growth, FCF yield; output percentile 0-100</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Inputs from existing AFS/model run data</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FR-3.3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Normalise all sub-scores to z-scores relative to sector distribution before weighting</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Prevents scale dominance from any single factor</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FR-3.4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Output CIS with full factor attribution: each component's contribution to total score, direction, and percentile rank</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Required for investment-grade explainability</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FR-3.5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Surface CIS uncertainty bounds: report [CIS_low, CIS_mid, CIS_high] using bootstrap resampling of input factor uncertainty</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Confidence intervals mandatory per statistical standards (SR-4)</w:t>
            </w:r>
          </w:p>
        </w:tc>
      </w:tr>
    </w:tbl>
    <w:p>
      <w:pPr>
        <w:spacing w:before="0" w:after="60"/>
      </w:pPr>
    </w:p>
    <w:p>
      <w:pPr>
        <w:pStyle w:val="Heading2"/>
        <w:spacing w:before="280" w:after="100"/>
      </w:pPr>
      <w:r>
        <w:rPr>
          <w:rFonts w:ascii="Arial" w:cs="Arial" w:eastAsia="Arial" w:hAnsi="Arial"/>
          <w:b/>
          <w:bCs/>
          <w:color w:val="2E5FA3"/>
          <w:sz w:val="28"/>
          <w:szCs w:val="28"/>
        </w:rPr>
        <w:t xml:space="preserve">FR-4  Markov Chain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FR-4.1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 81-state Markov space: 3 levels each for fundamental quality, momentum, sentiment intensity, and economic context (low/neutral/high)</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vector = (Q, M, S, E) with 3^4 = 81 states</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FR-4.2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Estimate transition matrix from expanding-window historical data using maximum likelihood, regularised with Laplace smoothing (alpha=1/n_states)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Handles sparse state observations in early-stage markets</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FR-4.3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adaptive iteration count as function of: abs(delta_sentiment_intensity) + abs(delta_economic_context). More volatile regimes require more iterations.</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Adaptive iteration count is the primary uncertainty signal</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FR-4.4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Compute Sentiment Prediction Contribution (SPC) = IC_sentiment_augmented - IC_fundamental_only. Report as point estimate AND p-value.</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Users must see when sentiment signal is not statistically significant</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FR-4.5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 optimal forecasting horizon: the horizon at which SPC is maximised, validated by expanding-window backtest</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Provides actionable signal quality guidance to portfolio managers</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FR-4.6</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Store state snapshots in pim_markov_states including transition_matrix_json, mixing_time_estimate, factor_weights_json, and spc</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Enables drift detection and model versioning over time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FR-4.7</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Propagate transition matrix uncertainty (standard errors of MLE estimates) into prediction interval calculations</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point estimates without uncertainty bounds (SR-3)</w:t>
            </w:r>
          </w:p>
        </w:tc>
      </w:tr>
    </w:tbl>
    <w:p>
      <w:pPr>
        <w:spacing w:before="0" w:after="60"/>
      </w:pPr>
    </w:p>
    <w:p>
      <w:pPr>
        <w:pStyle w:val="Heading2"/>
        <w:spacing w:before="280" w:after="100"/>
      </w:pPr>
      <w:r>
        <w:rPr>
          <w:rFonts w:ascii="Arial" w:cs="Arial" w:eastAsia="Arial" w:hAnsi="Arial"/>
          <w:b/>
          <w:bCs/>
          <w:color w:val="2E5FA3"/>
          <w:sz w:val="28"/>
          <w:szCs w:val="28"/>
        </w:rPr>
        <w:t xml:space="preserve">FR-5  Portfolio Construction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FR-5.1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Construct ranked portfolio from CIS scores subject to configurable constraints: max single-position weight, sector concentration limits, minimum holding count, benchmark tracking error</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Professional portfolio managers require constraint-aware optimisation</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FR-5.2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Support three construction modes: long-only, long-short (hedged), and sector-neutral relative to a defined benchmark</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Configurable per portfolio universe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FR-5.3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portfolio review pack as PDF/PPTX: top holdings, factor attribution chart, sector allocation vs benchmark, CIS distribution, Markov state summary</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Board Pack Module integration required</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FR-5.4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Store run results in pim_portfolio_runs and individual holdings in pim_portfolio_holdings with full factor attribution JSON</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Enables audit trail and performance attribution</w:t>
            </w:r>
          </w:p>
        </w:tc>
      </w:tr>
    </w:tbl>
    <w:p>
      <w:pPr>
        <w:spacing w:before="0" w:after="60"/>
      </w:pPr>
    </w:p>
    <w:p>
      <w:pPr>
        <w:pStyle w:val="Heading2"/>
        <w:spacing w:before="280" w:after="100"/>
      </w:pPr>
      <w:r>
        <w:rPr>
          <w:rFonts w:ascii="Arial" w:cs="Arial" w:eastAsia="Arial" w:hAnsi="Arial"/>
          <w:b/>
          <w:bCs/>
          <w:color w:val="2E5FA3"/>
          <w:sz w:val="28"/>
          <w:szCs w:val="28"/>
        </w:rPr>
        <w:t xml:space="preserve">FR-6  Backtesting &amp;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FR-6.1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expanding-window (walk-forward) backtest with strict temporal isolation — no future data leakage into training window</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Non-negotiable for investment-grade validation</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FR-6.2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Test and report five formal hypotheses: H1 CIS predicts relative performance, H2 sentiment adds alpha over fundamentals alone, H3 sentiment alpha is horizon-dependent, H4 SPC varies with economic regime, H5 PE management residual is stable across cycles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Hypothesis testing provides statistical credibility to investment committee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FR-6.3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 for each backtest run: IC (Information Coefficient), ICIR (IC / std(IC)), SPC, Q1 hit rate, transaction-cost-adjusted performance (gross AND net)</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GIPS-compatible reporting</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FR-6.4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Store results in pim_backtest_results with full stats_json for drill-down</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Enables longitudinal model quality tracking</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FR-6.5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Automatically flag when IC &lt; 0.05 (weak predictive power) or ICIR &lt; 0.5 (unstable) and surface warning to user in UI</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limitation disclosure (SR-6)</w:t>
            </w:r>
          </w:p>
        </w:tc>
      </w:tr>
    </w:tbl>
    <w:p>
      <w:pPr>
        <w:spacing w:before="0" w:after="60"/>
      </w:pPr>
    </w:p>
    <w:p>
      <w:pPr>
        <w:pStyle w:val="Heading2"/>
        <w:spacing w:before="280" w:after="100"/>
      </w:pPr>
      <w:r>
        <w:rPr>
          <w:rFonts w:ascii="Arial" w:cs="Arial" w:eastAsia="Arial" w:hAnsi="Arial"/>
          <w:b/>
          <w:bCs/>
          <w:color w:val="2E5FA3"/>
          <w:sz w:val="28"/>
          <w:szCs w:val="28"/>
        </w:rPr>
        <w:t xml:space="preserve">FR-7  PE Benchmarking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 Note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FR-7.1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 private company to listed peer group using: sector classification, geography, stage/size proxy, and capital structure similarity</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 universe selection is the most judgment-intensive step — surface it explicitly to the user</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FR-7.2</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Compute Fundamental Percentile Rank (FPR) for private company relative to listed peer universe on available financial metrics</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FPR = what fundamentals alone predict about the company's position</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FR-7.3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Management Residual (MR) = Actual Performance - Expected Sector Return (from CIS/Markov model). Report MR with standard error and statistical significance.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MR is the core PE due diligence signal</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FR-7.4</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Generate draft investment committee memo via LLM (pim_pe_memo task label): includes peer selection rationale, FPR analysis, MR calculation, factor attribution, and investment thesis summary</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LLM provides draft; investment professional reviews before any reliance</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FR-7.5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Integrate with Ventures Module questionnaire as structured input to PE profile before benchmarking</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Reuses existing platform capability</w:t>
            </w:r>
          </w:p>
        </w:tc>
      </w:tr>
      <w:tr>
        <w:tc>
          <w:tcPr>
            <w:tcW w:type="dxa" w:w="1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FR-7.6</w:t>
            </w:r>
          </w:p>
        </w:tc>
        <w:tc>
          <w:tcPr>
            <w:tcW w:type="dxa" w:w="5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Store assessments in pim_pe_assessments with full audit trail</w:t>
            </w:r>
          </w:p>
        </w:tc>
        <w:tc>
          <w:tcPr>
            <w:tcW w:type="dxa" w:w="30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Required for investment-grade record-keeping</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4 — STATISTICAL &amp; REGULATORY STANDARDS</w:t>
            </w:r>
          </w:p>
        </w:tc>
      </w:tr>
    </w:tbl>
    <w:p>
      <w:pPr>
        <w:spacing w:before="0" w:after="80"/>
      </w:pPr>
    </w:p>
    <w:p>
      <w:pPr>
        <w:pStyle w:val="Heading1"/>
        <w:spacing w:before="360" w:after="120"/>
      </w:pPr>
      <w:r>
        <w:rPr>
          <w:rFonts w:ascii="Arial" w:cs="Arial" w:eastAsia="Arial" w:hAnsi="Arial"/>
          <w:b/>
          <w:bCs/>
          <w:color w:val="1B3A6B"/>
          <w:sz w:val="36"/>
          <w:szCs w:val="36"/>
        </w:rPr>
        <w:t xml:space="preserve">4.1  Non-Negotiable Statistical Standards</w:t>
      </w:r>
    </w:p>
    <w:p>
      <w:pPr>
        <w:spacing w:before="0" w:after="100"/>
      </w:pPr>
      <w:r>
        <w:rPr>
          <w:rFonts w:ascii="Arial" w:cs="Arial" w:eastAsia="Arial" w:hAnsi="Arial"/>
          <w:color w:val="1A1A2E"/>
          <w:sz w:val="22"/>
          <w:szCs w:val="22"/>
        </w:rPr>
        <w:t xml:space="preserve">The PIM is used by investment professionals who are subject to regulatory standards and who rely on model outputs for fiduciary decisions. The following standards are mandatory and not configurable: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 Requirement</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SR-1</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ISA 520 Compliance (Analytical Procedures)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anomaly flags must be backed by deterministic statistical tests (Z-score |z|&gt;2.5, IQR outlier, YoY deviation &gt;30%) before LLM interpretation. LLM provides narrative only. Deterministic flag = true.</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SR-2</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No Look-Ahead Contamination</w:t>
            </w:r>
          </w:p>
        </w:tc>
        <w:tc>
          <w:tcPr>
            <w:tcW w:type="dxa" w:w="6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Backtest training windows must be strictly bounded. No future price, sentiment, or economic data may be used in any training step. Enforced in code via DateBoundary class.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SR-3</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Mandatory Uncertainty Bounds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prediction outputs must report [low, mid, high] confidence intervals with their standard errors. No point estimates without uncertainty bounds anywhere in the module.</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SR-4</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Laplace Smoothing for Sparse States</w:t>
            </w:r>
          </w:p>
        </w:tc>
        <w:tc>
          <w:tcPr>
            <w:tcW w:type="dxa" w:w="6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Markov transition matrix must be estimated with Laplace smoothing (alpha configurable, default 1/n_states) to handle states with fewer than 5 observations.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SR-5</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SPC Statistical Significance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Sentiment Prediction Contribution metric must report both point estimate and p-value. The UI must warn users when SPC p-value &gt; 0.05 (sentiment not statistically significant).</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SR-6</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Mandatory Limitation Disclosure</w:t>
            </w:r>
          </w:p>
        </w:tc>
        <w:tc>
          <w:tcPr>
            <w:tcW w:type="dxa" w:w="6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The UI must surface model limitations at the point of output consumption, not buried in documentation. Minimum disclosure: model training period, data quality rating, IC/ICIR values, and transaction cost assumptions.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SR-7</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Cost Reporting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Backtest performance must report both gross and net-of-cost metrics. Default transaction cost assumptions must be configurable and disclosed.</w:t>
            </w:r>
          </w:p>
        </w:tc>
      </w:tr>
    </w:tbl>
    <w:p>
      <w:pPr>
        <w:spacing w:before="0" w:after="80"/>
      </w:pPr>
    </w:p>
    <w:p>
      <w:pPr>
        <w:pStyle w:val="Heading1"/>
        <w:spacing w:before="360" w:after="120"/>
      </w:pPr>
      <w:r>
        <w:rPr>
          <w:rFonts w:ascii="Arial" w:cs="Arial" w:eastAsia="Arial" w:hAnsi="Arial"/>
          <w:b/>
          <w:bCs/>
          <w:color w:val="1B3A6B"/>
          <w:sz w:val="36"/>
          <w:szCs w:val="36"/>
        </w:rPr>
        <w:t xml:space="preserve">4.2  Required Limitations Disclosure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single" w:color="1B2A4A" w:sz="1"/>
              <w:right w:val="single" w:color="CBD5E0" w:sz="1"/>
            </w:tcBorders>
            <w:shd w:fill="F0F4FA"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Model Limitations — Required Disclosure to Investment Professionals</w:t>
            </w:r>
          </w:p>
          <w:p>
            <w:pPr>
              <w:spacing w:before="0" w:after="0"/>
            </w:pPr>
            <w:r>
              <w:rPr>
                <w:rFonts w:ascii="Arial" w:cs="Arial" w:eastAsia="Arial" w:hAnsi="Arial"/>
                <w:color w:val="1A1A2E"/>
                <w:sz w:val="22"/>
                <w:szCs w:val="22"/>
              </w:rPr>
              <w:t xml:space="preserve">1. This model uses historical data to estimate future relationships. Past patterns do not guarantee future results. 2. Sentiment signals are derived from text analysis and may not capture all relevant market information. 3. Markov transition matrices estimated from limited state observations are regularised with smoothing; prediction intervals widen accordingly. 4. Private company valuations using listed peer proxies introduce additional uncertainty not captured in FPR confidence bounds. 5. All outputs are analytical inputs to professional judgement — they are not investment recommendations.</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5 — DATA ARCHITECTURE</w:t>
            </w:r>
          </w:p>
        </w:tc>
      </w:tr>
    </w:tbl>
    <w:p>
      <w:pPr>
        <w:spacing w:before="0" w:after="80"/>
      </w:pPr>
    </w:p>
    <w:p>
      <w:pPr>
        <w:pStyle w:val="Heading1"/>
        <w:spacing w:before="360" w:after="120"/>
      </w:pPr>
      <w:r>
        <w:rPr>
          <w:rFonts w:ascii="Arial" w:cs="Arial" w:eastAsia="Arial" w:hAnsi="Arial"/>
          <w:b/>
          <w:bCs/>
          <w:color w:val="1B3A6B"/>
          <w:sz w:val="36"/>
          <w:szCs w:val="36"/>
        </w:rPr>
        <w:t xml:space="preserve">5.1  Sentiment Data Sources — Three-Tier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1000"/>
        <w:gridCol w:w="1200"/>
        <w:gridCol w:w="1560"/>
      </w:tblGrid>
      <w:tr>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Category</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 Sources</w:t>
            </w:r>
          </w:p>
        </w:tc>
        <w:tc>
          <w:tcPr>
            <w:tcW w:type="dxa" w:w="1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c>
          <w:tcPr>
            <w:tcW w:type="dxa" w:w="1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 Phase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1 — Free Public APIs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Regulatory Filings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 EDGAR (EDGAR Full-Text API), SEDAR+ (Canadian), JSE SENS (South African), ASX Market Announcements</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structured, official</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Tier 1 — Free Public APIs</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Earnings Transcripts</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Seeking Alpha Earnings Calendar (public summaries), company IR pages (PDF parsing)</w:t>
            </w:r>
          </w:p>
        </w:tc>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 — PDF extraction quality varies</w:t>
            </w:r>
          </w:p>
        </w:tc>
        <w:tc>
          <w:tcPr>
            <w:tcW w:type="dxa" w:w="1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1-2</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1 — Free Public APIs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News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NewsAPI.org (free tier), RSS feeds from Bloomberg/Reuters public feeds, Financial Times free API</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 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Tier 2 — Commercial Providers</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Structured Sentiment</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AlphaSense (enterprise search), Intrinio (financial data API), Refinitiv Eikon News API</w:t>
            </w:r>
          </w:p>
        </w:tc>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$2,000-15,000/yr</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Very High — curated, structured</w:t>
            </w:r>
          </w:p>
        </w:tc>
        <w:tc>
          <w:tcPr>
            <w:tcW w:type="dxa" w:w="1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3-4</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2 — Commercial Providers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Analyst Reports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S&amp;P Global Market Intelligence, Morningstar Direct, FactSet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$10,000-50,000/yr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 — professional grade</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Tier 3 — Premium Alt Data</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Social / Forum Sentiment</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Quiver Quantitative, StockTwits Enterprise, Reddit Financial API</w:t>
            </w:r>
          </w:p>
        </w:tc>
        <w:tc>
          <w:tcPr>
            <w:tcW w:type="dxa" w:w="1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$1,000-5,000/yr</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 — high signal noise</w:t>
            </w:r>
          </w:p>
        </w:tc>
        <w:tc>
          <w:tcPr>
            <w:tcW w:type="dxa" w:w="1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3 — Premium Alt Data</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 Satellite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Similarweb (web traffic), Orbital Insight (satellite), Preqin (PE-specific)</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$20,000+/yr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non-traditional alpha</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Future roadmap</w:t>
            </w:r>
          </w:p>
        </w:tc>
      </w:tr>
    </w:tbl>
    <w:p>
      <w:pPr>
        <w:spacing w:before="0" w:after="80"/>
      </w:pPr>
    </w:p>
    <w:p>
      <w:pPr>
        <w:pStyle w:val="Heading1"/>
        <w:spacing w:before="360" w:after="120"/>
      </w:pPr>
      <w:r>
        <w:rPr>
          <w:rFonts w:ascii="Arial" w:cs="Arial" w:eastAsia="Arial" w:hAnsi="Arial"/>
          <w:b/>
          <w:bCs/>
          <w:color w:val="1B3A6B"/>
          <w:sz w:val="36"/>
          <w:szCs w:val="36"/>
        </w:rPr>
        <w:t xml:space="preserve">5.2  Database Schema — New PIM Tables (9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00"/>
        <w:gridCol w:w="3040"/>
        <w:gridCol w:w="2160"/>
      </w:tblGrid>
      <w:tr>
        <w:tc>
          <w:tcPr>
            <w:tcW w:type="dxa" w:w="21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04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1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pim_universes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universe_id UUID</w:t>
            </w:r>
          </w:p>
        </w:tc>
        <w:tc>
          <w:tcPr>
            <w:tcW w:type="dxa" w:w="3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sectors[], geographies[], exchanges[], horizon_months, config_json, tenant_id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universe definitions — defines the investment scope</w:t>
            </w:r>
          </w:p>
        </w:tc>
      </w:tr>
      <w:tr>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pim_sentiment_signals</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signal_id UUID</w:t>
            </w:r>
          </w:p>
        </w:tc>
        <w:tc>
          <w:tcPr>
            <w:tcW w:type="dxa" w:w="3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company_id, sector_id, signal_date, source_type, raw_score[-1..1], stripped_score, confidence[0..1], task_label, tenant_id</w:t>
            </w:r>
          </w:p>
        </w:tc>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Individual scored sentiment events, one record per source per company per date</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pim_sentiment_aggregates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aggregate_id UUID</w:t>
            </w:r>
          </w:p>
        </w:tc>
        <w:tc>
          <w:tcPr>
            <w:tcW w:type="dxa" w:w="3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entity_id, period_start, period_end, raw_score, local_stripped, global_stripped, signal_count, decay_weight, tenant_id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Bucketed aggregated sentiment — three overlay-stripped variants</w:t>
            </w:r>
          </w:p>
        </w:tc>
      </w:tr>
      <w:tr>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pim_economic_snapshots</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snapshot_id UUID</w:t>
            </w:r>
          </w:p>
        </w:tc>
        <w:tc>
          <w:tcPr>
            <w:tcW w:type="dxa" w:w="3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country_code, snapshot_date, pmi, cpi_yoy, rate_spread_bps, fx_vol_index, credit_conditions, global_sentiment_index, tenant_id</w:t>
            </w:r>
          </w:p>
        </w:tc>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Per-period macro indicator sets by region</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pim_portfolio_runs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run_id UUID</w:t>
            </w:r>
          </w:p>
        </w:tc>
        <w:tc>
          <w:tcPr>
            <w:tcW w:type="dxa" w:w="3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universe_id, run_date, methodology_config_json, holdings_json, sector_weights_json, benchmark_id, constraint_json, tenant_id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construction run results with full config audit trail</w:t>
            </w:r>
          </w:p>
        </w:tc>
      </w:tr>
      <w:tr>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pim_portfolio_holdings</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holding_id UUID</w:t>
            </w:r>
          </w:p>
        </w:tc>
        <w:tc>
          <w:tcPr>
            <w:tcW w:type="dxa" w:w="3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run_id, company_id, weight_pct, cis_score, fundamental_score, sentiment_score, factor_attribution_json, constraint_binding, tenant_id</w:t>
            </w:r>
          </w:p>
        </w:tc>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Individual holdings within a run with full factor attribution</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pim_backtest_results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backtest_id UUID</w:t>
            </w:r>
          </w:p>
        </w:tc>
        <w:tc>
          <w:tcPr>
            <w:tcW w:type="dxa" w:w="3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universe_id, methodology_config_json, training_start, training_end, horizon_weeks, ic, icir, spc, spc_pvalue, hit_rate_q1, gross_return, net_return, stats_json, tenant_id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backtest result per methodology/horizon combination</w:t>
            </w:r>
          </w:p>
        </w:tc>
      </w:tr>
      <w:tr>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pim_markov_states</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state_id UUID</w:t>
            </w:r>
          </w:p>
        </w:tc>
        <w:tc>
          <w:tcPr>
            <w:tcW w:type="dxa" w:w="304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universe_id, snapshot_date, state_vector_json, transition_matrix_json, mixing_time_estimate, factor_weights_json, spc, spc_pvalue, iteration_count, tenant_id</w:t>
            </w:r>
          </w:p>
        </w:tc>
        <w:tc>
          <w:tcPr>
            <w:tcW w:type="dxa" w:w="2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Markov chain state snapshot with full uncertainty metadata</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pim_pe_assessments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assessment_id UUID</w:t>
            </w:r>
          </w:p>
        </w:tc>
        <w:tc>
          <w:tcPr>
            <w:tcW w:type="dxa" w:w="3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company_name, sector_id, peer_universe_id, fpr_percentile, fpr_confidence_interval, management_residual, mr_pvalue, factor_attribution_json, memo_draft, assessment_date, tenant_id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 target benchmarking assessments with statistical significance</w:t>
            </w:r>
          </w:p>
        </w:tc>
      </w:tr>
    </w:tbl>
    <w:p>
      <w:pPr>
        <w:spacing w:before="0" w:after="80"/>
      </w:pPr>
    </w:p>
    <w:p>
      <w:pPr>
        <w:pStyle w:val="Heading1"/>
        <w:spacing w:before="360" w:after="120"/>
      </w:pPr>
      <w:r>
        <w:rPr>
          <w:rFonts w:ascii="Arial" w:cs="Arial" w:eastAsia="Arial" w:hAnsi="Arial"/>
          <w:b/>
          <w:bCs/>
          <w:color w:val="1B3A6B"/>
          <w:sz w:val="36"/>
          <w:szCs w:val="36"/>
        </w:rPr>
        <w:t xml:space="preserve">5.3  LLM Task Labels — New for PIM (6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900"/>
        <w:gridCol w:w="2000"/>
        <w:gridCol w:w="3760"/>
      </w:tblGrid>
      <w:tr>
        <w:tc>
          <w:tcPr>
            <w:tcW w:type="dxa" w:w="2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 Label</w:t>
            </w:r>
          </w:p>
        </w:tc>
        <w:tc>
          <w:tcPr>
            <w:tcW w:type="dxa" w:w="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Temp</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 Priority</w:t>
            </w:r>
          </w:p>
        </w:tc>
        <w:tc>
          <w:tcPr>
            <w:tcW w:type="dxa" w:w="3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pim_sentiment_extraction</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2048</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claude-sonnet (primary)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Extract structured sentiment scores from raw text. Deterministic post-processing validates scores before storage.</w:t>
            </w:r>
          </w:p>
        </w:tc>
      </w:tr>
      <w:tr>
        <w:tc>
          <w:tcPr>
            <w:tcW w:type="dxa" w:w="2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pim_sentiment_summary</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0.3</w:t>
            </w:r>
          </w:p>
        </w:tc>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1024</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claude-haiku (cost)</w:t>
            </w:r>
          </w:p>
        </w:tc>
        <w:tc>
          <w:tcPr>
            <w:tcW w:type="dxa" w:w="3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Narrative summary of sentiment evolution over a period for portfolio review packs.</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pim_factor_attribution</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1024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claude-sonnet</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factor attribution narrative: why is this company ranked at this CIS level?</w:t>
            </w:r>
          </w:p>
        </w:tc>
      </w:tr>
      <w:tr>
        <w:tc>
          <w:tcPr>
            <w:tcW w:type="dxa" w:w="2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pim_pe_memo</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0.4</w:t>
            </w:r>
          </w:p>
        </w:tc>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3000</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claude-sonnet (quality)</w:t>
            </w:r>
          </w:p>
        </w:tc>
        <w:tc>
          <w:tcPr>
            <w:tcW w:type="dxa" w:w="3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Draft investment committee memo for PE assessment. LLM draft only — professional review required before reliance.</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pim_portfolio_narrative</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2048</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claude-haiku</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Portfolio-level narrative for board pack integration: overall thesis, key tilts, risk factors.</w:t>
            </w:r>
          </w:p>
        </w:tc>
      </w:tr>
      <w:tr>
        <w:tc>
          <w:tcPr>
            <w:tcW w:type="dxa" w:w="21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pim_backtest_commentary</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0.2</w:t>
            </w:r>
          </w:p>
        </w:tc>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1024</w:t>
            </w:r>
          </w:p>
        </w:tc>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claude-haiku</w:t>
            </w:r>
          </w:p>
        </w:tc>
        <w:tc>
          <w:tcPr>
            <w:tcW w:type="dxa" w:w="3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Narrative interpretation of backtest results: IC/ICIR trends, SPC significance, optimal horizon rationale.</w:t>
            </w:r>
          </w:p>
        </w:tc>
      </w:tr>
    </w:tbl>
    <w:p>
      <w:pPr>
        <w:spacing w:before="0" w:after="80"/>
      </w:pPr>
    </w:p>
    <w:p>
      <w:pPr>
        <w:pStyle w:val="Heading1"/>
        <w:spacing w:before="360" w:after="120"/>
      </w:pPr>
      <w:r>
        <w:rPr>
          <w:rFonts w:ascii="Arial" w:cs="Arial" w:eastAsia="Arial" w:hAnsi="Arial"/>
          <w:b/>
          <w:bCs/>
          <w:color w:val="1B3A6B"/>
          <w:sz w:val="36"/>
          <w:szCs w:val="36"/>
        </w:rPr>
        <w:t xml:space="preserve">5.4  Billing Gate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 Flag</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pim_enabled (boolean) per tenant in tenants table. Default: false. Set to true by admin at tenant onboarding or billing event.</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Access Check</w:t>
            </w:r>
          </w:p>
        </w:tc>
        <w:tc>
          <w:tcPr>
            <w:tcW w:type="dxa" w:w="7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check_pim_access(tenant_id) verifies pim_enabled. When billing module is activated, also calls billing.check_addon_active(tenant_id, 'pim'). Zero PIM code changes required at billing activation.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Usage Metering</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PIM LLM calls use task_labels prefixed pim_. Token usage auto-attributed to PIM add-on in billing records via existing LLM metering infrastructure.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Pricing Unit</w:t>
            </w:r>
          </w:p>
        </w:tc>
        <w:tc>
          <w:tcPr>
            <w:tcW w:type="dxa" w:w="7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Suggested: per portfolio run ($X) + per PE assessment ($Y) + LLM tokens consumed ($Z/1k). All configurable in billing_plans table.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Graceful Degradation</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pim_enabled=false returns HTTP 403: {detail: 'PIM module not enabled', upgrade_url: '/billing/addons/pim'}</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6 — PIM BUILD PLAN — 7 PHASES</w:t>
            </w:r>
          </w:p>
        </w:tc>
      </w:tr>
    </w:tbl>
    <w:p>
      <w:pPr>
        <w:spacing w:before="0" w:after="80"/>
      </w:pPr>
    </w:p>
    <w:p>
      <w:pPr>
        <w:pStyle w:val="Heading1"/>
        <w:spacing w:before="360" w:after="120"/>
      </w:pPr>
      <w:r>
        <w:rPr>
          <w:rFonts w:ascii="Arial" w:cs="Arial" w:eastAsia="Arial" w:hAnsi="Arial"/>
          <w:b/>
          <w:bCs/>
          <w:color w:val="1B3A6B"/>
          <w:sz w:val="36"/>
          <w:szCs w:val="36"/>
        </w:rPr>
        <w:t xml:space="preserve">6.1  Phase Overview &amp; Entry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2400"/>
        <w:gridCol w:w="2760"/>
      </w:tblGrid>
      <w:tr>
        <w:tc>
          <w:tcPr>
            <w:tcW w:type="dxa" w:w="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Entry Gate</w:t>
            </w:r>
          </w:p>
        </w:tc>
        <w:tc>
          <w:tcPr>
            <w:tcW w:type="dxa" w:w="2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Pre-PIM Remediation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 must complete first</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gated remediations (CR-S2, S4, S5, F1, F2, F3, T1) closed and tested</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Foundation &amp; Data Layer</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0 complete</w:t>
            </w:r>
          </w:p>
        </w:tc>
        <w:tc>
          <w:tcPr>
            <w:tcW w:type="dxa" w:w="2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DB schema (9 tables), billing gate middleware, pim_universes CRUD, Tier 1 data connectors (EDGAR, SEDAR+)</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Sentiment Ingestion Engine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complete</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extraction pipeline, recency decay, economic overlay stripping, pim_sentiment_signals populated</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CIS &amp; Portfolio Scoring Engine</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 complete</w:t>
            </w:r>
          </w:p>
        </w:tc>
        <w:tc>
          <w:tcPr>
            <w:tcW w:type="dxa" w:w="2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CIS computation with 5 factors, FPR calculation, constraint-aware portfolio construction, factor attribution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Chain Prediction Engine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complete</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81-state Markov model, adaptive iteration, SPC metric with p-value, pim_markov_states snapshots</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Backtesting &amp; Validation Framework</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 complete</w:t>
            </w:r>
          </w:p>
        </w:tc>
        <w:tc>
          <w:tcPr>
            <w:tcW w:type="dxa" w:w="2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Expanding-window backtest, 5 hypothesis tests, IC/ICIR/SPC reporting, gross+net performance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 Benchmarking Engine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complete</w:t>
            </w:r>
          </w:p>
        </w:tc>
        <w:tc>
          <w:tcPr>
            <w:tcW w:type="dxa" w:w="2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 group mapping, FPR for private companies, Management Residual with significance, IC memo draft</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Frontend, Outputs &amp; Integration</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6 complete</w:t>
            </w:r>
          </w:p>
        </w:tc>
        <w:tc>
          <w:tcPr>
            <w:tcW w:type="dxa" w:w="2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 dashboard UI, portfolio review pack PDF/PPTX, Board Pack integration, limitations disclosure UI</w:t>
            </w:r>
          </w:p>
        </w:tc>
      </w:tr>
    </w:tbl>
    <w:p>
      <w:pPr>
        <w:spacing w:before="0" w:after="60"/>
      </w:pPr>
    </w:p>
    <w:p>
      <w:pPr>
        <w:pStyle w:val="Heading1"/>
        <w:spacing w:before="360" w:after="120"/>
      </w:pPr>
      <w:r>
        <w:rPr>
          <w:rFonts w:ascii="Arial" w:cs="Arial" w:eastAsia="Arial" w:hAnsi="Arial"/>
          <w:b/>
          <w:bCs/>
          <w:color w:val="1B3A6B"/>
          <w:sz w:val="36"/>
          <w:szCs w:val="36"/>
        </w:rPr>
        <w:t xml:space="preserve">6.2  Phase 0 — Pre-PIM Remediation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bottom w:val="single" w:color="C0392B" w:sz="1"/>
              <w:right w:val="single" w:color="CBD5E0" w:sz="1"/>
            </w:tcBorders>
            <w:shd w:fill="FFF0F0"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CRITICAL PATH</w:t>
            </w:r>
          </w:p>
          <w:p>
            <w:pPr>
              <w:spacing w:before="0" w:after="0"/>
            </w:pPr>
            <w:r>
              <w:rPr>
                <w:rFonts w:ascii="Arial" w:cs="Arial" w:eastAsia="Arial" w:hAnsi="Arial"/>
                <w:color w:val="1A1A2E"/>
                <w:sz w:val="22"/>
                <w:szCs w:val="22"/>
              </w:rPr>
              <w:t xml:space="preserve">Phase 0 is not optional. Work on Phases 1-7 must not begin until all 7 gated issues are closed, reviewed, and merged. These fixes address financial accuracy, authentication security, and performance foundations that PIM builds upon.</w:t>
            </w:r>
          </w:p>
        </w:tc>
      </w:tr>
    </w:tbl>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400"/>
        <w:gridCol w:w="4560"/>
        <w:gridCol w:w="600"/>
      </w:tblGrid>
      <w:tr>
        <w:tc>
          <w:tcPr>
            <w:tcW w:type="dxa" w:w="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 Description</w:t>
            </w:r>
          </w:p>
        </w:tc>
        <w:tc>
          <w:tcPr>
            <w:tcW w:type="dxa" w:w="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P0-1</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services/afs/analytics_ai.py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_compute_statistical_flags(series). Pre-compute Z-score (|z|&gt;2.5), IQR outlier, YoY deviation (&gt;30%). Pass flags + stats to LLM for narrative only. ISA 520 compliant.</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P0-2</w:t>
            </w:r>
          </w:p>
        </w:tc>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CR-S4</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middleware/auth.py</w:t>
            </w:r>
          </w:p>
        </w:tc>
        <w:tc>
          <w:tcPr>
            <w:tcW w:type="dxa" w:w="4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Add asyncio.Lock for JWKS cache. Replace httpx.get() with await httpx.AsyncClient().get() with 5.0s timeout.</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P0-3</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CR-S5</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routers/runs.py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synchronous redis with redis.asyncio. Initialise pool in FastAPI lifespan context. Raise structured exceptions on failure.</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P0-4</w:t>
            </w:r>
          </w:p>
        </w:tc>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services/valuation.py</w:t>
            </w:r>
          </w:p>
        </w:tc>
        <w:tc>
          <w:tcPr>
            <w:tcW w:type="dxa" w:w="4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Change (t+1)/12.0 to (t+0.5)/12.0. Change terminal value convention to (n-0.5)/12.0. Update 3 test cases.</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P0-5</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services/valuation.py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EV calculation: equity_value = ev - net_debt - minority_interest + cash. Add equity_value and equity_bridge_json to DCF output.</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P0-6</w:t>
            </w:r>
          </w:p>
        </w:tc>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services/valuation.py</w:t>
            </w:r>
          </w:p>
        </w:tc>
        <w:tc>
          <w:tcPr>
            <w:tcW w:type="dxa" w:w="4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Exit multiple must apply to EBITDA at terminal year, not FCF. Require ebitda_terminal parameter; add assertion.</w:t>
            </w:r>
          </w:p>
        </w:tc>
        <w:tc>
          <w:tcPr>
            <w:tcW w:type="dxa" w:w="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P0-7</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CR-T1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services/monte_carlo.py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Parallelise simulation paths using ProcessPoolExecutor. Worker function must be picklable (module-level, not lambda).</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80"/>
      </w:pPr>
    </w:p>
    <w:p>
      <w:pPr>
        <w:pStyle w:val="Heading1"/>
        <w:spacing w:before="360" w:after="120"/>
      </w:pPr>
      <w:r>
        <w:rPr>
          <w:rFonts w:ascii="Arial" w:cs="Arial" w:eastAsia="Arial" w:hAnsi="Arial"/>
          <w:b/>
          <w:bCs/>
          <w:color w:val="1B3A6B"/>
          <w:sz w:val="36"/>
          <w:szCs w:val="36"/>
        </w:rPr>
        <w:t xml:space="preserve">6.3  Phase 1 — Foundation &amp; Data Layer</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160"/>
      </w:tblGrid>
      <w:tr>
        <w:tc>
          <w:tcPr>
            <w:tcW w:type="dxa" w:w="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P1-1</w:t>
            </w:r>
          </w:p>
        </w:tc>
        <w:tc>
          <w:tcPr>
            <w:tcW w:type="dxa" w:w="5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Alembic migrations for all 9 new PIM tables with tenant_id RLS policies on all tables</w:t>
            </w:r>
          </w:p>
        </w:tc>
        <w:tc>
          <w:tcPr>
            <w:tcW w:type="dxa" w:w="1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7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P1-2</w:t>
            </w:r>
          </w:p>
        </w:tc>
        <w:tc>
          <w:tcPr>
            <w:tcW w:type="dxa" w:w="55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Implement check_pim_access(tenant_id) middleware and pim_enabled feature flag pattern</w:t>
            </w:r>
          </w:p>
        </w:tc>
        <w:tc>
          <w:tcPr>
            <w:tcW w:type="dxa" w:w="1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P1-3</w:t>
            </w:r>
          </w:p>
        </w:tc>
        <w:tc>
          <w:tcPr>
            <w:tcW w:type="dxa" w:w="5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CRUD endpoints for pim_universes: POST /api/v1/pim/universes, GET, PATCH, DELETE</w:t>
            </w:r>
          </w:p>
        </w:tc>
        <w:tc>
          <w:tcPr>
            <w:tcW w:type="dxa" w:w="1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7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P1-4</w:t>
            </w:r>
          </w:p>
        </w:tc>
        <w:tc>
          <w:tcPr>
            <w:tcW w:type="dxa" w:w="55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Implement EDGAR Full-Text Search API connector: fetch 10-K/10-Q/8-K filings by company CIK</w:t>
            </w:r>
          </w:p>
        </w:tc>
        <w:tc>
          <w:tcPr>
            <w:tcW w:type="dxa" w:w="1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P1-5</w:t>
            </w:r>
          </w:p>
        </w:tc>
        <w:tc>
          <w:tcPr>
            <w:tcW w:type="dxa" w:w="5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SEDAR+ RSS connector for Canadian filings (TSX-listed companies)</w:t>
            </w:r>
          </w:p>
        </w:tc>
        <w:tc>
          <w:tcPr>
            <w:tcW w:type="dxa" w:w="1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7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P1-6</w:t>
            </w:r>
          </w:p>
        </w:tc>
        <w:tc>
          <w:tcPr>
            <w:tcW w:type="dxa" w:w="55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Implement JSE SENS announcement feed connector (South African equities)</w:t>
            </w:r>
          </w:p>
        </w:tc>
        <w:tc>
          <w:tcPr>
            <w:tcW w:type="dxa" w:w="1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P1-7</w:t>
            </w:r>
          </w:p>
        </w:tc>
        <w:tc>
          <w:tcPr>
            <w:tcW w:type="dxa" w:w="5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pim_economic_snapshots CRUD and CSV upload endpoint</w:t>
            </w:r>
          </w:p>
        </w:tc>
        <w:tc>
          <w:tcPr>
            <w:tcW w:type="dxa" w:w="1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7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P1-8</w:t>
            </w:r>
          </w:p>
        </w:tc>
        <w:tc>
          <w:tcPr>
            <w:tcW w:type="dxa" w:w="55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FRED API connector for US macro indicators (PMI, CPI, rate spreads)</w:t>
            </w:r>
          </w:p>
        </w:tc>
        <w:tc>
          <w:tcPr>
            <w:tcW w:type="dxa" w:w="11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P1-9</w:t>
            </w:r>
          </w:p>
        </w:tc>
        <w:tc>
          <w:tcPr>
            <w:tcW w:type="dxa" w:w="5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DTF-A developer tables: dtf_calibration_runs, dtf_historical_parameters (developer-only, RLS excludes tenants)</w:t>
            </w:r>
          </w:p>
        </w:tc>
        <w:tc>
          <w:tcPr>
            <w:tcW w:type="dxa" w:w="1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bl>
    <w:p>
      <w:pPr>
        <w:spacing w:before="0" w:after="80"/>
      </w:pPr>
    </w:p>
    <w:p>
      <w:pPr>
        <w:pStyle w:val="Heading1"/>
        <w:spacing w:before="360" w:after="120"/>
      </w:pPr>
      <w:r>
        <w:rPr>
          <w:rFonts w:ascii="Arial" w:cs="Arial" w:eastAsia="Arial" w:hAnsi="Arial"/>
          <w:b/>
          <w:bCs/>
          <w:color w:val="1B3A6B"/>
          <w:sz w:val="36"/>
          <w:szCs w:val="36"/>
        </w:rPr>
        <w:t xml:space="preserve">6.4  Phases 2-7 Summary</w:t>
      </w:r>
    </w:p>
    <w:p>
      <w:pPr>
        <w:spacing w:before="0" w:after="100"/>
      </w:pPr>
      <w:r>
        <w:rPr>
          <w:rFonts w:ascii="Arial" w:cs="Arial" w:eastAsia="Arial" w:hAnsi="Arial"/>
          <w:color w:val="1A1A2E"/>
          <w:sz w:val="22"/>
          <w:szCs w:val="22"/>
        </w:rPr>
        <w:t xml:space="preserve">Phases 2-7 are detailed in the sprint backlog (Part 7). The following summary captures key design decisions for each phase:</w:t>
      </w:r>
    </w:p>
    <w:p>
      <w:pPr>
        <w:spacing w:before="0" w:after="40"/>
      </w:pPr>
    </w:p>
    <w:p>
      <w:pPr>
        <w:pStyle w:val="Heading3"/>
        <w:spacing w:before="200" w:after="80"/>
      </w:pPr>
      <w:r>
        <w:rPr>
          <w:rFonts w:ascii="Arial" w:cs="Arial" w:eastAsia="Arial" w:hAnsi="Arial"/>
          <w:b/>
          <w:bCs/>
          <w:color w:val="1A1A2E"/>
          <w:sz w:val="24"/>
          <w:szCs w:val="24"/>
        </w:rPr>
        <w:t xml:space="preserve">Phase 2 — Sentiment Ingestion Engine</w:t>
      </w:r>
    </w:p>
    <w:p>
      <w:pPr>
        <w:spacing w:before="0" w:after="100"/>
      </w:pPr>
      <w:r>
        <w:rPr>
          <w:rFonts w:ascii="Arial" w:cs="Arial" w:eastAsia="Arial" w:hAnsi="Arial"/>
          <w:color w:val="1A1A2E"/>
          <w:sz w:val="22"/>
          <w:szCs w:val="22"/>
        </w:rPr>
        <w:t xml:space="preserve">The LLM extraction pipeline uses pim_sentiment_extraction (temp=0.1) to produce structured JSON from raw text. Post-processing validates score range (-1 to +1), confidence (0 to 1), and applies recency decay. The two-stage overlay stripping (local then global) is computed deterministically from economic snapshots — not LLM-based. Celery task: process_sentiment_batch.</w:t>
      </w:r>
    </w:p>
    <w:p>
      <w:pPr>
        <w:spacing w:before="0" w:after="40"/>
      </w:pPr>
    </w:p>
    <w:p>
      <w:pPr>
        <w:pStyle w:val="Heading3"/>
        <w:spacing w:before="200" w:after="80"/>
      </w:pPr>
      <w:r>
        <w:rPr>
          <w:rFonts w:ascii="Arial" w:cs="Arial" w:eastAsia="Arial" w:hAnsi="Arial"/>
          <w:b/>
          <w:bCs/>
          <w:color w:val="1A1A2E"/>
          <w:sz w:val="24"/>
          <w:szCs w:val="24"/>
        </w:rPr>
        <w:t xml:space="preserve">Phase 3 — CIS &amp; Portfolio Scoring Engine</w:t>
      </w:r>
    </w:p>
    <w:p>
      <w:pPr>
        <w:spacing w:before="0" w:after="100"/>
      </w:pPr>
      <w:r>
        <w:rPr>
          <w:rFonts w:ascii="Arial" w:cs="Arial" w:eastAsia="Arial" w:hAnsi="Arial"/>
          <w:color w:val="1A1A2E"/>
          <w:sz w:val="22"/>
          <w:szCs w:val="22"/>
        </w:rPr>
        <w:t xml:space="preserve">CIS is computed as a weighted sum of five factor groups. All sub-scores are normalised to z-scores relative to sector distribution before weighting, preventing scale dominance. Bootstrap resampling (n=1000) generates CIS confidence intervals. Portfolio construction is constraint-aware using scipy.optimize or a simple greedy ranking fallback.</w:t>
      </w:r>
    </w:p>
    <w:p>
      <w:pPr>
        <w:spacing w:before="0" w:after="40"/>
      </w:pPr>
    </w:p>
    <w:p>
      <w:pPr>
        <w:pStyle w:val="Heading3"/>
        <w:spacing w:before="200" w:after="80"/>
      </w:pPr>
      <w:r>
        <w:rPr>
          <w:rFonts w:ascii="Arial" w:cs="Arial" w:eastAsia="Arial" w:hAnsi="Arial"/>
          <w:b/>
          <w:bCs/>
          <w:color w:val="1A1A2E"/>
          <w:sz w:val="24"/>
          <w:szCs w:val="24"/>
        </w:rPr>
        <w:t xml:space="preserve">Phase 4 — Markov Chain Prediction Engine</w:t>
      </w:r>
    </w:p>
    <w:p>
      <w:pPr>
        <w:spacing w:before="0" w:after="100"/>
      </w:pPr>
      <w:r>
        <w:rPr>
          <w:rFonts w:ascii="Arial" w:cs="Arial" w:eastAsia="Arial" w:hAnsi="Arial"/>
          <w:color w:val="1A1A2E"/>
          <w:sz w:val="22"/>
          <w:szCs w:val="22"/>
        </w:rPr>
        <w:t xml:space="preserve">The 81-state Markov model is estimated using MLE with Laplace smoothing. The adaptive iteration count is dynamically computed from regime volatility. SPC is calculated as IC_augmented - IC_fundamental_only, with p-value from a bootstrap significance test. The mixing time estimate provides an upper bound on the prediction confidence horizon.</w:t>
      </w:r>
    </w:p>
    <w:p>
      <w:pPr>
        <w:spacing w:before="0" w:after="40"/>
      </w:pPr>
    </w:p>
    <w:p>
      <w:pPr>
        <w:pStyle w:val="Heading3"/>
        <w:spacing w:before="200" w:after="80"/>
      </w:pPr>
      <w:r>
        <w:rPr>
          <w:rFonts w:ascii="Arial" w:cs="Arial" w:eastAsia="Arial" w:hAnsi="Arial"/>
          <w:b/>
          <w:bCs/>
          <w:color w:val="1A1A2E"/>
          <w:sz w:val="24"/>
          <w:szCs w:val="24"/>
        </w:rPr>
        <w:t xml:space="preserve">Phase 5 — Backtesting &amp; Validation Framework</w:t>
      </w:r>
    </w:p>
    <w:p>
      <w:pPr>
        <w:spacing w:before="0" w:after="100"/>
      </w:pPr>
      <w:r>
        <w:rPr>
          <w:rFonts w:ascii="Arial" w:cs="Arial" w:eastAsia="Arial" w:hAnsi="Arial"/>
          <w:color w:val="1A1A2E"/>
          <w:sz w:val="22"/>
          <w:szCs w:val="22"/>
        </w:rPr>
        <w:t xml:space="preserve">Expanding-window backtest with strict DateBoundary enforcement. Five formal hypothesis tests are stored as structured results in pim_backtest_results. Performance reporting is both gross and net of configurable transaction cost assumptions. Automatic IC/ICIR warning thresholds trigger UI flags.</w:t>
      </w:r>
    </w:p>
    <w:p>
      <w:pPr>
        <w:spacing w:before="0" w:after="40"/>
      </w:pPr>
    </w:p>
    <w:p>
      <w:pPr>
        <w:pStyle w:val="Heading3"/>
        <w:spacing w:before="200" w:after="80"/>
      </w:pPr>
      <w:r>
        <w:rPr>
          <w:rFonts w:ascii="Arial" w:cs="Arial" w:eastAsia="Arial" w:hAnsi="Arial"/>
          <w:b/>
          <w:bCs/>
          <w:color w:val="1A1A2E"/>
          <w:sz w:val="24"/>
          <w:szCs w:val="24"/>
        </w:rPr>
        <w:t xml:space="preserve">Phase 6 — PE Benchmarking Engine</w:t>
      </w:r>
    </w:p>
    <w:p>
      <w:pPr>
        <w:spacing w:before="0" w:after="100"/>
      </w:pPr>
      <w:r>
        <w:rPr>
          <w:rFonts w:ascii="Arial" w:cs="Arial" w:eastAsia="Arial" w:hAnsi="Arial"/>
          <w:color w:val="1A1A2E"/>
          <w:sz w:val="22"/>
          <w:szCs w:val="22"/>
        </w:rPr>
        <w:t xml:space="preserve">Peer group mapping uses sector code, geography, revenue band, and capital structure similarity. Management Residual = Actual Performance - Expected Sector Return from CIS/Markov model. MR significance is tested via t-test against the peer distribution. Investment committee memo drafted by pim_pe_memo LLM task.</w:t>
      </w:r>
    </w:p>
    <w:p>
      <w:pPr>
        <w:spacing w:before="0" w:after="40"/>
      </w:pPr>
    </w:p>
    <w:p>
      <w:pPr>
        <w:pStyle w:val="Heading3"/>
        <w:spacing w:before="200" w:after="80"/>
      </w:pPr>
      <w:r>
        <w:rPr>
          <w:rFonts w:ascii="Arial" w:cs="Arial" w:eastAsia="Arial" w:hAnsi="Arial"/>
          <w:b/>
          <w:bCs/>
          <w:color w:val="1A1A2E"/>
          <w:sz w:val="24"/>
          <w:szCs w:val="24"/>
        </w:rPr>
        <w:t xml:space="preserve">Phase 7 — Frontend, Outputs &amp; Integration</w:t>
      </w:r>
    </w:p>
    <w:p>
      <w:pPr>
        <w:spacing w:before="0" w:after="100"/>
      </w:pPr>
      <w:r>
        <w:rPr>
          <w:rFonts w:ascii="Arial" w:cs="Arial" w:eastAsia="Arial" w:hAnsi="Arial"/>
          <w:color w:val="1A1A2E"/>
          <w:sz w:val="22"/>
          <w:szCs w:val="22"/>
        </w:rPr>
        <w:t xml:space="preserve">PIM dashboard includes: universe management, sentiment signal explorer, portfolio run results with factor attribution visualisation, Markov state visualisation, backtest results browser, PE assessment workflow. PDF/PPTX output via existing Board Pack infrastructure. Limitations disclosure surfaces at each output consumption point.</w:t>
      </w: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7 — MASTER BACKLOG (71 ITEMS)</w:t>
            </w:r>
          </w:p>
        </w:tc>
      </w:tr>
    </w:tbl>
    <w:p>
      <w:pPr>
        <w:spacing w:before="0" w:after="80"/>
      </w:pPr>
    </w:p>
    <w:p>
      <w:pPr>
        <w:pStyle w:val="Heading1"/>
        <w:spacing w:before="360" w:after="120"/>
      </w:pPr>
      <w:r>
        <w:rPr>
          <w:rFonts w:ascii="Arial" w:cs="Arial" w:eastAsia="Arial" w:hAnsi="Arial"/>
          <w:b/>
          <w:bCs/>
          <w:color w:val="1B3A6B"/>
          <w:sz w:val="36"/>
          <w:szCs w:val="36"/>
        </w:rPr>
        <w:t xml:space="preserve">7.1  Effort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Engineer-Days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 Small</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0.5 days</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Small</w:t>
            </w:r>
          </w:p>
        </w:tc>
        <w:tc>
          <w:tcPr>
            <w:tcW w:type="dxa" w:w="5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0.5 - 1 day</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2 - 3 days</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Large</w:t>
            </w:r>
          </w:p>
        </w:tc>
        <w:tc>
          <w:tcPr>
            <w:tcW w:type="dxa" w:w="5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4 - 6 days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XL</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 Large</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7 - 10 days</w:t>
            </w:r>
          </w:p>
        </w:tc>
      </w:tr>
    </w:tbl>
    <w:p>
      <w:pPr>
        <w:spacing w:before="0" w:after="60"/>
      </w:pPr>
    </w:p>
    <w:p>
      <w:pPr>
        <w:pStyle w:val="Heading1"/>
        <w:spacing w:before="360" w:after="120"/>
      </w:pPr>
      <w:r>
        <w:rPr>
          <w:rFonts w:ascii="Arial" w:cs="Arial" w:eastAsia="Arial" w:hAnsi="Arial"/>
          <w:b/>
          <w:bCs/>
          <w:color w:val="1B3A6B"/>
          <w:sz w:val="36"/>
          <w:szCs w:val="36"/>
        </w:rPr>
        <w:t xml:space="preserve">7.2  Sprint 0 — Pre-PIM Remediation Gates (7 items, ~2 weeks)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REM-01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pre-processing for anomaly detection: Z-score, IQR, YoY deviation before LLM</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REM-02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CR-S4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JWKS cache: asyncio.Lock + replace httpx.get() with AsyncClient (5s timeout)</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REM-03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CR-S5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synchronous Redis with redis.asyncio; fix lifespan initialisation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REM-04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Exit multiple on EBITDA not FCF; require ebitda_terminal with assertion</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REM-05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DCF mid-year convention: (t+0.5)/12 and (n-0.5)/12 for terminal. Update 3 tests.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REM-06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CR-F2</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DCF equity bridge: add net_debt, minority_interest, equity_value to output</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REM-07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CR-T1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Monte Carlo parallelisation via ProcessPoolExecutor with picklable worker function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60"/>
      </w:pPr>
    </w:p>
    <w:p>
      <w:pPr>
        <w:pStyle w:val="Heading1"/>
        <w:spacing w:before="360" w:after="120"/>
      </w:pPr>
      <w:r>
        <w:rPr>
          <w:rFonts w:ascii="Arial" w:cs="Arial" w:eastAsia="Arial" w:hAnsi="Arial"/>
          <w:b/>
          <w:bCs/>
          <w:color w:val="1B3A6B"/>
          <w:sz w:val="36"/>
          <w:szCs w:val="36"/>
        </w:rPr>
        <w:t xml:space="preserve">7.3  Sprint 1 — Platform Remediation Continues + PIM Phase 1 (11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REM-08</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CR-Q4</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status fix: align 'succeeded' check; add RunStatus enum in TypeScript</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REM-09</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CR-F4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Tax loss carryforward (NOL) in multi-year IS model</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REM-10</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CR-F5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IAS 21 multi-rate FX: average rate for IS, closing rate for BS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REM-11</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CR-Q1</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Decompose generate_statements() into 5 focused functions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PIM-1.1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Alembic migrations for all 9 PIM tables with tenant_id RLS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13</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PIM-1.2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check_pim_access() middleware and pim_enabled feature flag</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PIM-1.3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pim_universes CRUD endpoints (POST, GET, PATCH, DELETE)</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PIM-1.4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SEC EDGAR Full-Text API connector: 10-K, 10-Q, 8-K by CIK</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PIM-1.5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SEDAR+ RSS connector for Canadian filings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17</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PIM-1.6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pim_economic_snapshots CRUD + CSV upload endpoint</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PIM-1.7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FRED API connector: PMI, CPI, rate spreads for US macro</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bl>
    <w:p>
      <w:pPr>
        <w:spacing w:before="0" w:after="60"/>
      </w:pPr>
    </w:p>
    <w:p>
      <w:pPr>
        <w:pStyle w:val="Heading1"/>
        <w:spacing w:before="360" w:after="120"/>
      </w:pPr>
      <w:r>
        <w:rPr>
          <w:rFonts w:ascii="Arial" w:cs="Arial" w:eastAsia="Arial" w:hAnsi="Arial"/>
          <w:b/>
          <w:bCs/>
          <w:color w:val="1B3A6B"/>
          <w:sz w:val="36"/>
          <w:szCs w:val="36"/>
        </w:rPr>
        <w:t xml:space="preserve">7.4  Sprint 2 — Platform Quality + PIM Phase 2 Sentiment Engine (12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REM-12</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Split budgets.py into 4 modules: crud, variance, actuals, llm</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REM-13</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Extract AFS orchestration to services/afs/ — thin router handlers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REM-14</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 N+1 budget dashboard: batch query WHERE id = ANY($1)</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REM-15</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CR-Q6</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Add ALLOWED_SORT_COLUMNS SQL allowlists in afs.py and budgets.py</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PIM-2.1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sentiment extraction pipeline: pim_sentiment_extraction task + deterministic post-processing</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PIM-2.2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Recency decay function: w(t) = exp(-lambda * days_since), configurable lambda per source type</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PIM-2.3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Two-stage economic overlay stripping (local then global) — deterministic, not LLM-based</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PIM-2.4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pim_sentiment_aggregates: period bucketing and three-vector storage (raw, local-stripped, global-stripped)</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PIM-2.5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Celery task: process_sentiment_batch (async, worker-pool safe)</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PIM-2.6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NewsAPI.org connector for financial news ingestion (Tier 1)</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PIM-2.7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JSE SENS announcement feed connector (South African equities)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PIM-2.8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Sentiment ingestion unit tests: score range validation, decay function, overlay strip accuracy</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60"/>
      </w:pPr>
    </w:p>
    <w:p>
      <w:pPr>
        <w:pStyle w:val="Heading1"/>
        <w:spacing w:before="360" w:after="120"/>
      </w:pPr>
      <w:r>
        <w:rPr>
          <w:rFonts w:ascii="Arial" w:cs="Arial" w:eastAsia="Arial" w:hAnsi="Arial"/>
          <w:b/>
          <w:bCs/>
          <w:color w:val="1B3A6B"/>
          <w:sz w:val="36"/>
          <w:szCs w:val="36"/>
        </w:rPr>
        <w:t xml:space="preserve">7.5  Sprint 3 — CIS Engine + More Remediations (10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REM-16</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bare except: pass with structured WARNING logging (6 files)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REM-17</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CR-Q8</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Define IncomeStatementRow, BalanceSheetRow, CashFlowRow TypeScript types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REM-18</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CR-Q9</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parameter_path allowlist to sensitivity analysis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PIM-3.1</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CIS computation engine: 5 factor groups, z-score normalisation, configurable weights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PIM-3.2</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Fundamental Percentile Rank (FPR): rank companies within sector on 5 financial ratios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PIM-3.3</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Bootstrap CIS confidence intervals (n=1000 resamples)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PIM-3.4</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Constraint-aware portfolio construction: max weight, sector concentration, min holding count</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PIM-3.5</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Factor attribution JSON computation: each component contribution, direction, percentile</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PIM-3.6</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pim_portfolio_runs and pim_portfolio_holdings write paths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PIM-3.7</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CIS engine unit tests: factor normalisation, weight sum, constraint enforcement</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60"/>
      </w:pPr>
    </w:p>
    <w:p>
      <w:pPr>
        <w:pStyle w:val="Heading1"/>
        <w:spacing w:before="360" w:after="120"/>
      </w:pPr>
      <w:r>
        <w:rPr>
          <w:rFonts w:ascii="Arial" w:cs="Arial" w:eastAsia="Arial" w:hAnsi="Arial"/>
          <w:b/>
          <w:bCs/>
          <w:color w:val="1B3A6B"/>
          <w:sz w:val="36"/>
          <w:szCs w:val="36"/>
        </w:rPr>
        <w:t xml:space="preserve">7.6  Sprint 4 — Markov Chain Engine (9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PIM-4.1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81-state Markov model definition: state vector (Q, M, S, E) with 3-level discretisation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PIM-4.2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MLE transition matrix estimation with Laplace smoothing (alpha = 1/n_states configurable)</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PIM-4.3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Adaptive iteration count: f(|delta_S| + |delta_E|), regime volatility-weighted</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PIM-4.4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Mixing time estimation (spectral gap of transition matrix) as prediction confidence horizon</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PIM-4.5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SPC metric: IC_augmented - IC_fundamental_only with bootstrap p-value</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PIM-4.6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Transition matrix uncertainty propagation into prediction intervals</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PIM-4.7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pim_markov_states write path with full state snapshot JSON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PIM-4.8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Markov engine unit tests: Laplace smoothing, mixing time, SPC significance</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REM-19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DB-backed LLM policy with admin PATCH endpoint and 60s TTL cache</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60"/>
      </w:pPr>
    </w:p>
    <w:p>
      <w:pPr>
        <w:pStyle w:val="Heading1"/>
        <w:spacing w:before="360" w:after="120"/>
      </w:pPr>
      <w:r>
        <w:rPr>
          <w:rFonts w:ascii="Arial" w:cs="Arial" w:eastAsia="Arial" w:hAnsi="Arial"/>
          <w:b/>
          <w:bCs/>
          <w:color w:val="1B3A6B"/>
          <w:sz w:val="36"/>
          <w:szCs w:val="36"/>
        </w:rPr>
        <w:t xml:space="preserve">7.7  Sprint 5 — Backtesting &amp; PE Engine (9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PIM-5.1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Expanding-window backtest with DateBoundary class (strict temporal isolation)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51</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PIM-5.2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Five hypothesis test implementations (H1-H5) with structured results storage</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52</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PIM-5.3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 ICIR, Q1 hit rate, gross + net return reporting with transaction cost config</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53</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PIM-5.4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Automatic IC/ICIR threshold warnings in API response metadata</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54</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PIM-5.5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pim_backtest_results write path with full stats_json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PIM-6.1</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Peer group mapping algorithm: sector, geography, revenue band, capital structure similarity</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56</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PIM-6.2</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FPR for private companies vs listed peer universe</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57</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PIM-6.3</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Management Residual: MR = Actual - Expected with t-test significance vs peer distribution</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58</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PIM-6.4</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 memo draft via pim_pe_memo LLM task + Ventures Module integration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bl>
    <w:p>
      <w:pPr>
        <w:spacing w:before="0" w:after="60"/>
      </w:pPr>
    </w:p>
    <w:p>
      <w:pPr>
        <w:pStyle w:val="Heading1"/>
        <w:spacing w:before="360" w:after="120"/>
      </w:pPr>
      <w:r>
        <w:rPr>
          <w:rFonts w:ascii="Arial" w:cs="Arial" w:eastAsia="Arial" w:hAnsi="Arial"/>
          <w:b/>
          <w:bCs/>
          <w:color w:val="1B3A6B"/>
          <w:sz w:val="36"/>
          <w:szCs w:val="36"/>
        </w:rPr>
        <w:t xml:space="preserve">7.8  Sprint 6 — Frontend, Outputs &amp; Finalisation (13 items)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
        <w:gridCol w:w="760"/>
        <w:gridCol w:w="760"/>
        <w:gridCol w:w="5280"/>
        <w:gridCol w:w="660"/>
      </w:tblGrid>
      <w:tr>
        <w:tc>
          <w:tcPr>
            <w:tcW w:type="dxa" w:w="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PIM-7.1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dashboard: universe management, navigation, module entry point</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PIM-7.2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Sentiment signal explorer: timeline view, source breakdown, overlay comparison</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PIM-7.3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run results UI: CIS rankings, factor attribution charts, constraint status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PIM-7.4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Markov state visualisation: current state, transition probabilities, SPC significance display</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PIM-7.5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Backtest results browser: IC/ICIR trends, horizon analysis, hypothesis test summaries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64</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PIM-7.6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 assessment workflow UI: peer selection, FPR display, MR chart, memo preview</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65</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PIM-7.7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Mandatory limitations disclosure component: surfaces at each output consumption point</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66</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PIM-7.8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PDF portfolio review pack generation via Board Pack Module integration</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67</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PIM-7.9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PPTX portfolio deck generation</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68</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REM-20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CR-N1</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Frontend page-level smoke tests: 6 priority pages (PIM pages included)</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69</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REM-21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CR-N2</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Wire board pack email to SendGrid / SES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w:t>
            </w:r>
          </w:p>
        </w:tc>
      </w:tr>
      <w:tr>
        <w:tc>
          <w:tcPr>
            <w:tcW w:type="dxa" w:w="3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70</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REM-22</w:t>
            </w:r>
          </w:p>
        </w:tc>
        <w:tc>
          <w:tcPr>
            <w:tcW w:type="dxa" w:w="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CR-N7</w:t>
            </w:r>
          </w:p>
        </w:tc>
        <w:tc>
          <w:tcPr>
            <w:tcW w:type="dxa" w:w="52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Add task_label LLM latency logging + admin stats endpoint (P50/P95 per label)</w:t>
            </w:r>
          </w:p>
        </w:tc>
        <w:tc>
          <w:tcPr>
            <w:tcW w:type="dxa" w:w="6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w:t>
            </w:r>
          </w:p>
        </w:tc>
      </w:tr>
      <w:tr>
        <w:tc>
          <w:tcPr>
            <w:tcW w:type="dxa" w:w="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REM-23</w:t>
            </w:r>
          </w:p>
        </w:tc>
        <w:tc>
          <w:tcPr>
            <w:tcW w:type="dxa" w:w="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CR-N3</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CONTEXT.md: Rounds 23-25, PIM module, DTF sub-modules</w:t>
            </w:r>
          </w:p>
        </w:tc>
        <w:tc>
          <w:tcPr>
            <w:tcW w:type="dxa" w:w="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XS</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8 — DEVELOPER TESTING FRAMEWORK (DTF)</w:t>
            </w:r>
          </w:p>
        </w:tc>
      </w:tr>
    </w:tbl>
    <w:p>
      <w:pPr>
        <w:spacing w:before="0" w:after="80"/>
      </w:pPr>
    </w:p>
    <w:p>
      <w:pPr>
        <w:pStyle w:val="Heading1"/>
        <w:spacing w:before="360" w:after="120"/>
      </w:pPr>
      <w:r>
        <w:rPr>
          <w:rFonts w:ascii="Arial" w:cs="Arial" w:eastAsia="Arial" w:hAnsi="Arial"/>
          <w:b/>
          <w:bCs/>
          <w:color w:val="1B3A6B"/>
          <w:sz w:val="36"/>
          <w:szCs w:val="36"/>
        </w:rPr>
        <w:t xml:space="preserve">8.1  Architectural Separation: DTF-A vs DTF-B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single" w:color="1B2A4A" w:sz="1"/>
              <w:right w:val="single" w:color="CBD5E0" w:sz="1"/>
            </w:tcBorders>
            <w:shd w:fill="F0F4FA"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Design Principle: Two Distinct Sub-Modules</w:t>
            </w:r>
          </w:p>
          <w:p>
            <w:pPr>
              <w:spacing w:before="0" w:after="0"/>
            </w:pPr>
            <w:r>
              <w:rPr>
                <w:rFonts w:ascii="Arial" w:cs="Arial" w:eastAsia="Arial" w:hAnsi="Arial"/>
                <w:color w:val="1A1A2E"/>
                <w:sz w:val="22"/>
                <w:szCs w:val="22"/>
              </w:rPr>
              <w:t xml:space="preserve">The DTF is intentionally split into two architecturally distinct sub-modules. DTF-A performs one-time and periodic historical parameter calibration. DTF-B performs ongoing prediction validation against live outcomes. They share no runtime state and run on separate Celery queues to prevent calibration runs from contaminating live validation.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6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DTF-A: Historical Calibration</w:t>
            </w:r>
          </w:p>
        </w:tc>
        <w:tc>
          <w:tcPr>
            <w:tcW w:type="dxa" w:w="36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DTF-B: Ongoing Validation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Purpose</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Calibrate model parameters using historical listed-company data to establish baseline weights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Validate live predictions against actual outcomes; detect model drift over time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Trigger</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Manual developer trigger (admin API endpoint only); no tenant-facing UI</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Automated — runs weekly after market data refresh</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Source</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Historical price/return data for listed companies; bootstrapped historical sentiment from filings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portfolio run predictions vs actual subsequent returns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Primary Metric</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IC/ICIR across multiple horizons and sectors; optimal Markov weight calibration</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Rolling IC/ICIR, SPC trend, Markov state drift score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Output</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Calibrated factor weights in dtf_calibration_runs; optimal lambda (decay) per source type</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Drift alerts, model recalibration triggers, hypothesis test status updates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dtf_calibration_runs, dtf_historical_parameters (developer-only, no tenant RLS)</w:t>
            </w:r>
          </w:p>
        </w:tc>
        <w:tc>
          <w:tcPr>
            <w:tcW w:type="dxa" w:w="368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dtf_validation_runs, dtf_prediction_outcomes (developer-only)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Celery Queue</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dtf_calibration queue (low priority, long-running OK)</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dtf_validation queue (high priority, must complete within 1h of trigger)</w:t>
            </w:r>
          </w:p>
        </w:tc>
      </w:tr>
    </w:tbl>
    <w:p>
      <w:pPr>
        <w:spacing w:before="0" w:after="80"/>
      </w:pPr>
    </w:p>
    <w:p>
      <w:pPr>
        <w:pStyle w:val="Heading1"/>
        <w:spacing w:before="360" w:after="120"/>
      </w:pPr>
      <w:r>
        <w:rPr>
          <w:rFonts w:ascii="Arial" w:cs="Arial" w:eastAsia="Arial" w:hAnsi="Arial"/>
          <w:b/>
          <w:bCs/>
          <w:color w:val="1B3A6B"/>
          <w:sz w:val="36"/>
          <w:szCs w:val="36"/>
        </w:rPr>
        <w:t xml:space="preserve">8.2  DTF-A: Historical Calibration Pipeline (7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2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 Standard</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DTF-A.1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Assembly: fetch historical fundamental data (3-5 years quarterly) and return data for listed companies across target sectors and geographies</w:t>
            </w:r>
          </w:p>
        </w:tc>
        <w:tc>
          <w:tcPr>
            <w:tcW w:type="dxa" w:w="5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3 years quarterly data, 20+ companies per sector for statistical power</w:t>
            </w:r>
          </w:p>
        </w:tc>
      </w:tr>
      <w:tr>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DTF-A.2</w:t>
            </w:r>
          </w:p>
        </w:tc>
        <w:tc>
          <w:tcPr>
            <w:tcW w:type="dxa" w:w="3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Sentiment Bootstrapping: run historical filings and news through LLM extraction pipeline to generate backdated sentiment vectors</w:t>
            </w:r>
          </w:p>
        </w:tc>
        <w:tc>
          <w:tcPr>
            <w:tcW w:type="dxa" w:w="52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Required for markets with &lt;2 years of live sentiment data; flag bootstrapped periods in results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DTF-A.3</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Economic Snapshot Backfill: populate pim_economic_snapshots for historical periods from FRED, ECB, World Bank APIs</w:t>
            </w:r>
          </w:p>
        </w:tc>
        <w:tc>
          <w:tcPr>
            <w:tcW w:type="dxa" w:w="5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where API coverage exists; manual CSV upload fallback</w:t>
            </w:r>
          </w:p>
        </w:tc>
      </w:tr>
      <w:tr>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DTF-A.4</w:t>
            </w:r>
          </w:p>
        </w:tc>
        <w:tc>
          <w:tcPr>
            <w:tcW w:type="dxa" w:w="3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CIS Factor Weight Calibration: grid search over factor weight combinations to maximise expanding-window IC across all target sectors</w:t>
            </w:r>
          </w:p>
        </w:tc>
        <w:tc>
          <w:tcPr>
            <w:tcW w:type="dxa" w:w="52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Grid: 5% increments for each factor; constraint: weights sum to 1.0</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DTF-A.5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Transition Matrix Estimation: estimate initial transition matrices per sector using full historical dataset with Laplace smoothing</w:t>
            </w:r>
          </w:p>
        </w:tc>
        <w:tc>
          <w:tcPr>
            <w:tcW w:type="dxa" w:w="5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Convergence criterion: delta(transition_matrix_frobenius_norm) &lt; 0.001 between iterations</w:t>
            </w:r>
          </w:p>
        </w:tc>
      </w:tr>
      <w:tr>
        <w:tc>
          <w:tcPr>
            <w:tcW w:type="dxa" w:w="9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DTF-A.6</w:t>
            </w:r>
          </w:p>
        </w:tc>
        <w:tc>
          <w:tcPr>
            <w:tcW w:type="dxa" w:w="3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Optimal Horizon Estimation: for each sector, find the forecast horizon (weeks) that maximises IC_augmented</w:t>
            </w:r>
          </w:p>
        </w:tc>
        <w:tc>
          <w:tcPr>
            <w:tcW w:type="dxa" w:w="52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Report horizon distribution across sectors — not a single global value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DTF-A.7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Decay Lambda Calibration: optimise per-source recency decay lambda to maximise IC contribution of sentiment factor</w:t>
            </w:r>
          </w:p>
        </w:tc>
        <w:tc>
          <w:tcPr>
            <w:tcW w:type="dxa" w:w="52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Separate lambda per source type: filings, news, social</w:t>
            </w:r>
          </w:p>
        </w:tc>
      </w:tr>
    </w:tbl>
    <w:p>
      <w:pPr>
        <w:spacing w:before="0" w:after="80"/>
      </w:pPr>
    </w:p>
    <w:p>
      <w:pPr>
        <w:pStyle w:val="Heading1"/>
        <w:spacing w:before="360" w:after="120"/>
      </w:pPr>
      <w:r>
        <w:rPr>
          <w:rFonts w:ascii="Arial" w:cs="Arial" w:eastAsia="Arial" w:hAnsi="Arial"/>
          <w:b/>
          <w:bCs/>
          <w:color w:val="1B3A6B"/>
          <w:sz w:val="36"/>
          <w:szCs w:val="36"/>
        </w:rPr>
        <w:t xml:space="preserve">8.3  DTF-B: Ongoing Prediction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Prediction Recording</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 each portfolio run, store PIM prediction (CIS rankings + Markov forward probability) in dtf_prediction_outcomes with snapshot_date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Outcome Recording</w:t>
            </w:r>
          </w:p>
        </w:tc>
        <w:tc>
          <w:tcPr>
            <w:tcW w:type="dxa" w:w="7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After each prediction horizon elapses, record actual relative returns for all predicted holdings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 Rolling Calculation</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rolling 12-week IC and ICIR for each sector and source type; store in dtf_validation_runs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Drift Detection</w:t>
            </w:r>
          </w:p>
        </w:tc>
        <w:tc>
          <w:tcPr>
            <w:tcW w:type="dxa" w:w="7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Alert if: rolling IC drops below 0.05 for 3 consecutive weeks OR ICIR drops below 0.5 OR SPC p-value exceeds 0.10 for 4 weeks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Recalibration Trigger</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Drift alert triggers DTF-A calibration run for affected sector(s) with expanded training window</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Reporting</w:t>
            </w:r>
          </w:p>
        </w:tc>
        <w:tc>
          <w:tcPr>
            <w:tcW w:type="dxa" w:w="7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Developer dashboard (admin-only): IC/ICIR trend charts, SPC stability, drift alerts, calibration history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State Monitoring</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comparison of live transition matrix vs DTF-A baseline; flag distributional shift &gt; 2 standard deviations</w:t>
            </w:r>
          </w:p>
        </w:tc>
      </w:tr>
    </w:tbl>
    <w:p>
      <w:pPr>
        <w:spacing w:before="0" w:after="80"/>
      </w:pPr>
    </w:p>
    <w:p>
      <w:pPr>
        <w:pStyle w:val="Heading1"/>
        <w:spacing w:before="360" w:after="120"/>
      </w:pPr>
      <w:r>
        <w:rPr>
          <w:rFonts w:ascii="Arial" w:cs="Arial" w:eastAsia="Arial" w:hAnsi="Arial"/>
          <w:b/>
          <w:bCs/>
          <w:color w:val="1B3A6B"/>
          <w:sz w:val="36"/>
          <w:szCs w:val="36"/>
        </w:rPr>
        <w:t xml:space="preserve">8.4  DTF Database Tables (Developer-Only)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dtf_calibration_runs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run_id, run_date, sector_scope, factor_weights_json, horizon_weeks_optimum, lambda_config_json, ic_achieved, icir_achieved, notes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record of each DTF-A calibration run and its outputs</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dtf_historical_parameters</w:t>
            </w:r>
          </w:p>
        </w:tc>
        <w:tc>
          <w:tcPr>
            <w:tcW w:type="dxa" w:w="4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parameter_id, calibration_run_id, parameter_type, value, standard_error, effective_from, superseded_by</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Versioned parameter values (weights, lambdas, Markov priors) with lineage tracking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dtf_validation_runs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validation_id, run_date, sector_scope, horizon_weeks, ic_rolling, icir_rolling, spc_rolling, spc_pvalue, drift_flag, drift_severity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DTF-B validation run results</w:t>
            </w:r>
          </w:p>
        </w:tc>
      </w:tr>
      <w:tr>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dtf_prediction_outcomes</w:t>
            </w:r>
          </w:p>
        </w:tc>
        <w:tc>
          <w:tcPr>
            <w:tcW w:type="dxa" w:w="45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outcome_id, portfolio_run_id, company_id, predicted_rank, predicted_return_prob, actual_return, horizon_weeks, outcome_date</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Paired predictions and actual outcomes for IC computation</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B2A4A" w:val="clear"/>
            <w:tcMar>
              <w:top w:type="dxa" w:w="200"/>
              <w:left w:type="dxa" w:w="300"/>
              <w:bottom w:type="dxa" w:w="200"/>
              <w:right w:type="dxa" w:w="300"/>
            </w:tcMar>
          </w:tcPr>
          <w:p>
            <w:pPr>
              <w:jc w:val="left"/>
            </w:pPr>
            <w:r>
              <w:rPr>
                <w:rFonts w:ascii="Arial" w:cs="Arial" w:eastAsia="Arial" w:hAnsi="Arial"/>
                <w:b/>
                <w:bCs/>
                <w:color w:val="FFFFFF"/>
                <w:sz w:val="26"/>
                <w:szCs w:val="26"/>
              </w:rPr>
              <w:t xml:space="preserve">PART 9 — CRITICAL PATH, PROCUREMENT &amp; DECISIONS</w:t>
            </w:r>
          </w:p>
        </w:tc>
      </w:tr>
    </w:tbl>
    <w:p>
      <w:pPr>
        <w:spacing w:before="0" w:after="80"/>
      </w:pPr>
    </w:p>
    <w:p>
      <w:pPr>
        <w:pStyle w:val="Heading1"/>
        <w:spacing w:before="360" w:after="120"/>
      </w:pPr>
      <w:r>
        <w:rPr>
          <w:rFonts w:ascii="Arial" w:cs="Arial" w:eastAsia="Arial" w:hAnsi="Arial"/>
          <w:b/>
          <w:bCs/>
          <w:color w:val="1B3A6B"/>
          <w:sz w:val="36"/>
          <w:szCs w:val="36"/>
        </w:rPr>
        <w:t xml:space="preserve">9.1  Critical Path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2400"/>
        <w:gridCol w:w="1760"/>
      </w:tblGrid>
      <w:tr>
        <w:tc>
          <w:tcPr>
            <w:tcW w:type="dxa" w:w="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Work Stream</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0 — Pre-PIM Remediation Gates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(start immediately)</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 all fixes are well-defined, small scope</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Sprint 1 — Platform Remediation + PIM Phase 1</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Sprint 0 complete</w:t>
            </w:r>
          </w:p>
        </w:tc>
        <w:tc>
          <w:tcPr>
            <w:tcW w:type="dxa" w:w="1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 — parallel streams, no mutual dependency</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2 — PIM Phase 2 Sentiment Engine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1 PIM tables must exist</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 LLM extraction schema needs validation round</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Sprint 3 — CIS Engine</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 sentiment signals must be populated</w:t>
            </w:r>
          </w:p>
        </w:tc>
        <w:tc>
          <w:tcPr>
            <w:tcW w:type="dxa" w:w="1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 — CIS weight calibration needs early DTF-A run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4 — Markov Engine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CIS engine complete</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longest phase; Markov state estimation is mathematically complex</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Sprint 5 — Backtesting + PE Engine</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 weeks</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 Markov engine complete</w:t>
            </w:r>
          </w:p>
        </w:tc>
        <w:tc>
          <w:tcPr>
            <w:tcW w:type="dxa" w:w="1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 — backtest data availability is a wildcard for emerging markets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6 — Frontend + Outputs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weeks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Phases 5-6 API endpoints complete</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 frontend work is well-understood; Board Pack integration already proven</w:t>
            </w:r>
          </w:p>
        </w:tc>
      </w:tr>
      <w:tr>
        <w:tc>
          <w:tcPr>
            <w:tcW w:type="dxa" w:w="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DTF-A (parallel track)</w:t>
            </w:r>
          </w:p>
        </w:tc>
        <w:tc>
          <w:tcPr>
            <w:tcW w:type="dxa" w:w="16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Starts Sprint 3; runs continuously</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Historical data procurement complete</w:t>
            </w:r>
          </w:p>
        </w:tc>
        <w:tc>
          <w:tcPr>
            <w:tcW w:type="dxa" w:w="17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MEDIUM — data procurement is the main dependency</w:t>
            </w:r>
          </w:p>
        </w:tc>
      </w:tr>
    </w:tbl>
    <w:p>
      <w:pPr>
        <w:spacing w:before="0" w:after="80"/>
      </w:pPr>
    </w:p>
    <w:p>
      <w:pPr>
        <w:pStyle w:val="Heading1"/>
        <w:spacing w:before="360" w:after="120"/>
      </w:pPr>
      <w:r>
        <w:rPr>
          <w:rFonts w:ascii="Arial" w:cs="Arial" w:eastAsia="Arial" w:hAnsi="Arial"/>
          <w:b/>
          <w:bCs/>
          <w:color w:val="1B3A6B"/>
          <w:sz w:val="36"/>
          <w:szCs w:val="36"/>
        </w:rPr>
        <w:t xml:space="preserve">9.2  Procurement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Historical price/return data for DTF-A</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Yahoo Finance API (free, limited), Alpha Vantage (free tier), Polygon.io ($29/mo), Refinitiv Eikon ($10k+/yr)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with Polygon.io ($29/mo covers DTF-A needs for listed equities). Upgrade to Refinitiv for production-grade coverage.</w:t>
            </w:r>
          </w:p>
        </w:tc>
        <w:tc>
          <w:tcPr>
            <w:tcW w:type="dxa" w:w="1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 Sprint 3</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Tier 2 commercial sentiment data</w:t>
            </w:r>
          </w:p>
        </w:tc>
        <w:tc>
          <w:tcPr>
            <w:tcW w:type="dxa" w:w="3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AlphaSense, Intrinio, Refinitiv News API</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Evaluate AlphaSense for Phase 3-4; begin procurement conversation now as sales cycles are long</w:t>
            </w:r>
          </w:p>
        </w:tc>
        <w:tc>
          <w:tcPr>
            <w:tcW w:type="dxa" w:w="1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Before Sprint 4</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cost data for backtest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ITG/Virtu (institutional), MSCI Barra TC model, proxy from bid-ask spreads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MSCI Barra transaction cost model for initial backtests; revisit with institutional clients</w:t>
            </w:r>
          </w:p>
        </w:tc>
        <w:tc>
          <w:tcPr>
            <w:tcW w:type="dxa" w:w="1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 Sprint 5</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LLM provider for PE memo (high quality)</w:t>
            </w:r>
          </w:p>
        </w:tc>
        <w:tc>
          <w:tcPr>
            <w:tcW w:type="dxa" w:w="3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Claude Opus (quality), Claude Sonnet (balanced), GPT-4o</w:t>
            </w:r>
          </w:p>
        </w:tc>
        <w:tc>
          <w:tcPr>
            <w:tcW w:type="dxa" w:w="28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Claude Sonnet for pim_pe_memo; reconsider Opus if client feedback indicates memo quality gap</w:t>
            </w:r>
          </w:p>
        </w:tc>
        <w:tc>
          <w:tcPr>
            <w:tcW w:type="dxa" w:w="1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Before Sprint 5 (Phase 6)</w:t>
            </w:r>
          </w:p>
        </w:tc>
      </w:tr>
    </w:tbl>
    <w:p>
      <w:pPr>
        <w:spacing w:before="0" w:after="80"/>
      </w:pPr>
    </w:p>
    <w:p>
      <w:pPr>
        <w:pStyle w:val="Heading1"/>
        <w:spacing w:before="360" w:after="120"/>
      </w:pPr>
      <w:r>
        <w:rPr>
          <w:rFonts w:ascii="Arial" w:cs="Arial" w:eastAsia="Arial" w:hAnsi="Arial"/>
          <w:b/>
          <w:bCs/>
          <w:color w:val="1B3A6B"/>
          <w:sz w:val="36"/>
          <w:szCs w:val="36"/>
        </w:rPr>
        <w:t xml:space="preserve">9.3  Open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optimisation method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with greedy CIS-ranked construction with explicit constraint enforcement. Add mean-variance optimisation (scipy) in Phase 7 as an alternative mode.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Greedy is interpretable and debuggable. MVO adds complexity and requires covariance matrix estimation which itself has estimation error.</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Sentiment aggregation period</w:t>
            </w:r>
          </w:p>
        </w:tc>
        <w:tc>
          <w:tcPr>
            <w:tcW w:type="dxa" w:w="4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Weekly for active equities; monthly for PE-stage companies. Configurable per universe.</w:t>
            </w:r>
          </w:p>
        </w:tc>
        <w:tc>
          <w:tcPr>
            <w:tcW w:type="dxa" w:w="3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Weekly aligns with typical portfolio rebalancing cycle. Monthly matches PE reporting cadence.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state discretisation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levels (low/neutral/high) for all four dimensions. 81 states total.</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Finer discretisation (5 levels = 625 states) would require far more historical data to estimate robustly. 81 states is the practical minimum for meaningful transition dynamics.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DTF-A calibration trigger</w:t>
            </w:r>
          </w:p>
        </w:tc>
        <w:tc>
          <w:tcPr>
            <w:tcW w:type="dxa" w:w="4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Manual developer trigger only; no automated re-calibration without developer review.</w:t>
            </w:r>
          </w:p>
        </w:tc>
        <w:tc>
          <w:tcPr>
            <w:tcW w:type="dxa" w:w="336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Automated calibration introduces risk of model instability. Human review of calibration outputs before production adoption is non-negotiable.</w:t>
            </w:r>
          </w:p>
        </w:tc>
      </w:tr>
    </w:tbl>
    <w:p>
      <w:pPr>
        <w:spacing w:before="0" w:after="80"/>
      </w:pPr>
    </w:p>
    <w:p>
      <w:pPr>
        <w:pStyle w:val="Heading1"/>
        <w:spacing w:before="360" w:after="120"/>
      </w:pPr>
      <w:r>
        <w:rPr>
          <w:rFonts w:ascii="Arial" w:cs="Arial" w:eastAsia="Arial" w:hAnsi="Arial"/>
          <w:b/>
          <w:bCs/>
          <w:color w:val="1B3A6B"/>
          <w:sz w:val="36"/>
          <w:szCs w:val="36"/>
        </w:rPr>
        <w:t xml:space="preserve">9.4  Rollback Plan</w:t>
      </w:r>
    </w:p>
    <w:p>
      <w:pPr>
        <w:spacing w:before="0" w:after="100"/>
      </w:pPr>
      <w:r>
        <w:rPr>
          <w:rFonts w:ascii="Arial" w:cs="Arial" w:eastAsia="Arial" w:hAnsi="Arial"/>
          <w:color w:val="1A1A2E"/>
          <w:sz w:val="22"/>
          <w:szCs w:val="22"/>
        </w:rPr>
        <w:t xml:space="preserve">All PIM functionality is isolated behind the pim_enabled feature flag. If a PIM phase introduces instability, the rollback procedure is:</w:t>
      </w:r>
    </w:p>
    <w:p>
      <w:pPr>
        <w:spacing w:before="0" w:after="40"/>
      </w:pPr>
    </w:p>
    <w:p>
      <w:pPr>
        <w:pStyle w:val="ListParagraph"/>
        <w:numPr>
          <w:ilvl w:val="0"/>
          <w:numId w:val="2"/>
        </w:numPr>
        <w:spacing w:before="0" w:after="60"/>
      </w:pPr>
      <w:r>
        <w:rPr>
          <w:rFonts w:ascii="Arial" w:cs="Arial" w:eastAsia="Arial" w:hAnsi="Arial"/>
          <w:color w:val="1A1A2E"/>
          <w:sz w:val="22"/>
          <w:szCs w:val="22"/>
        </w:rPr>
        <w:t xml:space="preserve">Set pim_enabled=false at tenant level (or globally via config) — immediately disables all PIM API endpoints with zero impact on existing modules</w:t>
      </w:r>
    </w:p>
    <w:p>
      <w:pPr>
        <w:pStyle w:val="ListParagraph"/>
        <w:numPr>
          <w:ilvl w:val="0"/>
          <w:numId w:val="2"/>
        </w:numPr>
        <w:spacing w:before="0" w:after="60"/>
      </w:pPr>
      <w:r>
        <w:rPr>
          <w:rFonts w:ascii="Arial" w:cs="Arial" w:eastAsia="Arial" w:hAnsi="Arial"/>
          <w:color w:val="1A1A2E"/>
          <w:sz w:val="22"/>
          <w:szCs w:val="22"/>
        </w:rPr>
        <w:t xml:space="preserve">PIM database tables are additive (no modifications to existing tables) — no schema rollback required</w:t>
      </w:r>
    </w:p>
    <w:p>
      <w:pPr>
        <w:pStyle w:val="ListParagraph"/>
        <w:numPr>
          <w:ilvl w:val="0"/>
          <w:numId w:val="2"/>
        </w:numPr>
        <w:spacing w:before="0" w:after="60"/>
      </w:pPr>
      <w:r>
        <w:rPr>
          <w:rFonts w:ascii="Arial" w:cs="Arial" w:eastAsia="Arial" w:hAnsi="Arial"/>
          <w:color w:val="1A1A2E"/>
          <w:sz w:val="22"/>
          <w:szCs w:val="22"/>
        </w:rPr>
        <w:t xml:space="preserve">PIM Celery tasks are registered on pim_ prefixed queues — suspending the queue drains in-progress tasks without affecting existing Celery workflows</w:t>
      </w:r>
    </w:p>
    <w:p>
      <w:pPr>
        <w:pStyle w:val="ListParagraph"/>
        <w:numPr>
          <w:ilvl w:val="0"/>
          <w:numId w:val="2"/>
        </w:numPr>
        <w:spacing w:before="0" w:after="60"/>
      </w:pPr>
      <w:r>
        <w:rPr>
          <w:rFonts w:ascii="Arial" w:cs="Arial" w:eastAsia="Arial" w:hAnsi="Arial"/>
          <w:color w:val="1A1A2E"/>
          <w:sz w:val="22"/>
          <w:szCs w:val="22"/>
        </w:rPr>
        <w:t xml:space="preserve">All Phase 0 remediation changes are independently testable and deployable with their own rollback commits</w:t>
      </w: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 Control</w:t>
            </w:r>
          </w:p>
        </w:tc>
      </w:tr>
      <w:tr>
        <w:tc>
          <w:tcPr>
            <w:tcW w:type="dxa" w:w="9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Version 2.0 — March 2026. Supersedes VA_Master_Build_Plan v1.0 (2026-03-07). Classification: Confidential — Developer Review Only. For questions contact the Chief Architect.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rFonts w:ascii="Arial" w:cs="Arial" w:eastAsia="Arial" w:hAnsi="Arial"/>
        <w:color w:val="4A5568"/>
        <w:sz w:val="18"/>
        <w:szCs w:val="18"/>
      </w:rPr>
      <w:t xml:space="preserve">Confidential — Developer Review Only</w:t>
    </w:r>
    <w:r>
      <w:rPr>
        <w:rFonts w:ascii="Arial" w:cs="Arial" w:eastAsia="Arial" w:hAnsi="Arial"/>
        <w:sz w:val="18"/>
        <w:szCs w:val="18"/>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pPr>
    <w:r>
      <w:rPr>
        <w:rFonts w:ascii="Arial" w:cs="Arial" w:eastAsia="Arial" w:hAnsi="Arial"/>
        <w:color w:val="4A5568"/>
        <w:sz w:val="18"/>
        <w:szCs w:val="18"/>
      </w:rPr>
      <w:t xml:space="preserve">Virtual Analyst — Portfolio Intelligence Module</w:t>
    </w:r>
    <w:r>
      <w:rPr>
        <w:rFonts w:ascii="Arial" w:cs="Arial" w:eastAsia="Arial" w:hAnsi="Arial"/>
        <w:sz w:val="18"/>
        <w:szCs w:val="18"/>
      </w:rPr>
      <w:t xml:space="preserve">	</w:t>
    </w:r>
    <w:r>
      <w:rPr>
        <w:rFonts w:ascii="Arial" w:cs="Arial" w:eastAsia="Arial" w:hAnsi="Arial"/>
        <w:color w:val="4A5568"/>
        <w:sz w:val="18"/>
        <w:szCs w:val="18"/>
      </w:rPr>
      <w:t xml:space="preserve">Requirements &amp; Build Plan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2026-03-09T09:48:09.341Z</dcterms:created>
  <dcterms:modified xsi:type="dcterms:W3CDTF">2026-03-09T09:48:09.342Z</dcterms:modified>
</cp:coreProperties>
</file>

<file path=docProps/custom.xml><?xml version="1.0" encoding="utf-8"?>
<Properties xmlns="http://schemas.openxmlformats.org/officeDocument/2006/custom-properties" xmlns:vt="http://schemas.openxmlformats.org/officeDocument/2006/docPropsVTypes"/>
</file>