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250BB" w14:textId="77777777" w:rsidR="0011381C" w:rsidRDefault="0011381C" w:rsidP="00857372">
      <w:pPr>
        <w:jc w:val="center"/>
        <w:rPr>
          <w:b/>
        </w:rPr>
      </w:pPr>
      <w:r w:rsidRPr="00857372">
        <w:rPr>
          <w:b/>
        </w:rPr>
        <w:t>DateTime Transformations</w:t>
      </w:r>
      <w:r w:rsidR="00857372">
        <w:rPr>
          <w:b/>
        </w:rPr>
        <w:t xml:space="preserve"> in Data Warehouse</w:t>
      </w:r>
    </w:p>
    <w:p w14:paraId="214250BC" w14:textId="61A527B8" w:rsidR="00857372" w:rsidRPr="00857372" w:rsidRDefault="00EE6178" w:rsidP="00857372">
      <w:pPr>
        <w:jc w:val="center"/>
        <w:rPr>
          <w:b/>
        </w:rPr>
      </w:pPr>
      <w:r>
        <w:rPr>
          <w:b/>
        </w:rPr>
        <w:t>Last Edited</w:t>
      </w:r>
      <w:r w:rsidR="00857372">
        <w:rPr>
          <w:b/>
        </w:rPr>
        <w:t xml:space="preserve"> </w:t>
      </w:r>
      <w:r w:rsidR="00CB2212">
        <w:rPr>
          <w:b/>
        </w:rPr>
        <w:t>10</w:t>
      </w:r>
      <w:r w:rsidR="00B774A5">
        <w:rPr>
          <w:b/>
        </w:rPr>
        <w:t>/</w:t>
      </w:r>
      <w:r w:rsidR="00CB2212">
        <w:rPr>
          <w:b/>
        </w:rPr>
        <w:t>11</w:t>
      </w:r>
      <w:bookmarkStart w:id="0" w:name="_GoBack"/>
      <w:bookmarkEnd w:id="0"/>
      <w:r w:rsidR="009653E9">
        <w:rPr>
          <w:b/>
        </w:rPr>
        <w:t>/2012</w:t>
      </w:r>
    </w:p>
    <w:p w14:paraId="214250BD" w14:textId="77777777" w:rsidR="0011381C" w:rsidRDefault="0011381C" w:rsidP="00276780">
      <w:pPr>
        <w:spacing w:after="0" w:line="240" w:lineRule="auto"/>
      </w:pPr>
      <w:r w:rsidRPr="00DB2769">
        <w:rPr>
          <w:b/>
        </w:rPr>
        <w:t>Background.</w:t>
      </w:r>
      <w:r>
        <w:t xml:space="preserve"> </w:t>
      </w:r>
      <w:r w:rsidR="00011F9A">
        <w:t xml:space="preserve">The way that </w:t>
      </w:r>
      <w:r w:rsidRPr="0011381C">
        <w:t xml:space="preserve">Vista </w:t>
      </w:r>
      <w:r>
        <w:t>stor</w:t>
      </w:r>
      <w:r w:rsidR="00011F9A">
        <w:t>es</w:t>
      </w:r>
      <w:r>
        <w:t xml:space="preserve"> </w:t>
      </w:r>
      <w:r w:rsidR="00011F9A">
        <w:t>dates</w:t>
      </w:r>
      <w:r w:rsidR="002654DF">
        <w:t xml:space="preserve"> and times</w:t>
      </w:r>
      <w:r w:rsidR="00011F9A">
        <w:t xml:space="preserve"> allows for values that cannot be translated into other data systems that are “data typed”, i.e. that only allow values it thinks appropriate for that type of data. </w:t>
      </w:r>
      <w:r>
        <w:t>For example, dates in Vista can be stored that have</w:t>
      </w:r>
      <w:r w:rsidRPr="0011381C">
        <w:t xml:space="preserve"> no day-of-month</w:t>
      </w:r>
      <w:r>
        <w:t xml:space="preserve"> or an</w:t>
      </w:r>
      <w:r w:rsidRPr="0011381C">
        <w:t xml:space="preserve"> hour</w:t>
      </w:r>
      <w:r>
        <w:t xml:space="preserve"> value of </w:t>
      </w:r>
      <w:r w:rsidRPr="0011381C">
        <w:t>24</w:t>
      </w:r>
      <w:r>
        <w:t xml:space="preserve"> or greater.  Since CDW is based on SQL Server</w:t>
      </w:r>
      <w:r w:rsidR="002654DF">
        <w:t>,</w:t>
      </w:r>
      <w:r>
        <w:t xml:space="preserve"> which is data typed, </w:t>
      </w:r>
      <w:r w:rsidR="002654DF">
        <w:t>some date values</w:t>
      </w:r>
      <w:r>
        <w:t xml:space="preserve"> and </w:t>
      </w:r>
      <w:r w:rsidR="002654DF">
        <w:t>some time values from Vista</w:t>
      </w:r>
      <w:r>
        <w:t xml:space="preserve"> can</w:t>
      </w:r>
      <w:r w:rsidR="002654DF">
        <w:t>not</w:t>
      </w:r>
      <w:r>
        <w:t xml:space="preserve"> be stored in a date</w:t>
      </w:r>
      <w:r w:rsidR="002654DF">
        <w:t>(time)</w:t>
      </w:r>
      <w:r>
        <w:t xml:space="preserve"> field</w:t>
      </w:r>
      <w:r w:rsidR="002654DF">
        <w:t xml:space="preserve"> in CDW</w:t>
      </w:r>
      <w:r>
        <w:t>.</w:t>
      </w:r>
      <w:r w:rsidR="00276780">
        <w:t xml:space="preserve">  CDW can and sometimes </w:t>
      </w:r>
      <w:r w:rsidR="00996D71">
        <w:t>has</w:t>
      </w:r>
      <w:r w:rsidR="00276780">
        <w:t xml:space="preserve"> store</w:t>
      </w:r>
      <w:r w:rsidR="00996D71">
        <w:t>d</w:t>
      </w:r>
      <w:r w:rsidR="00276780">
        <w:t xml:space="preserve"> the Vista date value as text </w:t>
      </w:r>
      <w:r w:rsidR="00011F9A">
        <w:t xml:space="preserve">(varchar) </w:t>
      </w:r>
      <w:r w:rsidR="00276780">
        <w:t>but the</w:t>
      </w:r>
      <w:r w:rsidRPr="0011381C">
        <w:t xml:space="preserve"> usefulness</w:t>
      </w:r>
      <w:r w:rsidR="00276780">
        <w:t xml:space="preserve"> in text format is limited.  It is difficult to perform</w:t>
      </w:r>
      <w:r w:rsidRPr="0011381C">
        <w:t xml:space="preserve"> date arithmetic (differences)</w:t>
      </w:r>
      <w:r w:rsidR="00276780">
        <w:t xml:space="preserve"> and the </w:t>
      </w:r>
      <w:r w:rsidRPr="0011381C">
        <w:t>performance</w:t>
      </w:r>
      <w:r w:rsidR="00276780">
        <w:t xml:space="preserve"> from invoking </w:t>
      </w:r>
      <w:r w:rsidR="002654DF">
        <w:t xml:space="preserve">custom </w:t>
      </w:r>
      <w:r w:rsidR="00276780">
        <w:t>functions can be poor.  To store values that do not correspond to valid SQL Server dates, there must be a data transformation</w:t>
      </w:r>
      <w:r w:rsidR="00996D71">
        <w:t xml:space="preserve"> to a value that SQL Server recognizes as legitimate</w:t>
      </w:r>
      <w:r w:rsidR="00276780">
        <w:t>.</w:t>
      </w:r>
    </w:p>
    <w:p w14:paraId="214250BE" w14:textId="77777777" w:rsidR="00276780" w:rsidRPr="0011381C" w:rsidRDefault="00276780" w:rsidP="00276780">
      <w:pPr>
        <w:spacing w:after="0" w:line="240" w:lineRule="auto"/>
      </w:pPr>
    </w:p>
    <w:p w14:paraId="214250BF" w14:textId="77777777" w:rsidR="00313040" w:rsidRDefault="0011381C" w:rsidP="00DB2769">
      <w:pPr>
        <w:spacing w:after="0" w:line="240" w:lineRule="auto"/>
      </w:pPr>
      <w:r>
        <w:t>The CDW Governance Board on Ap</w:t>
      </w:r>
      <w:r w:rsidR="00276780">
        <w:t xml:space="preserve">ril 3, 2012 determined that </w:t>
      </w:r>
      <w:r>
        <w:t xml:space="preserve">incomplete </w:t>
      </w:r>
      <w:r w:rsidR="00276780">
        <w:t xml:space="preserve">or otherwise invalid </w:t>
      </w:r>
      <w:r>
        <w:t xml:space="preserve">dates from Vista should be transformed into </w:t>
      </w:r>
      <w:r w:rsidR="00313040">
        <w:t xml:space="preserve">valid </w:t>
      </w:r>
      <w:r w:rsidR="00A97F6C">
        <w:t>SQL Server dates</w:t>
      </w:r>
      <w:r>
        <w:t xml:space="preserve"> in the CDW</w:t>
      </w:r>
      <w:r w:rsidR="00A97F6C">
        <w:t xml:space="preserve"> when practical</w:t>
      </w:r>
      <w:r w:rsidR="00DA601D">
        <w:t>.  Furthermore t</w:t>
      </w:r>
      <w:r w:rsidR="00276780">
        <w:t>he type of transformation applied t</w:t>
      </w:r>
      <w:r w:rsidR="007114CF">
        <w:t>o a particular data element should</w:t>
      </w:r>
      <w:r w:rsidR="00276780">
        <w:t xml:space="preserve"> be documented in the data.  </w:t>
      </w:r>
      <w:r w:rsidR="00DA601D">
        <w:t>T</w:t>
      </w:r>
      <w:r w:rsidR="00313040">
        <w:t>he governance board suggested that for each datetime column that requires some transformation that a separate column be created to indicate what transformation rule was applied.</w:t>
      </w:r>
    </w:p>
    <w:p w14:paraId="214250C0" w14:textId="77777777" w:rsidR="00DB2769" w:rsidRDefault="00DB2769" w:rsidP="00DB2769">
      <w:pPr>
        <w:spacing w:after="0" w:line="240" w:lineRule="auto"/>
      </w:pPr>
    </w:p>
    <w:p w14:paraId="214250C1" w14:textId="77777777" w:rsidR="00216C35" w:rsidRDefault="002E7393" w:rsidP="00E87F43">
      <w:pPr>
        <w:spacing w:after="0" w:line="240" w:lineRule="auto"/>
      </w:pPr>
      <w:r>
        <w:t xml:space="preserve">Some datetime fields in Vista do not contain values that require any transformations to convert to SQL Server data types.  </w:t>
      </w:r>
      <w:r w:rsidR="00216C35">
        <w:t>The Governance board agreed that the domain team (perhaps recommended by the Architecture team) would determine if a particular datetime field requires th</w:t>
      </w:r>
      <w:r w:rsidR="00996D71">
        <w:t>e</w:t>
      </w:r>
      <w:r w:rsidR="00216C35">
        <w:t xml:space="preserve"> additiona</w:t>
      </w:r>
      <w:r w:rsidR="00996D71">
        <w:t>l t</w:t>
      </w:r>
      <w:r>
        <w:t>ransformation architecture</w:t>
      </w:r>
      <w:r w:rsidR="00996D71">
        <w:t>, described in this document</w:t>
      </w:r>
      <w:r>
        <w:t>.</w:t>
      </w:r>
    </w:p>
    <w:p w14:paraId="214250C2" w14:textId="77777777" w:rsidR="00E87F43" w:rsidRDefault="00E87F43" w:rsidP="00E87F43">
      <w:pPr>
        <w:spacing w:after="0" w:line="240" w:lineRule="auto"/>
      </w:pPr>
    </w:p>
    <w:p w14:paraId="214250C3" w14:textId="77777777" w:rsidR="00011F9A" w:rsidRDefault="00011F9A" w:rsidP="00E87F43">
      <w:pPr>
        <w:spacing w:after="0" w:line="240" w:lineRule="auto"/>
      </w:pPr>
      <w:r>
        <w:t>The first release of tables containi</w:t>
      </w:r>
      <w:r w:rsidR="00FC110A">
        <w:t>ng this new architecture is expected</w:t>
      </w:r>
      <w:r>
        <w:t xml:space="preserve"> </w:t>
      </w:r>
      <w:r w:rsidR="00FC110A">
        <w:t>July</w:t>
      </w:r>
      <w:r>
        <w:t>, 2012.  All tables release</w:t>
      </w:r>
      <w:r w:rsidR="00FC110A">
        <w:t>d</w:t>
      </w:r>
      <w:r>
        <w:t xml:space="preserve"> </w:t>
      </w:r>
      <w:r w:rsidR="00FC110A">
        <w:t>after</w:t>
      </w:r>
      <w:r>
        <w:t xml:space="preserve"> that </w:t>
      </w:r>
      <w:r w:rsidR="00FC110A">
        <w:t xml:space="preserve">will </w:t>
      </w:r>
      <w:r>
        <w:t xml:space="preserve">have the new datetime architecture. </w:t>
      </w:r>
    </w:p>
    <w:p w14:paraId="214250C4" w14:textId="77777777" w:rsidR="00011F9A" w:rsidRDefault="00011F9A" w:rsidP="00E87F43">
      <w:pPr>
        <w:spacing w:after="0" w:line="240" w:lineRule="auto"/>
      </w:pPr>
      <w:r>
        <w:t xml:space="preserve"> </w:t>
      </w:r>
    </w:p>
    <w:p w14:paraId="214250C5" w14:textId="77777777" w:rsidR="00E87F43" w:rsidRPr="00E87F43" w:rsidRDefault="00E87F43" w:rsidP="00E87F43">
      <w:pPr>
        <w:spacing w:after="0" w:line="240" w:lineRule="auto"/>
        <w:rPr>
          <w:b/>
        </w:rPr>
      </w:pPr>
      <w:r>
        <w:rPr>
          <w:b/>
        </w:rPr>
        <w:t>The Rules</w:t>
      </w:r>
    </w:p>
    <w:p w14:paraId="214250C6" w14:textId="77777777" w:rsidR="00A97F6C" w:rsidRDefault="00216C35" w:rsidP="00DB2769">
      <w:pPr>
        <w:spacing w:after="0" w:line="240" w:lineRule="auto"/>
      </w:pPr>
      <w:r>
        <w:t>The d</w:t>
      </w:r>
      <w:r w:rsidR="00313040">
        <w:t>esire</w:t>
      </w:r>
      <w:r>
        <w:t>d</w:t>
      </w:r>
      <w:r w:rsidR="00313040">
        <w:t xml:space="preserve"> </w:t>
      </w:r>
      <w:r>
        <w:t xml:space="preserve">outcomes </w:t>
      </w:r>
      <w:r w:rsidR="002E7393">
        <w:t xml:space="preserve">of the new architecture </w:t>
      </w:r>
      <w:r>
        <w:t>are</w:t>
      </w:r>
      <w:r w:rsidR="00313040">
        <w:t xml:space="preserve"> 1) </w:t>
      </w:r>
      <w:r w:rsidR="00B230D7">
        <w:t xml:space="preserve">the </w:t>
      </w:r>
      <w:r w:rsidR="00276780">
        <w:t>perform</w:t>
      </w:r>
      <w:r w:rsidR="00313040">
        <w:t>ance</w:t>
      </w:r>
      <w:r w:rsidR="00276780">
        <w:t xml:space="preserve"> for queries that do </w:t>
      </w:r>
      <w:r w:rsidR="007114CF">
        <w:t xml:space="preserve">not </w:t>
      </w:r>
      <w:r w:rsidR="007F52D5">
        <w:t xml:space="preserve">need to </w:t>
      </w:r>
      <w:r w:rsidR="00276780">
        <w:t>examine the specific transformation rule applied</w:t>
      </w:r>
      <w:r w:rsidR="00B230D7">
        <w:t xml:space="preserve"> is maximized</w:t>
      </w:r>
      <w:r w:rsidR="00276780">
        <w:t xml:space="preserve"> and </w:t>
      </w:r>
      <w:r w:rsidR="00313040">
        <w:t xml:space="preserve">2) specific common transformation scenarios </w:t>
      </w:r>
      <w:r w:rsidR="007114CF">
        <w:t>do not suffer any loss of information</w:t>
      </w:r>
      <w:r w:rsidR="004C02B4">
        <w:t xml:space="preserve"> from the original Vista value</w:t>
      </w:r>
      <w:r w:rsidR="00A97F6C">
        <w:t xml:space="preserve"> </w:t>
      </w:r>
      <w:r w:rsidR="007F52D5">
        <w:t xml:space="preserve">(e.g. the fact there was no day of month) </w:t>
      </w:r>
      <w:r w:rsidR="00A97F6C">
        <w:t xml:space="preserve">and </w:t>
      </w:r>
      <w:r w:rsidR="00996D71">
        <w:t>3) the amount of information</w:t>
      </w:r>
      <w:r w:rsidR="004C2510">
        <w:t xml:space="preserve"> redundancy written to the table is minimized </w:t>
      </w:r>
      <w:r w:rsidR="008C41C6">
        <w:t xml:space="preserve">and </w:t>
      </w:r>
      <w:r w:rsidR="004C2510">
        <w:t>4</w:t>
      </w:r>
      <w:r w:rsidR="00A97F6C">
        <w:t xml:space="preserve">) the applicable transformation </w:t>
      </w:r>
      <w:r w:rsidR="004C2510">
        <w:t>logic</w:t>
      </w:r>
      <w:r w:rsidR="00A97F6C">
        <w:t xml:space="preserve"> </w:t>
      </w:r>
      <w:r w:rsidR="00B230D7">
        <w:t xml:space="preserve">are exposed </w:t>
      </w:r>
      <w:r w:rsidR="004C2510">
        <w:t>in a</w:t>
      </w:r>
      <w:r w:rsidR="00A97F6C">
        <w:t xml:space="preserve"> </w:t>
      </w:r>
      <w:r w:rsidR="004C2510">
        <w:t>lookup</w:t>
      </w:r>
      <w:r w:rsidR="00A97F6C">
        <w:t xml:space="preserve"> table</w:t>
      </w:r>
      <w:r w:rsidR="004C02B4">
        <w:t>.</w:t>
      </w:r>
      <w:r w:rsidR="00A97F6C">
        <w:t xml:space="preserve">  </w:t>
      </w:r>
      <w:r>
        <w:t xml:space="preserve">The BISL </w:t>
      </w:r>
      <w:r w:rsidR="004C2510">
        <w:t>team has implemented</w:t>
      </w:r>
      <w:r>
        <w:t xml:space="preserve"> the following rules.</w:t>
      </w:r>
    </w:p>
    <w:p w14:paraId="214250C7" w14:textId="77777777" w:rsidR="00216C35" w:rsidRPr="005A44F3" w:rsidRDefault="00216C35" w:rsidP="00DB276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7746"/>
      </w:tblGrid>
      <w:tr w:rsidR="005A44F3" w:rsidRPr="005A44F3" w14:paraId="214250CA" w14:textId="77777777" w:rsidTr="00EA117F">
        <w:trPr>
          <w:trHeight w:val="629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C8" w14:textId="77777777" w:rsidR="005A44F3" w:rsidRPr="005A44F3" w:rsidRDefault="008748B3" w:rsidP="005A44F3">
            <w:pPr>
              <w:spacing w:after="200" w:line="276" w:lineRule="auto"/>
            </w:pPr>
            <w:r>
              <w:t>Transform</w:t>
            </w:r>
            <w:r w:rsidR="00813F22">
              <w:t>Rule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C9" w14:textId="77777777" w:rsidR="005A44F3" w:rsidRPr="005A44F3" w:rsidRDefault="008748B3" w:rsidP="005A44F3">
            <w:pPr>
              <w:spacing w:after="200" w:line="276" w:lineRule="auto"/>
            </w:pPr>
            <w:r>
              <w:t>Transform</w:t>
            </w:r>
            <w:r w:rsidR="00813F22">
              <w:t>Rule</w:t>
            </w:r>
            <w:r w:rsidR="005A44F3" w:rsidRPr="005A44F3">
              <w:t>Description</w:t>
            </w:r>
          </w:p>
        </w:tc>
      </w:tr>
      <w:tr w:rsidR="005A44F3" w:rsidRPr="005A44F3" w14:paraId="214250CD" w14:textId="77777777" w:rsidTr="00EA117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CB" w14:textId="77777777" w:rsidR="005A44F3" w:rsidRPr="005A44F3" w:rsidRDefault="005A44F3" w:rsidP="005A44F3">
            <w:pPr>
              <w:spacing w:after="200" w:line="276" w:lineRule="auto"/>
            </w:pPr>
            <w:r w:rsidRPr="005A44F3">
              <w:t>1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CC" w14:textId="77777777" w:rsidR="005A44F3" w:rsidRPr="005A44F3" w:rsidRDefault="003A1E29" w:rsidP="003A1E29">
            <w:pPr>
              <w:spacing w:after="200" w:line="276" w:lineRule="auto"/>
            </w:pPr>
            <w:r>
              <w:t>If DayOfMonth is missing</w:t>
            </w:r>
            <w:r w:rsidR="00B774A5" w:rsidRPr="005A44F3">
              <w:t xml:space="preserve"> then set DayOfMonth=1</w:t>
            </w:r>
          </w:p>
        </w:tc>
      </w:tr>
      <w:tr w:rsidR="005A44F3" w:rsidRPr="005A44F3" w14:paraId="214250D0" w14:textId="77777777" w:rsidTr="00EA117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CE" w14:textId="77777777" w:rsidR="005A44F3" w:rsidRPr="005A44F3" w:rsidRDefault="005A44F3" w:rsidP="005A44F3">
            <w:pPr>
              <w:spacing w:after="200" w:line="276" w:lineRule="auto"/>
            </w:pPr>
            <w:r w:rsidRPr="005A44F3">
              <w:t>2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CF" w14:textId="77777777" w:rsidR="005A44F3" w:rsidRPr="005A44F3" w:rsidRDefault="003A1E29" w:rsidP="005A44F3">
            <w:pPr>
              <w:spacing w:after="200" w:line="276" w:lineRule="auto"/>
            </w:pPr>
            <w:r>
              <w:t>If Month is missing</w:t>
            </w:r>
            <w:r w:rsidR="00B774A5" w:rsidRPr="005A44F3">
              <w:t xml:space="preserve"> then set Month=1</w:t>
            </w:r>
          </w:p>
        </w:tc>
      </w:tr>
      <w:tr w:rsidR="005A44F3" w:rsidRPr="005A44F3" w14:paraId="214250D3" w14:textId="77777777" w:rsidTr="00EA117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D1" w14:textId="77777777" w:rsidR="005A44F3" w:rsidRPr="005A44F3" w:rsidRDefault="005A44F3" w:rsidP="005A44F3">
            <w:pPr>
              <w:spacing w:after="200" w:line="276" w:lineRule="auto"/>
            </w:pPr>
            <w:r w:rsidRPr="005A44F3">
              <w:t>4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D2" w14:textId="77777777" w:rsidR="005A44F3" w:rsidRPr="005A44F3" w:rsidRDefault="00B774A5" w:rsidP="005A44F3">
            <w:pPr>
              <w:spacing w:after="200" w:line="276" w:lineRule="auto"/>
            </w:pPr>
            <w:r>
              <w:t>If Date component is invalid for reasons other th</w:t>
            </w:r>
            <w:r w:rsidR="003A1E29">
              <w:t>an missing DayOfMonth or missing</w:t>
            </w:r>
            <w:r>
              <w:t xml:space="preserve"> Month then set Date to null</w:t>
            </w:r>
          </w:p>
        </w:tc>
      </w:tr>
      <w:tr w:rsidR="005A44F3" w:rsidRPr="005A44F3" w14:paraId="214250D6" w14:textId="77777777" w:rsidTr="00EA117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D4" w14:textId="77777777" w:rsidR="005A44F3" w:rsidRPr="005A44F3" w:rsidRDefault="005A44F3" w:rsidP="005A44F3">
            <w:pPr>
              <w:spacing w:after="200" w:line="276" w:lineRule="auto"/>
            </w:pPr>
            <w:r w:rsidRPr="005A44F3">
              <w:t>8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D5" w14:textId="77777777" w:rsidR="005A44F3" w:rsidRPr="005A44F3" w:rsidRDefault="00B774A5" w:rsidP="00B774A5">
            <w:pPr>
              <w:spacing w:after="200" w:line="276" w:lineRule="auto"/>
            </w:pPr>
            <w:r w:rsidRPr="005A44F3">
              <w:t xml:space="preserve">If Hour=24 </w:t>
            </w:r>
            <w:r w:rsidR="003A1E29">
              <w:t xml:space="preserve">and rest of time component is valid </w:t>
            </w:r>
            <w:r w:rsidRPr="005A44F3">
              <w:t>then set Hour =23</w:t>
            </w:r>
            <w:r w:rsidR="003A1E29">
              <w:t xml:space="preserve"> (minutes and seconds remain the same)</w:t>
            </w:r>
          </w:p>
        </w:tc>
      </w:tr>
      <w:tr w:rsidR="005A44F3" w:rsidRPr="005A44F3" w14:paraId="214250D9" w14:textId="77777777" w:rsidTr="00EA117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D7" w14:textId="77777777" w:rsidR="005A44F3" w:rsidRPr="005A44F3" w:rsidRDefault="005A44F3" w:rsidP="005A44F3">
            <w:pPr>
              <w:spacing w:after="200" w:line="276" w:lineRule="auto"/>
            </w:pPr>
            <w:r w:rsidRPr="005A44F3">
              <w:lastRenderedPageBreak/>
              <w:t>16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D8" w14:textId="77777777" w:rsidR="005A44F3" w:rsidRPr="005A44F3" w:rsidRDefault="005A44F3" w:rsidP="00B774A5">
            <w:pPr>
              <w:spacing w:after="200" w:line="276" w:lineRule="auto"/>
            </w:pPr>
            <w:r w:rsidRPr="005A44F3">
              <w:t xml:space="preserve">If </w:t>
            </w:r>
            <w:r w:rsidR="00B774A5">
              <w:t>time component is invalid for reason other than Hour=24 then set time component to 00:00:00</w:t>
            </w:r>
          </w:p>
        </w:tc>
      </w:tr>
    </w:tbl>
    <w:p w14:paraId="214250DA" w14:textId="77777777" w:rsidR="002E7393" w:rsidRDefault="002E7393" w:rsidP="00DB2769">
      <w:pPr>
        <w:spacing w:after="0" w:line="240" w:lineRule="auto"/>
      </w:pPr>
    </w:p>
    <w:p w14:paraId="214250DB" w14:textId="77777777" w:rsidR="00216C35" w:rsidRPr="00DB2769" w:rsidRDefault="00216C35" w:rsidP="00216C35">
      <w:pPr>
        <w:spacing w:after="0" w:line="240" w:lineRule="auto"/>
        <w:rPr>
          <w:b/>
        </w:rPr>
      </w:pPr>
      <w:r>
        <w:rPr>
          <w:b/>
        </w:rPr>
        <w:t>Implementation Details</w:t>
      </w:r>
    </w:p>
    <w:p w14:paraId="214250DC" w14:textId="77777777" w:rsidR="002E7393" w:rsidRDefault="002E7393" w:rsidP="002E7393">
      <w:pPr>
        <w:spacing w:after="0" w:line="240" w:lineRule="auto"/>
      </w:pPr>
    </w:p>
    <w:p w14:paraId="214250DD" w14:textId="77777777" w:rsidR="00CF2289" w:rsidRPr="004C2510" w:rsidRDefault="008C41C6" w:rsidP="00CF2289">
      <w:r>
        <w:t xml:space="preserve">For each source date field for which this architecture is necessary </w:t>
      </w:r>
      <w:r w:rsidR="00CF2289" w:rsidRPr="004C2510">
        <w:t>three column</w:t>
      </w:r>
      <w:r>
        <w:t>s are generated.  The following table shows the types.</w:t>
      </w:r>
      <w:r w:rsidR="004F5E38" w:rsidRPr="004C2510">
        <w:t xml:space="preserve">  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728"/>
        <w:gridCol w:w="2340"/>
        <w:gridCol w:w="2520"/>
        <w:gridCol w:w="3330"/>
      </w:tblGrid>
      <w:tr w:rsidR="004C2510" w:rsidRPr="004C2510" w14:paraId="214250E0" w14:textId="77777777" w:rsidTr="00CB2212"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4250DE" w14:textId="77777777" w:rsidR="004F5E38" w:rsidRPr="004C2510" w:rsidRDefault="004F5E38" w:rsidP="00CF2289"/>
        </w:tc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0DF" w14:textId="77777777" w:rsidR="004F5E38" w:rsidRPr="004C2510" w:rsidRDefault="004F5E38" w:rsidP="004F5E38">
            <w:pPr>
              <w:jc w:val="center"/>
              <w:rPr>
                <w:b/>
              </w:rPr>
            </w:pPr>
            <w:r w:rsidRPr="004C2510">
              <w:rPr>
                <w:b/>
              </w:rPr>
              <w:t>Column Type</w:t>
            </w:r>
          </w:p>
        </w:tc>
      </w:tr>
      <w:tr w:rsidR="004C2510" w:rsidRPr="004C2510" w14:paraId="214250E5" w14:textId="77777777" w:rsidTr="00CB221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0E1" w14:textId="77777777" w:rsidR="00CF2289" w:rsidRPr="004C2510" w:rsidRDefault="00CF2289" w:rsidP="00CF2289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E2" w14:textId="77777777" w:rsidR="00CF2289" w:rsidRPr="004C2510" w:rsidRDefault="00CF2289" w:rsidP="00CF2289">
            <w:pPr>
              <w:rPr>
                <w:b/>
              </w:rPr>
            </w:pPr>
            <w:r w:rsidRPr="004C2510">
              <w:rPr>
                <w:b/>
              </w:rPr>
              <w:t>Base column</w:t>
            </w:r>
            <w:r w:rsidR="004F5E38" w:rsidRPr="004C2510">
              <w:rPr>
                <w:b/>
              </w:rPr>
              <w:t xml:space="preserve"> (transformed)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E3" w14:textId="77777777" w:rsidR="00CF2289" w:rsidRPr="004C2510" w:rsidRDefault="00CF2289" w:rsidP="00CF2289">
            <w:pPr>
              <w:rPr>
                <w:b/>
              </w:rPr>
            </w:pPr>
            <w:r w:rsidRPr="004C2510">
              <w:rPr>
                <w:b/>
              </w:rPr>
              <w:t>Vista formatted date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E4" w14:textId="77777777" w:rsidR="00CF2289" w:rsidRPr="004C2510" w:rsidRDefault="006D1E19" w:rsidP="006D1E19">
            <w:pPr>
              <w:rPr>
                <w:b/>
              </w:rPr>
            </w:pPr>
            <w:r>
              <w:rPr>
                <w:b/>
              </w:rPr>
              <w:t>Foreign key to Dim.</w:t>
            </w:r>
            <w:r w:rsidR="008C41C6">
              <w:rPr>
                <w:b/>
              </w:rPr>
              <w:t>Transform</w:t>
            </w:r>
          </w:p>
        </w:tc>
      </w:tr>
      <w:tr w:rsidR="00E26842" w:rsidRPr="004C2510" w14:paraId="214250EA" w14:textId="77777777" w:rsidTr="00CB221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0E6" w14:textId="77777777" w:rsidR="00E26842" w:rsidRPr="004C2510" w:rsidRDefault="00E26842" w:rsidP="00CF2289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0E7" w14:textId="77777777" w:rsidR="00E26842" w:rsidRPr="004C2510" w:rsidRDefault="00E26842" w:rsidP="00CF2289">
            <w:r>
              <w:t>The actual datetime or date value</w:t>
            </w:r>
            <w:r w:rsidR="00263D93">
              <w:t>, transformed when necessary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0E8" w14:textId="77777777" w:rsidR="00E26842" w:rsidRPr="004C2510" w:rsidRDefault="00E26842" w:rsidP="00CF2289">
            <w:r>
              <w:t>The Vista formatted 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0E9" w14:textId="77777777" w:rsidR="00E26842" w:rsidRPr="004C2510" w:rsidRDefault="008C41C6" w:rsidP="008C41C6">
            <w:r>
              <w:t>SID</w:t>
            </w:r>
            <w:r w:rsidR="00F639F0">
              <w:t xml:space="preserve"> </w:t>
            </w:r>
            <w:r>
              <w:t xml:space="preserve">column </w:t>
            </w:r>
            <w:r w:rsidR="00F639F0">
              <w:t xml:space="preserve">for the </w:t>
            </w:r>
            <w:r>
              <w:t>transform</w:t>
            </w:r>
            <w:r w:rsidR="00E26842">
              <w:t xml:space="preserve"> </w:t>
            </w:r>
            <w:r>
              <w:t>that was</w:t>
            </w:r>
            <w:r w:rsidR="00F639F0">
              <w:t xml:space="preserve"> </w:t>
            </w:r>
            <w:r w:rsidR="00E26842">
              <w:t>applied</w:t>
            </w:r>
            <w:r>
              <w:t>.</w:t>
            </w:r>
          </w:p>
        </w:tc>
      </w:tr>
      <w:tr w:rsidR="004C2510" w:rsidRPr="004C2510" w14:paraId="214250EF" w14:textId="77777777" w:rsidTr="00CB221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EB" w14:textId="77777777" w:rsidR="00CF2289" w:rsidRPr="004C2510" w:rsidRDefault="00CF2289" w:rsidP="00CF2289">
            <w:pPr>
              <w:rPr>
                <w:b/>
              </w:rPr>
            </w:pPr>
            <w:r w:rsidRPr="004C2510">
              <w:rPr>
                <w:b/>
              </w:rPr>
              <w:t>Column 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EC" w14:textId="77777777" w:rsidR="00CF2289" w:rsidRPr="004C2510" w:rsidRDefault="00CF2289" w:rsidP="00CF2289">
            <w:r w:rsidRPr="004C2510">
              <w:t>xxxDateTime or xxxDate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ED" w14:textId="77777777" w:rsidR="00CF2289" w:rsidRPr="004C2510" w:rsidRDefault="00CF2289" w:rsidP="00CF2289">
            <w:r w:rsidRPr="004C2510">
              <w:t>xxxVistaErrorDate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8986" w14:textId="77777777" w:rsidR="00CB2212" w:rsidRDefault="00CF2289" w:rsidP="00CF2289">
            <w:r w:rsidRPr="004C2510">
              <w:t>xxx</w:t>
            </w:r>
            <w:r w:rsidR="00CB2212">
              <w:t>DateTime</w:t>
            </w:r>
            <w:r w:rsidRPr="004C2510">
              <w:t>TransformSID</w:t>
            </w:r>
          </w:p>
          <w:p w14:paraId="214250EE" w14:textId="67D7E403" w:rsidR="00CF2289" w:rsidRPr="004C2510" w:rsidRDefault="00CB2212" w:rsidP="00CF2289">
            <w:r>
              <w:t>or xxxDateTransformSID</w:t>
            </w:r>
          </w:p>
        </w:tc>
      </w:tr>
      <w:tr w:rsidR="004C2510" w:rsidRPr="004C2510" w14:paraId="214250F4" w14:textId="77777777" w:rsidTr="00CB221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F0" w14:textId="77777777" w:rsidR="00CF2289" w:rsidRPr="004C2510" w:rsidRDefault="00CF2289" w:rsidP="00CF2289">
            <w:pPr>
              <w:rPr>
                <w:b/>
              </w:rPr>
            </w:pPr>
            <w:r w:rsidRPr="004C2510">
              <w:rPr>
                <w:b/>
              </w:rPr>
              <w:t>Example column 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F1" w14:textId="77777777" w:rsidR="00CF2289" w:rsidRPr="004C2510" w:rsidRDefault="00CF2289" w:rsidP="00CF2289">
            <w:r w:rsidRPr="004C2510">
              <w:t>EnteredOnDateTime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F2" w14:textId="77777777" w:rsidR="00CF2289" w:rsidRPr="004C2510" w:rsidRDefault="00CF2289" w:rsidP="00CF2289">
            <w:r w:rsidRPr="004C2510">
              <w:t>EnteredOnVistaErrorDate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F3" w14:textId="3028336C" w:rsidR="00CF2289" w:rsidRPr="004C2510" w:rsidRDefault="00CF2289" w:rsidP="00CB2212">
            <w:r w:rsidRPr="004C2510">
              <w:t>EnteredOn</w:t>
            </w:r>
            <w:r w:rsidR="00CB2212">
              <w:t>DateTime</w:t>
            </w:r>
            <w:r w:rsidRPr="004C2510">
              <w:t>TransformSID</w:t>
            </w:r>
          </w:p>
        </w:tc>
      </w:tr>
      <w:tr w:rsidR="004C2510" w:rsidRPr="004C2510" w14:paraId="214250F9" w14:textId="77777777" w:rsidTr="00CB221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F5" w14:textId="77777777" w:rsidR="00CF2289" w:rsidRPr="004C2510" w:rsidRDefault="00CF2289" w:rsidP="00CF2289">
            <w:pPr>
              <w:rPr>
                <w:b/>
              </w:rPr>
            </w:pPr>
            <w:r w:rsidRPr="004C2510">
              <w:rPr>
                <w:b/>
              </w:rPr>
              <w:t>SQL data type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F6" w14:textId="77777777" w:rsidR="00CF2289" w:rsidRPr="004C2510" w:rsidRDefault="00CF2289" w:rsidP="00CF2289">
            <w:r w:rsidRPr="004C2510">
              <w:t>datetime2(0) or 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F7" w14:textId="77777777" w:rsidR="00CF2289" w:rsidRPr="004C2510" w:rsidRDefault="00FF79EA" w:rsidP="00CF2289">
            <w:r w:rsidRPr="004C2510">
              <w:t>v</w:t>
            </w:r>
            <w:r w:rsidR="00CF2289" w:rsidRPr="004C2510">
              <w:t>archar(50)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F8" w14:textId="77777777" w:rsidR="00CF2289" w:rsidRPr="004C2510" w:rsidRDefault="007910C3" w:rsidP="00CF2289">
            <w:r>
              <w:t>bigint</w:t>
            </w:r>
          </w:p>
        </w:tc>
      </w:tr>
      <w:tr w:rsidR="00CF2289" w:rsidRPr="004C2510" w14:paraId="214250FE" w14:textId="77777777" w:rsidTr="00CB221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FA" w14:textId="77777777" w:rsidR="00CF2289" w:rsidRPr="004C2510" w:rsidRDefault="00CF2289" w:rsidP="00CF2289">
            <w:pPr>
              <w:rPr>
                <w:b/>
              </w:rPr>
            </w:pPr>
            <w:r w:rsidRPr="004C2510">
              <w:rPr>
                <w:b/>
              </w:rPr>
              <w:t>Which rows populated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FB" w14:textId="77777777" w:rsidR="00CF2289" w:rsidRPr="004C2510" w:rsidRDefault="00CF2289" w:rsidP="00CF2289">
            <w:r w:rsidRPr="004C2510">
              <w:t xml:space="preserve">All rows that can be written to the SQL Server typed column with or without a transformation rule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FC" w14:textId="77777777" w:rsidR="00CF2289" w:rsidRPr="004C2510" w:rsidRDefault="00CF2289" w:rsidP="00CF2289">
            <w:r w:rsidRPr="004C2510">
              <w:t>Only rows for which a rule was applied, including the rule that says no value can be written to base column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0FD" w14:textId="77777777" w:rsidR="00CF2289" w:rsidRPr="004C2510" w:rsidRDefault="00CF2289" w:rsidP="00CF2289">
            <w:r w:rsidRPr="004C2510">
              <w:t>Only rows for which a rule was applied, including the rule that says no value can be written to base column</w:t>
            </w:r>
          </w:p>
        </w:tc>
      </w:tr>
      <w:tr w:rsidR="00BC451A" w:rsidRPr="004C2510" w14:paraId="21425103" w14:textId="77777777" w:rsidTr="00CB221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0FF" w14:textId="77777777" w:rsidR="00BC451A" w:rsidRPr="004C2510" w:rsidRDefault="00BC451A" w:rsidP="00CF2289">
            <w:pPr>
              <w:rPr>
                <w:b/>
              </w:rPr>
            </w:pPr>
            <w:r>
              <w:rPr>
                <w:b/>
              </w:rPr>
              <w:t>Source field mapping in MDR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100" w14:textId="77777777" w:rsidR="00BC451A" w:rsidRPr="004C2510" w:rsidRDefault="00BC451A" w:rsidP="00CF2289">
            <w:r>
              <w:t>Required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101" w14:textId="77777777" w:rsidR="00BC451A" w:rsidRPr="004C2510" w:rsidRDefault="00BC451A" w:rsidP="00CF2289">
            <w:r>
              <w:t>Required to be same as base column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102" w14:textId="77777777" w:rsidR="00BC451A" w:rsidRPr="004C2510" w:rsidRDefault="00BC451A" w:rsidP="00CF2289">
            <w:r>
              <w:t>Required to be same as base column</w:t>
            </w:r>
          </w:p>
        </w:tc>
      </w:tr>
    </w:tbl>
    <w:p w14:paraId="21425104" w14:textId="77777777" w:rsidR="004F5E38" w:rsidRPr="004C2510" w:rsidRDefault="004F5E38" w:rsidP="00CF2289">
      <w:pPr>
        <w:spacing w:after="0" w:line="240" w:lineRule="auto"/>
      </w:pPr>
    </w:p>
    <w:p w14:paraId="21425105" w14:textId="77777777" w:rsidR="00A046BF" w:rsidRDefault="00A046BF">
      <w:r>
        <w:br w:type="page"/>
      </w:r>
    </w:p>
    <w:p w14:paraId="21425106" w14:textId="77777777" w:rsidR="004F5E38" w:rsidRPr="004C2510" w:rsidRDefault="004F5E38" w:rsidP="00CF2289">
      <w:pPr>
        <w:spacing w:after="0" w:line="240" w:lineRule="auto"/>
      </w:pPr>
      <w:r w:rsidRPr="004C2510">
        <w:lastRenderedPageBreak/>
        <w:t>Following are some example data scenarios.</w:t>
      </w:r>
    </w:p>
    <w:p w14:paraId="21425107" w14:textId="77777777" w:rsidR="002E7393" w:rsidRPr="005A44F3" w:rsidRDefault="002E7393" w:rsidP="002E739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1907"/>
        <w:gridCol w:w="1568"/>
        <w:gridCol w:w="1507"/>
        <w:gridCol w:w="2628"/>
      </w:tblGrid>
      <w:tr w:rsidR="009F78AC" w:rsidRPr="005A44F3" w14:paraId="2142510D" w14:textId="77777777" w:rsidTr="009F78AC"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08" w14:textId="77777777" w:rsidR="009F78AC" w:rsidRPr="009F78AC" w:rsidRDefault="009F78AC" w:rsidP="00B230D7">
            <w:pPr>
              <w:spacing w:after="200" w:line="276" w:lineRule="auto"/>
              <w:rPr>
                <w:b/>
              </w:rPr>
            </w:pPr>
            <w:r w:rsidRPr="009F78AC">
              <w:rPr>
                <w:b/>
              </w:rPr>
              <w:t>Original source Vista Date (not in DW table)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09" w14:textId="77777777" w:rsidR="009F78AC" w:rsidRPr="009F78AC" w:rsidRDefault="009F78AC" w:rsidP="009F78AC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Base column (transformed)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10A" w14:textId="77777777" w:rsidR="009F78AC" w:rsidRPr="009F78AC" w:rsidRDefault="009F78AC" w:rsidP="005A44F3">
            <w:pPr>
              <w:rPr>
                <w:b/>
              </w:rPr>
            </w:pPr>
            <w:r>
              <w:rPr>
                <w:b/>
              </w:rPr>
              <w:t>VistaErrorDate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0B" w14:textId="77777777" w:rsidR="009F78AC" w:rsidRPr="009F78AC" w:rsidRDefault="009F78AC" w:rsidP="005A44F3">
            <w:pPr>
              <w:spacing w:after="200" w:line="276" w:lineRule="auto"/>
              <w:rPr>
                <w:b/>
              </w:rPr>
            </w:pPr>
            <w:r w:rsidRPr="009F78AC">
              <w:rPr>
                <w:b/>
              </w:rPr>
              <w:t>TransformSID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0C" w14:textId="77777777" w:rsidR="009F78AC" w:rsidRPr="009F78AC" w:rsidRDefault="009F78AC" w:rsidP="005A44F3">
            <w:pPr>
              <w:spacing w:after="200" w:line="276" w:lineRule="auto"/>
              <w:rPr>
                <w:b/>
              </w:rPr>
            </w:pPr>
            <w:r w:rsidRPr="009F78AC">
              <w:rPr>
                <w:b/>
              </w:rPr>
              <w:t>Explanation</w:t>
            </w:r>
          </w:p>
        </w:tc>
      </w:tr>
      <w:tr w:rsidR="009F78AC" w:rsidRPr="005A44F3" w14:paraId="21425113" w14:textId="77777777" w:rsidTr="009F78AC"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0E" w14:textId="77777777" w:rsidR="009F78AC" w:rsidRPr="005A44F3" w:rsidRDefault="009F78AC" w:rsidP="00813F22">
            <w:pPr>
              <w:spacing w:after="200" w:line="276" w:lineRule="auto"/>
            </w:pPr>
            <w:r w:rsidRPr="005A44F3">
              <w:t>3010617</w:t>
            </w:r>
            <w:r>
              <w:t>.</w:t>
            </w:r>
            <w:r w:rsidRPr="005A44F3">
              <w:t>2315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0F" w14:textId="77777777" w:rsidR="009F78AC" w:rsidRPr="005A44F3" w:rsidRDefault="009F78AC" w:rsidP="00813F22">
            <w:pPr>
              <w:spacing w:after="200" w:line="276" w:lineRule="auto"/>
            </w:pPr>
            <w:r w:rsidRPr="005A44F3">
              <w:t>2001-06-17 23:15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110" w14:textId="77777777" w:rsidR="009F78AC" w:rsidRDefault="009F78AC" w:rsidP="00813F22">
            <w:r>
              <w:t>Null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11" w14:textId="77777777" w:rsidR="009F78AC" w:rsidRPr="005A44F3" w:rsidRDefault="009F78AC" w:rsidP="00813F22">
            <w:pPr>
              <w:spacing w:after="200" w:line="276" w:lineRule="auto"/>
            </w:pPr>
            <w:r>
              <w:t>Null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12" w14:textId="77777777" w:rsidR="009F78AC" w:rsidRPr="005A44F3" w:rsidRDefault="009F78AC" w:rsidP="00813F22">
            <w:pPr>
              <w:spacing w:after="200" w:line="276" w:lineRule="auto"/>
            </w:pPr>
            <w:r w:rsidRPr="005A44F3">
              <w:t>No rule applied</w:t>
            </w:r>
          </w:p>
        </w:tc>
      </w:tr>
      <w:tr w:rsidR="009F78AC" w:rsidRPr="005A44F3" w14:paraId="21425119" w14:textId="77777777" w:rsidTr="009F78AC"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14" w14:textId="77777777" w:rsidR="009F78AC" w:rsidRPr="005A44F3" w:rsidRDefault="009F78AC" w:rsidP="005A44F3">
            <w:pPr>
              <w:spacing w:after="200" w:line="276" w:lineRule="auto"/>
            </w:pPr>
            <w:r w:rsidRPr="005A44F3">
              <w:t>3010600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15" w14:textId="77777777" w:rsidR="009F78AC" w:rsidRPr="005A44F3" w:rsidRDefault="009F78AC" w:rsidP="005A44F3">
            <w:pPr>
              <w:spacing w:after="200" w:line="276" w:lineRule="auto"/>
            </w:pPr>
            <w:r w:rsidRPr="005A44F3">
              <w:t>2001-06-01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116" w14:textId="77777777" w:rsidR="009F78AC" w:rsidRDefault="009F78AC" w:rsidP="005A44F3">
            <w:r w:rsidRPr="005A44F3">
              <w:t>3010600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17" w14:textId="77777777" w:rsidR="009F78AC" w:rsidRPr="005A44F3" w:rsidRDefault="009F78AC" w:rsidP="005A44F3">
            <w:pPr>
              <w:spacing w:after="200" w:line="276" w:lineRule="auto"/>
            </w:pPr>
            <w:r>
              <w:t>1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18" w14:textId="77777777" w:rsidR="009F78AC" w:rsidRPr="005A44F3" w:rsidRDefault="009F78AC" w:rsidP="005A44F3">
            <w:pPr>
              <w:spacing w:after="200" w:line="276" w:lineRule="auto"/>
            </w:pPr>
            <w:r>
              <w:t>Rule #1</w:t>
            </w:r>
            <w:r w:rsidRPr="005A44F3">
              <w:t xml:space="preserve"> applied for DayOfMonth</w:t>
            </w:r>
          </w:p>
        </w:tc>
      </w:tr>
      <w:tr w:rsidR="009F78AC" w:rsidRPr="005A44F3" w14:paraId="2142511F" w14:textId="77777777" w:rsidTr="009F78AC"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1A" w14:textId="77777777" w:rsidR="009F78AC" w:rsidRPr="005A44F3" w:rsidRDefault="009F78AC" w:rsidP="005A44F3">
            <w:pPr>
              <w:spacing w:after="200" w:line="276" w:lineRule="auto"/>
            </w:pPr>
            <w:r w:rsidRPr="005A44F3">
              <w:t>3010000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1B" w14:textId="77777777" w:rsidR="009F78AC" w:rsidRPr="005A44F3" w:rsidRDefault="009F78AC" w:rsidP="005A44F3">
            <w:pPr>
              <w:spacing w:after="200" w:line="276" w:lineRule="auto"/>
            </w:pPr>
            <w:r w:rsidRPr="005A44F3">
              <w:t>2001-01-01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11C" w14:textId="77777777" w:rsidR="009F78AC" w:rsidRPr="005A44F3" w:rsidRDefault="009F78AC" w:rsidP="005A44F3">
            <w:r w:rsidRPr="005A44F3">
              <w:t>3010000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1D" w14:textId="77777777" w:rsidR="009F78AC" w:rsidRPr="005A44F3" w:rsidRDefault="009F78AC" w:rsidP="005A44F3">
            <w:pPr>
              <w:spacing w:after="200" w:line="276" w:lineRule="auto"/>
            </w:pPr>
            <w:r w:rsidRPr="005A44F3">
              <w:t>3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1E" w14:textId="77777777" w:rsidR="009F78AC" w:rsidRPr="005A44F3" w:rsidRDefault="009F78AC" w:rsidP="004F5E38">
            <w:pPr>
              <w:spacing w:after="200" w:line="276" w:lineRule="auto"/>
            </w:pPr>
            <w:r w:rsidRPr="005A44F3">
              <w:t xml:space="preserve">Rules #1 and 2 both applied </w:t>
            </w:r>
            <w:r>
              <w:t>(add 1 + 2)</w:t>
            </w:r>
          </w:p>
        </w:tc>
      </w:tr>
      <w:tr w:rsidR="009F78AC" w:rsidRPr="005A44F3" w14:paraId="21425125" w14:textId="77777777" w:rsidTr="009F78AC"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120" w14:textId="77777777" w:rsidR="009F78AC" w:rsidRPr="005A44F3" w:rsidRDefault="009F78AC" w:rsidP="005A44F3">
            <w:r>
              <w:t>301a028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121" w14:textId="77777777" w:rsidR="009F78AC" w:rsidRPr="005A44F3" w:rsidRDefault="009F78AC" w:rsidP="005A44F3">
            <w:r>
              <w:t>Null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122" w14:textId="77777777" w:rsidR="009F78AC" w:rsidRDefault="009F78AC" w:rsidP="005A44F3">
            <w:r>
              <w:t>301a028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123" w14:textId="77777777" w:rsidR="009F78AC" w:rsidRDefault="009F78AC" w:rsidP="005A44F3">
            <w:r>
              <w:t>4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124" w14:textId="77777777" w:rsidR="009F78AC" w:rsidRDefault="009F78AC" w:rsidP="002E52A0">
            <w:r>
              <w:t>Invalid format of date component</w:t>
            </w:r>
          </w:p>
        </w:tc>
      </w:tr>
      <w:tr w:rsidR="009F78AC" w:rsidRPr="005A44F3" w14:paraId="2142512B" w14:textId="77777777" w:rsidTr="009F78AC"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26" w14:textId="77777777" w:rsidR="009F78AC" w:rsidRPr="005A44F3" w:rsidRDefault="009F78AC" w:rsidP="005A44F3">
            <w:pPr>
              <w:spacing w:after="200" w:line="276" w:lineRule="auto"/>
            </w:pPr>
            <w:r w:rsidRPr="005A44F3">
              <w:t>3010617</w:t>
            </w:r>
            <w:r>
              <w:t>.</w:t>
            </w:r>
            <w:r w:rsidRPr="005A44F3">
              <w:t>2415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27" w14:textId="77777777" w:rsidR="009F78AC" w:rsidRPr="005A44F3" w:rsidRDefault="009F78AC" w:rsidP="005A44F3">
            <w:pPr>
              <w:spacing w:after="200" w:line="276" w:lineRule="auto"/>
            </w:pPr>
            <w:r w:rsidRPr="005A44F3">
              <w:t>2001-06-17 23:15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128" w14:textId="77777777" w:rsidR="009F78AC" w:rsidRDefault="009F78AC" w:rsidP="005A44F3">
            <w:r w:rsidRPr="005A44F3">
              <w:t>3010617</w:t>
            </w:r>
            <w:r>
              <w:t>.</w:t>
            </w:r>
            <w:r w:rsidRPr="005A44F3">
              <w:t>2415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29" w14:textId="77777777" w:rsidR="009F78AC" w:rsidRPr="005A44F3" w:rsidRDefault="009F78AC" w:rsidP="005A44F3">
            <w:pPr>
              <w:spacing w:after="200" w:line="276" w:lineRule="auto"/>
            </w:pPr>
            <w:r>
              <w:t>8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12A" w14:textId="77777777" w:rsidR="009F78AC" w:rsidRPr="005A44F3" w:rsidRDefault="009F78AC" w:rsidP="00B230D7">
            <w:pPr>
              <w:spacing w:after="200" w:line="276" w:lineRule="auto"/>
            </w:pPr>
            <w:r>
              <w:t>Rule #8</w:t>
            </w:r>
            <w:r w:rsidRPr="005A44F3">
              <w:t xml:space="preserve"> applied.  Notice this has same datetime value as </w:t>
            </w:r>
            <w:r>
              <w:t>the first</w:t>
            </w:r>
            <w:r w:rsidRPr="005A44F3">
              <w:t xml:space="preserve"> </w:t>
            </w:r>
            <w:r>
              <w:t xml:space="preserve">example </w:t>
            </w:r>
            <w:r w:rsidRPr="005A44F3">
              <w:t xml:space="preserve">but together with </w:t>
            </w:r>
            <w:r>
              <w:t>t</w:t>
            </w:r>
            <w:r w:rsidRPr="005A44F3">
              <w:t xml:space="preserve">ransform </w:t>
            </w:r>
            <w:r>
              <w:t>rule original value can be derived</w:t>
            </w:r>
            <w:r w:rsidRPr="005A44F3">
              <w:t>.</w:t>
            </w:r>
          </w:p>
        </w:tc>
      </w:tr>
      <w:tr w:rsidR="009F78AC" w:rsidRPr="005A44F3" w14:paraId="21425131" w14:textId="77777777" w:rsidTr="009F78AC"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12C" w14:textId="77777777" w:rsidR="009F78AC" w:rsidRPr="005A44F3" w:rsidRDefault="009F78AC" w:rsidP="005A44F3">
            <w:r>
              <w:t>3010600.1265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12D" w14:textId="77777777" w:rsidR="009F78AC" w:rsidRPr="005A44F3" w:rsidRDefault="000500E2" w:rsidP="005A44F3">
            <w:r>
              <w:t>2001-06-01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12E" w14:textId="77777777" w:rsidR="009F78AC" w:rsidRDefault="009F78AC" w:rsidP="005A44F3">
            <w:r>
              <w:t>3010600.1265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12F" w14:textId="77777777" w:rsidR="009F78AC" w:rsidRDefault="009F78AC" w:rsidP="005A44F3">
            <w:r>
              <w:t>17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130" w14:textId="77777777" w:rsidR="009F78AC" w:rsidRDefault="009F78AC" w:rsidP="00CB1CB9">
            <w:r>
              <w:t>Rules #1 and #16 perhaps artificial in that these two rules may not ever be invoked together.</w:t>
            </w:r>
          </w:p>
        </w:tc>
      </w:tr>
    </w:tbl>
    <w:p w14:paraId="21425132" w14:textId="77777777" w:rsidR="00DB2769" w:rsidRDefault="00DB2769" w:rsidP="0086004A"/>
    <w:p w14:paraId="21425133" w14:textId="77777777" w:rsidR="00D75174" w:rsidRDefault="00C00B1A" w:rsidP="004770A8">
      <w:pPr>
        <w:spacing w:after="0" w:line="240" w:lineRule="auto"/>
      </w:pPr>
      <w:r>
        <w:t>The xxxTransform</w:t>
      </w:r>
      <w:r w:rsidR="00FF79EA">
        <w:t>SID</w:t>
      </w:r>
      <w:r>
        <w:t xml:space="preserve"> fields in the DW fact tables have data type </w:t>
      </w:r>
      <w:r w:rsidR="00362691">
        <w:t xml:space="preserve">bigint.  </w:t>
      </w:r>
      <w:r>
        <w:t xml:space="preserve">Records requiring no transform are represented as null.  </w:t>
      </w:r>
      <w:r w:rsidR="00362691">
        <w:t>T</w:t>
      </w:r>
      <w:r>
        <w:t>he large majority of the records will</w:t>
      </w:r>
      <w:r w:rsidR="00362691">
        <w:t xml:space="preserve"> have no transformation applied.  Standard use of table compression in CDW should minimize the increase in tables’ sizes if these types of fields are null for most records.</w:t>
      </w:r>
      <w:r w:rsidR="007F52D5">
        <w:t xml:space="preserve">  This xxxTransformSID foreign key references a view CDWWork.Dim.Transform.  There is one record in Dim.Transform for each rule or possible combination of rules defined above.  The actual </w:t>
      </w:r>
      <w:r w:rsidR="00D75174">
        <w:t xml:space="preserve">transformations occur at the time of extract from Vista by the method employed by the BISL Vista Extract Team. </w:t>
      </w:r>
    </w:p>
    <w:p w14:paraId="21425134" w14:textId="77777777" w:rsidR="008748B3" w:rsidRDefault="008748B3" w:rsidP="008748B3">
      <w:pPr>
        <w:spacing w:after="0" w:line="240" w:lineRule="auto"/>
      </w:pPr>
    </w:p>
    <w:p w14:paraId="21425135" w14:textId="77777777" w:rsidR="00A51269" w:rsidRDefault="00621C57" w:rsidP="001A6265">
      <w:pPr>
        <w:autoSpaceDE w:val="0"/>
        <w:autoSpaceDN w:val="0"/>
        <w:adjustRightInd w:val="0"/>
        <w:spacing w:after="0" w:line="240" w:lineRule="auto"/>
      </w:pPr>
      <w:r>
        <w:t>The c</w:t>
      </w:r>
      <w:r w:rsidR="00A51269">
        <w:t>onventional query to see descriptions of transform logic</w:t>
      </w:r>
      <w:r>
        <w:t xml:space="preserve"> would look like</w:t>
      </w:r>
      <w:r w:rsidR="00A51269">
        <w:t>:</w:t>
      </w:r>
    </w:p>
    <w:p w14:paraId="21425136" w14:textId="77777777" w:rsidR="00A51269" w:rsidRDefault="00A51269" w:rsidP="001A6265">
      <w:pPr>
        <w:autoSpaceDE w:val="0"/>
        <w:autoSpaceDN w:val="0"/>
        <w:adjustRightInd w:val="0"/>
        <w:spacing w:after="0" w:line="240" w:lineRule="auto"/>
      </w:pPr>
    </w:p>
    <w:p w14:paraId="21425137" w14:textId="77777777" w:rsidR="001A6265" w:rsidRDefault="001A6265" w:rsidP="001A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21C57">
        <w:rPr>
          <w:rFonts w:ascii="Courier New" w:hAnsi="Courier New" w:cs="Courier New"/>
          <w:noProof/>
          <w:sz w:val="20"/>
          <w:szCs w:val="20"/>
        </w:rPr>
        <w:t>m.</w:t>
      </w:r>
      <w:r>
        <w:rPr>
          <w:rFonts w:ascii="Courier New" w:hAnsi="Courier New" w:cs="Courier New"/>
          <w:noProof/>
          <w:sz w:val="20"/>
          <w:szCs w:val="20"/>
        </w:rPr>
        <w:t>MyTableSID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MyExampleDateTime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TransformDescription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MyExampleDateTimeTransformDescription</w:t>
      </w:r>
    </w:p>
    <w:p w14:paraId="21425138" w14:textId="77777777" w:rsidR="001A6265" w:rsidRDefault="001A6265" w:rsidP="001A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MyTable m</w:t>
      </w:r>
    </w:p>
    <w:p w14:paraId="21425139" w14:textId="77777777" w:rsidR="001A6265" w:rsidRDefault="001A6265" w:rsidP="001A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Transform t</w:t>
      </w:r>
    </w:p>
    <w:p w14:paraId="2142513A" w14:textId="77777777" w:rsidR="001A6265" w:rsidRDefault="001A6265" w:rsidP="001A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MyExampleDateTime</w:t>
      </w:r>
      <w:r w:rsidR="00621C57">
        <w:rPr>
          <w:rFonts w:ascii="Courier New" w:hAnsi="Courier New" w:cs="Courier New"/>
          <w:noProof/>
          <w:sz w:val="20"/>
          <w:szCs w:val="20"/>
        </w:rPr>
        <w:t>Transform</w:t>
      </w:r>
      <w:r>
        <w:rPr>
          <w:rFonts w:ascii="Courier New" w:hAnsi="Courier New" w:cs="Courier New"/>
          <w:noProof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TransformSID</w:t>
      </w:r>
    </w:p>
    <w:p w14:paraId="2142513B" w14:textId="77777777" w:rsidR="001A6265" w:rsidRPr="001A6265" w:rsidRDefault="001A6265" w:rsidP="001A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142513C" w14:textId="77777777" w:rsidR="00845FAA" w:rsidRPr="005A44F3" w:rsidRDefault="00845FAA" w:rsidP="004770A8">
      <w:r>
        <w:t>Following are other possible queries for advanced users.</w:t>
      </w:r>
    </w:p>
    <w:p w14:paraId="2142513D" w14:textId="77777777" w:rsidR="00DB2769" w:rsidRDefault="00DB2769" w:rsidP="00DB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--Retrieve records where at least one transform rule was applied</w:t>
      </w:r>
    </w:p>
    <w:p w14:paraId="2142513E" w14:textId="77777777" w:rsidR="00DB2769" w:rsidRDefault="00DB2769" w:rsidP="00DB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MyTableSID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MyExampleDateTime</w:t>
      </w:r>
    </w:p>
    <w:p w14:paraId="2142513F" w14:textId="77777777" w:rsidR="00DB2769" w:rsidRDefault="00DB2769" w:rsidP="00DB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MyTable </w:t>
      </w:r>
    </w:p>
    <w:p w14:paraId="21425140" w14:textId="77777777" w:rsidR="00DB2769" w:rsidRDefault="00DB2769" w:rsidP="00DB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MyExampleDateTimeTransform</w:t>
      </w:r>
      <w:r w:rsidR="00845FAA">
        <w:rPr>
          <w:rFonts w:ascii="Courier New" w:hAnsi="Courier New" w:cs="Courier New"/>
          <w:noProof/>
          <w:sz w:val="20"/>
          <w:szCs w:val="20"/>
        </w:rPr>
        <w:t>SID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21425141" w14:textId="77777777" w:rsidR="00DB2769" w:rsidRDefault="00DB2769" w:rsidP="00DB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21425142" w14:textId="77777777" w:rsidR="00DB2769" w:rsidRDefault="00DB2769" w:rsidP="00DB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--Retrieve records wher</w:t>
      </w:r>
      <w:r w:rsidR="0072424A">
        <w:rPr>
          <w:rFonts w:ascii="Courier New" w:hAnsi="Courier New" w:cs="Courier New"/>
          <w:noProof/>
          <w:color w:val="008000"/>
          <w:sz w:val="20"/>
          <w:szCs w:val="20"/>
        </w:rPr>
        <w:t>e no transform rule was applied</w:t>
      </w:r>
    </w:p>
    <w:p w14:paraId="21425143" w14:textId="77777777" w:rsidR="00DB2769" w:rsidRDefault="00DB2769" w:rsidP="00DB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MyTableSID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MyExampleDateTime</w:t>
      </w:r>
    </w:p>
    <w:p w14:paraId="21425144" w14:textId="77777777" w:rsidR="00DB2769" w:rsidRDefault="00DB2769" w:rsidP="00DB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MyTable </w:t>
      </w:r>
    </w:p>
    <w:p w14:paraId="21425145" w14:textId="77777777" w:rsidR="00DB2769" w:rsidRDefault="00DB2769" w:rsidP="00DB2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MyExampleDateTimeTransform</w:t>
      </w:r>
      <w:r w:rsidR="00845FAA">
        <w:rPr>
          <w:rFonts w:ascii="Courier New" w:hAnsi="Courier New" w:cs="Courier New"/>
          <w:noProof/>
          <w:sz w:val="20"/>
          <w:szCs w:val="20"/>
        </w:rPr>
        <w:t>SID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21425146" w14:textId="77777777" w:rsidR="00A112A7" w:rsidRDefault="00A112A7" w:rsidP="00CB1CB9">
      <w:pPr>
        <w:spacing w:after="0" w:line="240" w:lineRule="auto"/>
      </w:pPr>
    </w:p>
    <w:p w14:paraId="21425147" w14:textId="77777777" w:rsidR="000B53FF" w:rsidRDefault="000B53FF" w:rsidP="00CB1CB9">
      <w:pPr>
        <w:spacing w:after="0" w:line="240" w:lineRule="auto"/>
      </w:pPr>
      <w:r>
        <w:t>The DWTechnicalDescription of each xxxTransform</w:t>
      </w:r>
      <w:r w:rsidR="008748B3">
        <w:t>SID</w:t>
      </w:r>
      <w:r>
        <w:t xml:space="preserve"> field contains the following text. </w:t>
      </w:r>
    </w:p>
    <w:p w14:paraId="21425148" w14:textId="77777777" w:rsidR="000B53FF" w:rsidRPr="000B53FF" w:rsidRDefault="000B53FF" w:rsidP="00CB1CB9">
      <w:pPr>
        <w:spacing w:after="0" w:line="240" w:lineRule="auto"/>
        <w:rPr>
          <w:i/>
        </w:rPr>
      </w:pPr>
      <w:r w:rsidRPr="000B53FF">
        <w:rPr>
          <w:i/>
        </w:rPr>
        <w:t>Th</w:t>
      </w:r>
      <w:r w:rsidR="008748B3">
        <w:rPr>
          <w:i/>
        </w:rPr>
        <w:t>is is a code indicating the tranformation</w:t>
      </w:r>
      <w:r w:rsidRPr="000B53FF">
        <w:rPr>
          <w:i/>
        </w:rPr>
        <w:t xml:space="preserve">(s) </w:t>
      </w:r>
      <w:r w:rsidR="008748B3">
        <w:rPr>
          <w:i/>
        </w:rPr>
        <w:t xml:space="preserve">logic </w:t>
      </w:r>
      <w:r w:rsidRPr="000B53FF">
        <w:rPr>
          <w:i/>
        </w:rPr>
        <w:t>used to transform the Vista datetime value into a SQL date or datetime data type.  A tran</w:t>
      </w:r>
      <w:r w:rsidR="0075155A">
        <w:rPr>
          <w:i/>
        </w:rPr>
        <w:t>s</w:t>
      </w:r>
      <w:r w:rsidRPr="000B53FF">
        <w:rPr>
          <w:i/>
        </w:rPr>
        <w:t xml:space="preserve">formation is necessary when the Vista value does not translate directly, e.g. there is no day of month.  The </w:t>
      </w:r>
      <w:r w:rsidR="008748B3">
        <w:rPr>
          <w:i/>
        </w:rPr>
        <w:t>logic</w:t>
      </w:r>
      <w:r w:rsidRPr="000B53FF">
        <w:rPr>
          <w:i/>
        </w:rPr>
        <w:t xml:space="preserve"> </w:t>
      </w:r>
      <w:r w:rsidR="008748B3">
        <w:rPr>
          <w:i/>
        </w:rPr>
        <w:t xml:space="preserve">is </w:t>
      </w:r>
      <w:r w:rsidR="0075155A">
        <w:rPr>
          <w:i/>
        </w:rPr>
        <w:t>applied</w:t>
      </w:r>
      <w:r w:rsidR="008748B3">
        <w:rPr>
          <w:i/>
        </w:rPr>
        <w:t xml:space="preserve"> and the result is written</w:t>
      </w:r>
      <w:r w:rsidR="0075155A">
        <w:rPr>
          <w:i/>
        </w:rPr>
        <w:t xml:space="preserve"> to the field of the</w:t>
      </w:r>
      <w:r w:rsidRPr="000B53FF">
        <w:rPr>
          <w:i/>
        </w:rPr>
        <w:t xml:space="preserve"> same name </w:t>
      </w:r>
      <w:r w:rsidR="0075155A">
        <w:rPr>
          <w:i/>
        </w:rPr>
        <w:t xml:space="preserve">as this field </w:t>
      </w:r>
      <w:r w:rsidRPr="000B53FF">
        <w:rPr>
          <w:i/>
        </w:rPr>
        <w:t>without the suffix "Transform</w:t>
      </w:r>
      <w:r w:rsidR="008748B3">
        <w:rPr>
          <w:i/>
        </w:rPr>
        <w:t>SID</w:t>
      </w:r>
      <w:r w:rsidRPr="000B53FF">
        <w:rPr>
          <w:i/>
        </w:rPr>
        <w:t>".  If the value is null no transformation rule was applied. See a complete description on how to use this code on the Metadata SharePoint page.</w:t>
      </w:r>
    </w:p>
    <w:p w14:paraId="21425149" w14:textId="77777777" w:rsidR="006D1E19" w:rsidRDefault="006D1E19" w:rsidP="00A112A7">
      <w:pPr>
        <w:spacing w:after="0" w:line="240" w:lineRule="auto"/>
        <w:rPr>
          <w:b/>
        </w:rPr>
      </w:pPr>
    </w:p>
    <w:p w14:paraId="2142514A" w14:textId="77777777" w:rsidR="00A112A7" w:rsidRPr="00A112A7" w:rsidRDefault="00A112A7" w:rsidP="00A112A7">
      <w:pPr>
        <w:spacing w:after="0" w:line="240" w:lineRule="auto"/>
        <w:rPr>
          <w:b/>
        </w:rPr>
      </w:pPr>
      <w:r w:rsidRPr="00A112A7">
        <w:rPr>
          <w:b/>
        </w:rPr>
        <w:t>Cutoff Logic</w:t>
      </w:r>
    </w:p>
    <w:p w14:paraId="2142514B" w14:textId="77777777" w:rsidR="000B53FF" w:rsidRDefault="00A112A7" w:rsidP="00CB1CB9">
      <w:pPr>
        <w:spacing w:after="0" w:line="240" w:lineRule="auto"/>
      </w:pPr>
      <w:r>
        <w:t>Each fact table must have a date field identified for comparison to an initial cutoff date (nominally 10/1/1999) when loading the data into the RDW database.  Records having a value in that cutoff field that is earlier than the cutoff date are excluded from the load (although typically records having a null value are included).  New table versions, having the datetime architecture descri</w:t>
      </w:r>
      <w:r w:rsidR="006D1E19">
        <w:t>bed in this document, will use the</w:t>
      </w:r>
      <w:r>
        <w:t xml:space="preserve"> transformed date/datetime field as the cutoff field.  This is a departure from the old practice of using of a VistaRawDate as the cutoff field.</w:t>
      </w:r>
    </w:p>
    <w:p w14:paraId="2142514C" w14:textId="77777777" w:rsidR="00CB1CB9" w:rsidRDefault="00CB1CB9"/>
    <w:sectPr w:rsidR="00CB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77435"/>
    <w:multiLevelType w:val="hybridMultilevel"/>
    <w:tmpl w:val="A7B0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32A5A"/>
    <w:multiLevelType w:val="hybridMultilevel"/>
    <w:tmpl w:val="D8EC53CA"/>
    <w:lvl w:ilvl="0" w:tplc="EF3EB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B022AA">
      <w:start w:val="29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FE8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589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43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786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002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8A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AD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40"/>
    <w:rsid w:val="00011F9A"/>
    <w:rsid w:val="000500E2"/>
    <w:rsid w:val="000B53FF"/>
    <w:rsid w:val="0011381C"/>
    <w:rsid w:val="001A6265"/>
    <w:rsid w:val="00216C35"/>
    <w:rsid w:val="00263D93"/>
    <w:rsid w:val="002654DF"/>
    <w:rsid w:val="00276780"/>
    <w:rsid w:val="002B68F4"/>
    <w:rsid w:val="002E52A0"/>
    <w:rsid w:val="002E7393"/>
    <w:rsid w:val="002F02F4"/>
    <w:rsid w:val="00313040"/>
    <w:rsid w:val="003241CF"/>
    <w:rsid w:val="00362691"/>
    <w:rsid w:val="003A1E29"/>
    <w:rsid w:val="003B6DEF"/>
    <w:rsid w:val="00472654"/>
    <w:rsid w:val="004770A8"/>
    <w:rsid w:val="004C02B4"/>
    <w:rsid w:val="004C2510"/>
    <w:rsid w:val="004D4CA4"/>
    <w:rsid w:val="004F5E38"/>
    <w:rsid w:val="0056492B"/>
    <w:rsid w:val="005A44F3"/>
    <w:rsid w:val="00621C57"/>
    <w:rsid w:val="006D1E19"/>
    <w:rsid w:val="007114CF"/>
    <w:rsid w:val="0072424A"/>
    <w:rsid w:val="0075155A"/>
    <w:rsid w:val="007910C3"/>
    <w:rsid w:val="00795ACA"/>
    <w:rsid w:val="007C2CF3"/>
    <w:rsid w:val="007C63A3"/>
    <w:rsid w:val="007F52D5"/>
    <w:rsid w:val="00813F22"/>
    <w:rsid w:val="008352FE"/>
    <w:rsid w:val="00845FAA"/>
    <w:rsid w:val="00857372"/>
    <w:rsid w:val="0086004A"/>
    <w:rsid w:val="0086338C"/>
    <w:rsid w:val="008748B3"/>
    <w:rsid w:val="0088577A"/>
    <w:rsid w:val="008C41C6"/>
    <w:rsid w:val="008F5954"/>
    <w:rsid w:val="0090038C"/>
    <w:rsid w:val="009452D1"/>
    <w:rsid w:val="009653E9"/>
    <w:rsid w:val="00996D71"/>
    <w:rsid w:val="009F78AC"/>
    <w:rsid w:val="00A046BF"/>
    <w:rsid w:val="00A112A7"/>
    <w:rsid w:val="00A51269"/>
    <w:rsid w:val="00A97F6C"/>
    <w:rsid w:val="00AC6581"/>
    <w:rsid w:val="00B230D7"/>
    <w:rsid w:val="00B774A5"/>
    <w:rsid w:val="00BC451A"/>
    <w:rsid w:val="00C00B1A"/>
    <w:rsid w:val="00C06649"/>
    <w:rsid w:val="00C17BB9"/>
    <w:rsid w:val="00CB1CB9"/>
    <w:rsid w:val="00CB2212"/>
    <w:rsid w:val="00CB70EB"/>
    <w:rsid w:val="00CF2289"/>
    <w:rsid w:val="00D02A12"/>
    <w:rsid w:val="00D06D40"/>
    <w:rsid w:val="00D42C09"/>
    <w:rsid w:val="00D75174"/>
    <w:rsid w:val="00DA2249"/>
    <w:rsid w:val="00DA601D"/>
    <w:rsid w:val="00DB2769"/>
    <w:rsid w:val="00E26842"/>
    <w:rsid w:val="00E53540"/>
    <w:rsid w:val="00E87F43"/>
    <w:rsid w:val="00EA117F"/>
    <w:rsid w:val="00EE6178"/>
    <w:rsid w:val="00EF37D6"/>
    <w:rsid w:val="00F639F0"/>
    <w:rsid w:val="00FC110A"/>
    <w:rsid w:val="00FF308B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50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70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7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4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0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3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2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7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39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4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1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78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67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16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7852C100523449772471FD4848775" ma:contentTypeVersion="1" ma:contentTypeDescription="Create a new document." ma:contentTypeScope="" ma:versionID="7b4480815ab86e555fe66d7f38ddc0a9">
  <xsd:schema xmlns:xsd="http://www.w3.org/2001/XMLSchema" xmlns:xs="http://www.w3.org/2001/XMLSchema" xmlns:p="http://schemas.microsoft.com/office/2006/metadata/properties" xmlns:ns2="2254a1fb-d639-43e8-bac3-5704f55e9316" targetNamespace="http://schemas.microsoft.com/office/2006/metadata/properties" ma:root="true" ma:fieldsID="2b0d5512debc5e86e790106a7eaedac6" ns2:_="">
    <xsd:import namespace="2254a1fb-d639-43e8-bac3-5704f55e931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4a1fb-d639-43e8-bac3-5704f55e931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254a1fb-d639-43e8-bac3-5704f55e9316">SQEQKE3H6XHD-88-20</_dlc_DocId>
    <_dlc_DocIdUrl xmlns="2254a1fb-d639-43e8-bac3-5704f55e9316">
      <Url>https://vaww.cdw.va.gov/metadata/_layouts/DocIdRedir.aspx?ID=SQEQKE3H6XHD-88-20</Url>
      <Description>SQEQKE3H6XHD-88-20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C8534F2-8F77-481E-9E22-0D9B9838C953}"/>
</file>

<file path=customXml/itemProps2.xml><?xml version="1.0" encoding="utf-8"?>
<ds:datastoreItem xmlns:ds="http://schemas.openxmlformats.org/officeDocument/2006/customXml" ds:itemID="{1057FC1A-C59D-4DCE-A041-5C3DF014CFED}"/>
</file>

<file path=customXml/itemProps3.xml><?xml version="1.0" encoding="utf-8"?>
<ds:datastoreItem xmlns:ds="http://schemas.openxmlformats.org/officeDocument/2006/customXml" ds:itemID="{1AE29A30-581B-4623-A456-8A28D610E654}"/>
</file>

<file path=customXml/itemProps4.xml><?xml version="1.0" encoding="utf-8"?>
<ds:datastoreItem xmlns:ds="http://schemas.openxmlformats.org/officeDocument/2006/customXml" ds:itemID="{29112EFB-8ADA-42D1-A815-C015A14894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Stephen M. (CDW)</dc:creator>
  <cp:lastModifiedBy>Anderson, Stephen M. (CDW)</cp:lastModifiedBy>
  <cp:revision>5</cp:revision>
  <dcterms:created xsi:type="dcterms:W3CDTF">2012-07-19T17:14:00Z</dcterms:created>
  <dcterms:modified xsi:type="dcterms:W3CDTF">2012-10-11T23:32:00Z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01daa2ea-1d69-4f52-aaac-b11290a3f4c5</vt:lpwstr>
  </property>
  <property fmtid="{D5CDD505-2E9C-101B-9397-08002B2CF9AE}" pid="3" name="ContentTypeId">
    <vt:lpwstr>0x0101009BA7852C100523449772471FD4848775</vt:lpwstr>
  </property>
</Properties>
</file>