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DF8F2" w14:textId="77777777" w:rsidR="004345E8" w:rsidRPr="003250B6" w:rsidRDefault="004345E8" w:rsidP="29C2FBF0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 w:val="24"/>
          <w:szCs w:val="24"/>
        </w:rPr>
      </w:pPr>
      <w:bookmarkStart w:id="0" w:name="_GoBack"/>
      <w:bookmarkEnd w:id="0"/>
    </w:p>
    <w:p w14:paraId="6CBDF8F3" w14:textId="65D38132" w:rsidR="004345E8" w:rsidRPr="003250B6" w:rsidRDefault="009C036A" w:rsidP="29C2FBF0">
      <w:pPr>
        <w:pStyle w:val="Title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Surgery 1.0</w:t>
      </w:r>
      <w:r w:rsidR="00DA5A17">
        <w:rPr>
          <w:rFonts w:asciiTheme="minorHAnsi" w:eastAsia="Times New Roman" w:hAnsiTheme="minorHAnsi"/>
          <w:sz w:val="24"/>
          <w:szCs w:val="24"/>
        </w:rPr>
        <w:t xml:space="preserve">; </w:t>
      </w:r>
      <w:proofErr w:type="spellStart"/>
      <w:r w:rsidR="00DA5A17">
        <w:rPr>
          <w:rFonts w:asciiTheme="minorHAnsi" w:eastAsia="Times New Roman" w:hAnsiTheme="minorHAnsi"/>
          <w:sz w:val="24"/>
          <w:szCs w:val="24"/>
        </w:rPr>
        <w:t>SurgeryPRE</w:t>
      </w:r>
      <w:proofErr w:type="spellEnd"/>
    </w:p>
    <w:p w14:paraId="6CBDF8F4" w14:textId="77777777" w:rsidR="002715B2" w:rsidRPr="003250B6" w:rsidRDefault="002715B2" w:rsidP="29C2FBF0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>Release Date</w:t>
      </w:r>
    </w:p>
    <w:p w14:paraId="6CBDF8F5" w14:textId="5F33A225" w:rsidR="004345E8" w:rsidRPr="003250B6" w:rsidRDefault="009C036A" w:rsidP="29C2FBF0">
      <w:pPr>
        <w:rPr>
          <w:rFonts w:asciiTheme="minorHAnsi" w:eastAsia="Times New Roman" w:hAnsiTheme="minorHAnsi" w:cs="Arial"/>
          <w:color w:val="222222"/>
          <w:sz w:val="24"/>
          <w:szCs w:val="24"/>
        </w:rPr>
      </w:pPr>
      <w:r>
        <w:rPr>
          <w:rFonts w:asciiTheme="minorHAnsi" w:eastAsia="Times New Roman" w:hAnsiTheme="minorHAnsi" w:cs="Arial"/>
          <w:color w:val="222222"/>
          <w:sz w:val="24"/>
          <w:szCs w:val="24"/>
        </w:rPr>
        <w:t>February, 2015</w:t>
      </w:r>
    </w:p>
    <w:p w14:paraId="6CBDF94B" w14:textId="133AAF56" w:rsidR="00C0775A" w:rsidRDefault="006C3CCE" w:rsidP="29C2FBF0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 xml:space="preserve">Personnel </w:t>
      </w:r>
    </w:p>
    <w:p w14:paraId="775BD0FB" w14:textId="6880D7F9" w:rsidR="002A6A8A" w:rsidRDefault="002A6A8A" w:rsidP="29C2FBF0">
      <w:r>
        <w:t xml:space="preserve">Hans Nielsen, </w:t>
      </w:r>
      <w:r w:rsidR="009C036A">
        <w:t>Richard Pham</w:t>
      </w:r>
      <w:r>
        <w:t xml:space="preserve"> (CDW Architects)</w:t>
      </w:r>
    </w:p>
    <w:p w14:paraId="186D249F" w14:textId="052352C2" w:rsidR="002A6A8A" w:rsidRDefault="009C036A" w:rsidP="29C2FBF0">
      <w:r>
        <w:t>Trinity Hall</w:t>
      </w:r>
      <w:r w:rsidR="5447E1E1">
        <w:t xml:space="preserve"> DQA</w:t>
      </w:r>
    </w:p>
    <w:p w14:paraId="70456A39" w14:textId="6557B81E" w:rsidR="00FC7E8B" w:rsidRPr="002A6A8A" w:rsidRDefault="009C036A" w:rsidP="29C2FBF0">
      <w:r>
        <w:t>Tracy Smith NSO</w:t>
      </w:r>
    </w:p>
    <w:p w14:paraId="6CBDF94C" w14:textId="77777777" w:rsidR="004345E8" w:rsidRPr="003250B6" w:rsidRDefault="00FB0806" w:rsidP="29C2FB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 xml:space="preserve">Release </w:t>
      </w:r>
      <w:r w:rsidR="006C3CCE" w:rsidRPr="003250B6">
        <w:rPr>
          <w:rFonts w:asciiTheme="minorHAnsi" w:eastAsia="Times New Roman" w:hAnsiTheme="minorHAnsi"/>
          <w:sz w:val="24"/>
          <w:szCs w:val="24"/>
        </w:rPr>
        <w:t>Overview</w:t>
      </w:r>
    </w:p>
    <w:p w14:paraId="18781722" w14:textId="2DA0C053" w:rsidR="00DA5A17" w:rsidRDefault="00DA5A17" w:rsidP="29C2FBF0">
      <w:pPr>
        <w:rPr>
          <w:rFonts w:asciiTheme="minorHAnsi" w:hAnsiTheme="minorHAnsi"/>
          <w:sz w:val="24"/>
          <w:szCs w:val="24"/>
        </w:rPr>
      </w:pPr>
      <w:r w:rsidRPr="00DA5A17">
        <w:rPr>
          <w:rFonts w:asciiTheme="minorHAnsi" w:hAnsiTheme="minorHAnsi"/>
          <w:sz w:val="24"/>
          <w:szCs w:val="24"/>
        </w:rPr>
        <w:t>The Surgery domain centers around data extracted from Vista file 130,</w:t>
      </w:r>
      <w:r w:rsidR="29C2FBF0">
        <w:rPr>
          <w:rFonts w:asciiTheme="minorHAnsi" w:hAnsiTheme="minorHAnsi"/>
          <w:sz w:val="24"/>
          <w:szCs w:val="24"/>
        </w:rPr>
        <w:t xml:space="preserve"> split vertically into four conceptual groupings. The conceptual groupings are: </w:t>
      </w:r>
    </w:p>
    <w:p w14:paraId="1DBF7C8B" w14:textId="00464BF7" w:rsidR="00DA5A17" w:rsidRDefault="00DA5A17" w:rsidP="29C2FBF0">
      <w:p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SurgeryPRE</w:t>
      </w:r>
      <w:proofErr w:type="spellEnd"/>
      <w:r>
        <w:rPr>
          <w:rFonts w:asciiTheme="minorHAnsi" w:hAnsiTheme="minorHAnsi"/>
          <w:sz w:val="24"/>
          <w:szCs w:val="24"/>
        </w:rPr>
        <w:t>- contains data relevant to surgical case scheduling and preparation</w:t>
      </w:r>
    </w:p>
    <w:p w14:paraId="2F935A84" w14:textId="62068323" w:rsidR="00DA5A17" w:rsidRDefault="00DA5A17" w:rsidP="29C2FBF0">
      <w:p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SurgeryINTRA</w:t>
      </w:r>
      <w:proofErr w:type="spellEnd"/>
      <w:r>
        <w:rPr>
          <w:rFonts w:asciiTheme="minorHAnsi" w:hAnsiTheme="minorHAnsi"/>
          <w:sz w:val="24"/>
          <w:szCs w:val="24"/>
        </w:rPr>
        <w:t xml:space="preserve"> – contains data captured during a surgical case</w:t>
      </w:r>
    </w:p>
    <w:p w14:paraId="5B1C26BA" w14:textId="7C71878B" w:rsidR="00DA5A17" w:rsidRDefault="00DA5A17" w:rsidP="29C2FBF0">
      <w:p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SurgeryPOST</w:t>
      </w:r>
      <w:proofErr w:type="spellEnd"/>
      <w:r>
        <w:rPr>
          <w:rFonts w:asciiTheme="minorHAnsi" w:hAnsiTheme="minorHAnsi"/>
          <w:sz w:val="24"/>
          <w:szCs w:val="24"/>
        </w:rPr>
        <w:t xml:space="preserve"> – contains post-case data, provider notes, and accounting information</w:t>
      </w:r>
    </w:p>
    <w:p w14:paraId="47F42663" w14:textId="04726586" w:rsidR="00DA5A17" w:rsidRDefault="00DA5A17" w:rsidP="29C2FBF0">
      <w:proofErr w:type="spellStart"/>
      <w:r>
        <w:rPr>
          <w:rFonts w:asciiTheme="minorHAnsi" w:hAnsiTheme="minorHAnsi"/>
          <w:sz w:val="24"/>
          <w:szCs w:val="24"/>
        </w:rPr>
        <w:t>SurgeryQIP</w:t>
      </w:r>
      <w:proofErr w:type="spellEnd"/>
      <w:r>
        <w:rPr>
          <w:rFonts w:asciiTheme="minorHAnsi" w:hAnsiTheme="minorHAnsi"/>
          <w:sz w:val="24"/>
          <w:szCs w:val="24"/>
        </w:rPr>
        <w:t xml:space="preserve"> – </w:t>
      </w:r>
      <w:r w:rsidR="00FA596F">
        <w:rPr>
          <w:rFonts w:asciiTheme="minorHAnsi" w:hAnsiTheme="minorHAnsi"/>
          <w:sz w:val="24"/>
          <w:szCs w:val="24"/>
        </w:rPr>
        <w:t>Two views; containing</w:t>
      </w:r>
      <w:r>
        <w:rPr>
          <w:rFonts w:asciiTheme="minorHAnsi" w:hAnsiTheme="minorHAnsi"/>
          <w:sz w:val="24"/>
          <w:szCs w:val="24"/>
        </w:rPr>
        <w:t xml:space="preserve"> data captured as part of the VA’s Surgical Quality Improvement Program</w:t>
      </w:r>
    </w:p>
    <w:p w14:paraId="486BE978" w14:textId="1BB1C627" w:rsidR="29C2FBF0" w:rsidRDefault="29C2FBF0" w:rsidP="29C2FBF0">
      <w:pPr>
        <w:rPr>
          <w:rFonts w:asciiTheme="minorHAnsi" w:hAnsiTheme="minorHAnsi"/>
          <w:sz w:val="24"/>
          <w:szCs w:val="24"/>
        </w:rPr>
      </w:pPr>
      <w:r w:rsidRPr="29C2FBF0">
        <w:rPr>
          <w:rFonts w:asciiTheme="minorHAnsi" w:eastAsiaTheme="minorEastAsia" w:hAnsiTheme="minorHAnsi"/>
          <w:sz w:val="24"/>
          <w:szCs w:val="24"/>
        </w:rPr>
        <w:t xml:space="preserve">Several fields, considered to be universally required for queries, are included in all split views. </w:t>
      </w:r>
    </w:p>
    <w:p w14:paraId="415FA5EC" w14:textId="0D6D3205" w:rsidR="00DA5A17" w:rsidRPr="00DA5A17" w:rsidRDefault="00DA5A17" w:rsidP="29C2FBF0">
      <w:r>
        <w:rPr>
          <w:rFonts w:asciiTheme="minorHAnsi" w:hAnsiTheme="minorHAnsi"/>
          <w:sz w:val="24"/>
          <w:szCs w:val="24"/>
        </w:rPr>
        <w:t xml:space="preserve">Each conceptual group is a fact table split from file 130 and is released along with its related fact and dimensions. </w:t>
      </w:r>
    </w:p>
    <w:p w14:paraId="6F8B94C1" w14:textId="0FEF7CA3" w:rsidR="29C2FBF0" w:rsidRPr="00DA5A17" w:rsidRDefault="29C2FBF0" w:rsidP="29C2FBF0">
      <w:r w:rsidRPr="29C2FBF0">
        <w:rPr>
          <w:rFonts w:asciiTheme="minorHAnsi" w:eastAsiaTheme="minorEastAsia" w:hAnsiTheme="minorHAnsi"/>
          <w:sz w:val="24"/>
          <w:szCs w:val="24"/>
        </w:rPr>
        <w:t xml:space="preserve">To find which split a particular </w:t>
      </w:r>
      <w:proofErr w:type="spellStart"/>
      <w:r w:rsidRPr="29C2FBF0">
        <w:rPr>
          <w:rFonts w:asciiTheme="minorHAnsi" w:eastAsiaTheme="minorEastAsia" w:hAnsiTheme="minorHAnsi"/>
          <w:sz w:val="24"/>
          <w:szCs w:val="24"/>
        </w:rPr>
        <w:t>fileman</w:t>
      </w:r>
      <w:proofErr w:type="spellEnd"/>
      <w:r w:rsidRPr="29C2FBF0">
        <w:rPr>
          <w:rFonts w:asciiTheme="minorHAnsi" w:eastAsiaTheme="minorEastAsia" w:hAnsiTheme="minorHAnsi"/>
          <w:sz w:val="24"/>
          <w:szCs w:val="24"/>
        </w:rPr>
        <w:t xml:space="preserve"> field is grouped into, </w:t>
      </w:r>
      <w:hyperlink r:id="rId13">
        <w:r w:rsidRPr="29C2FBF0">
          <w:rPr>
            <w:rStyle w:val="Hyperlink"/>
            <w:rFonts w:asciiTheme="minorHAnsi" w:eastAsiaTheme="minorEastAsia" w:hAnsiTheme="minorHAnsi"/>
            <w:sz w:val="24"/>
            <w:szCs w:val="24"/>
          </w:rPr>
          <w:t>this excel document</w:t>
        </w:r>
      </w:hyperlink>
      <w:r w:rsidRPr="29C2FBF0">
        <w:rPr>
          <w:rFonts w:asciiTheme="minorHAnsi" w:eastAsiaTheme="minorEastAsia" w:hAnsiTheme="minorHAnsi"/>
          <w:sz w:val="24"/>
          <w:szCs w:val="24"/>
        </w:rPr>
        <w:t xml:space="preserve"> is provided for searching on:</w:t>
      </w:r>
    </w:p>
    <w:p w14:paraId="421A6B8D" w14:textId="0BAEF684" w:rsidR="29C2FBF0" w:rsidRPr="00DA5A17" w:rsidRDefault="29C2FBF0" w:rsidP="29C2FBF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29C2FBF0">
        <w:rPr>
          <w:rFonts w:asciiTheme="minorHAnsi" w:eastAsiaTheme="minorEastAsia" w:hAnsiTheme="minorHAnsi"/>
          <w:sz w:val="24"/>
          <w:szCs w:val="24"/>
        </w:rPr>
        <w:t xml:space="preserve"> </w:t>
      </w:r>
      <w:proofErr w:type="spellStart"/>
      <w:r w:rsidRPr="29C2FBF0">
        <w:rPr>
          <w:rFonts w:asciiTheme="minorHAnsi" w:eastAsiaTheme="minorEastAsia" w:hAnsiTheme="minorHAnsi"/>
          <w:sz w:val="24"/>
          <w:szCs w:val="24"/>
        </w:rPr>
        <w:t>Fileman</w:t>
      </w:r>
      <w:proofErr w:type="spellEnd"/>
      <w:r w:rsidRPr="29C2FBF0">
        <w:rPr>
          <w:rFonts w:asciiTheme="minorHAnsi" w:eastAsiaTheme="minorEastAsia" w:hAnsiTheme="minorHAnsi"/>
          <w:sz w:val="24"/>
          <w:szCs w:val="24"/>
        </w:rPr>
        <w:t xml:space="preserve"> </w:t>
      </w:r>
      <w:proofErr w:type="spellStart"/>
      <w:r w:rsidRPr="29C2FBF0">
        <w:rPr>
          <w:rFonts w:asciiTheme="minorHAnsi" w:eastAsiaTheme="minorEastAsia" w:hAnsiTheme="minorHAnsi"/>
          <w:sz w:val="24"/>
          <w:szCs w:val="24"/>
        </w:rPr>
        <w:t>fieldnumber</w:t>
      </w:r>
      <w:proofErr w:type="spellEnd"/>
      <w:r w:rsidRPr="29C2FBF0">
        <w:rPr>
          <w:rFonts w:asciiTheme="minorHAnsi" w:eastAsiaTheme="minorEastAsia" w:hAnsiTheme="minorHAnsi"/>
          <w:sz w:val="24"/>
          <w:szCs w:val="24"/>
        </w:rPr>
        <w:t xml:space="preserve">, </w:t>
      </w:r>
      <w:proofErr w:type="spellStart"/>
      <w:r w:rsidRPr="29C2FBF0">
        <w:rPr>
          <w:rFonts w:asciiTheme="minorHAnsi" w:eastAsiaTheme="minorEastAsia" w:hAnsiTheme="minorHAnsi"/>
          <w:sz w:val="24"/>
          <w:szCs w:val="24"/>
        </w:rPr>
        <w:t>Fileman</w:t>
      </w:r>
      <w:proofErr w:type="spellEnd"/>
      <w:r w:rsidRPr="29C2FBF0">
        <w:rPr>
          <w:rFonts w:asciiTheme="minorHAnsi" w:eastAsiaTheme="minorEastAsia" w:hAnsiTheme="minorHAnsi"/>
          <w:sz w:val="24"/>
          <w:szCs w:val="24"/>
        </w:rPr>
        <w:t xml:space="preserve"> fieldname, CDW fieldname, or conceptual group.</w:t>
      </w:r>
    </w:p>
    <w:p w14:paraId="0271DA11" w14:textId="2674BB92" w:rsidR="007E27D3" w:rsidRPr="003250B6" w:rsidRDefault="007E27D3" w:rsidP="29C2FBF0">
      <w:pPr>
        <w:pStyle w:val="Heading1"/>
        <w:jc w:val="left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>Schema &amp; Security</w:t>
      </w:r>
    </w:p>
    <w:p w14:paraId="09397056" w14:textId="7D5D0290" w:rsidR="007E27D3" w:rsidRPr="003250B6" w:rsidRDefault="007E27D3" w:rsidP="29C2FBF0">
      <w:pPr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 xml:space="preserve">The Patient domain uses </w:t>
      </w:r>
      <w:r w:rsidR="00DA5A17">
        <w:rPr>
          <w:rFonts w:asciiTheme="minorHAnsi" w:hAnsiTheme="minorHAnsi"/>
          <w:sz w:val="24"/>
          <w:szCs w:val="24"/>
        </w:rPr>
        <w:t>two</w:t>
      </w:r>
      <w:r w:rsidRPr="003250B6">
        <w:rPr>
          <w:rFonts w:asciiTheme="minorHAnsi" w:hAnsiTheme="minorHAnsi"/>
          <w:sz w:val="24"/>
          <w:szCs w:val="24"/>
        </w:rPr>
        <w:t xml:space="preserve"> </w:t>
      </w:r>
      <w:r w:rsidR="00120507">
        <w:rPr>
          <w:rFonts w:asciiTheme="minorHAnsi" w:hAnsiTheme="minorHAnsi"/>
          <w:sz w:val="24"/>
          <w:szCs w:val="24"/>
        </w:rPr>
        <w:t>schemas for permissions in the CDW:</w:t>
      </w:r>
    </w:p>
    <w:p w14:paraId="15026A65" w14:textId="57EF57D5" w:rsidR="007E27D3" w:rsidRPr="003250B6" w:rsidRDefault="009C036A" w:rsidP="29C2FBF0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Surg</w:t>
      </w:r>
      <w:proofErr w:type="spellEnd"/>
      <w:r>
        <w:rPr>
          <w:rFonts w:asciiTheme="minorHAnsi" w:hAnsiTheme="minorHAnsi"/>
          <w:sz w:val="24"/>
          <w:szCs w:val="24"/>
        </w:rPr>
        <w:t>: for fact views</w:t>
      </w:r>
    </w:p>
    <w:p w14:paraId="34FD2FEA" w14:textId="5DF11B0E" w:rsidR="003B775D" w:rsidRPr="003250B6" w:rsidRDefault="007E27D3" w:rsidP="29C2FBF0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>Dim: Dimensions without PII</w:t>
      </w:r>
    </w:p>
    <w:p w14:paraId="063BA986" w14:textId="40E7405E" w:rsidR="003B775D" w:rsidRPr="003250B6" w:rsidRDefault="003B775D" w:rsidP="29C2FBF0">
      <w:pPr>
        <w:pStyle w:val="Heading1"/>
        <w:jc w:val="left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lastRenderedPageBreak/>
        <w:t>Details</w:t>
      </w:r>
    </w:p>
    <w:p w14:paraId="4510D112" w14:textId="06B2EA6F" w:rsidR="00D14A8D" w:rsidRDefault="00DA5A17" w:rsidP="29C2FBF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Nine views comprise the </w:t>
      </w:r>
      <w:proofErr w:type="spellStart"/>
      <w:r>
        <w:rPr>
          <w:rFonts w:asciiTheme="minorHAnsi" w:hAnsiTheme="minorHAnsi"/>
          <w:sz w:val="24"/>
          <w:szCs w:val="24"/>
        </w:rPr>
        <w:t>SurgeryPRE</w:t>
      </w:r>
      <w:proofErr w:type="spellEnd"/>
      <w:r>
        <w:rPr>
          <w:rFonts w:asciiTheme="minorHAnsi" w:hAnsiTheme="minorHAnsi"/>
          <w:sz w:val="24"/>
          <w:szCs w:val="24"/>
        </w:rPr>
        <w:t xml:space="preserve"> split. </w:t>
      </w:r>
      <w:r w:rsidR="00331B2C" w:rsidRPr="003250B6">
        <w:rPr>
          <w:rFonts w:asciiTheme="minorHAnsi" w:hAnsiTheme="minorHAnsi"/>
          <w:sz w:val="24"/>
          <w:szCs w:val="24"/>
        </w:rPr>
        <w:t xml:space="preserve"> </w:t>
      </w:r>
    </w:p>
    <w:tbl>
      <w:tblPr>
        <w:tblpPr w:leftFromText="180" w:rightFromText="180" w:vertAnchor="text" w:tblpX="230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8"/>
      </w:tblGrid>
      <w:tr w:rsidR="00785623" w14:paraId="1CDAB2F7" w14:textId="77777777" w:rsidTr="29C2FBF0">
        <w:trPr>
          <w:trHeight w:val="1596"/>
        </w:trPr>
        <w:tc>
          <w:tcPr>
            <w:tcW w:w="6768" w:type="dxa"/>
          </w:tcPr>
          <w:p w14:paraId="1C3474B9" w14:textId="56051907" w:rsidR="00785623" w:rsidRPr="00785623" w:rsidRDefault="00FA596F" w:rsidP="29C2FBF0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Surg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SurgeryPRE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="00785623" w:rsidRPr="00785623">
              <w:rPr>
                <w:rFonts w:asciiTheme="minorHAnsi" w:hAnsiTheme="minorHAnsi"/>
                <w:sz w:val="24"/>
                <w:szCs w:val="24"/>
              </w:rPr>
              <w:t>130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236EAA9C" w14:textId="1C9E0BCB" w:rsidR="00785623" w:rsidRPr="00785623" w:rsidRDefault="00FA596F" w:rsidP="29C2FBF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Dim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SurgeryDisposition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="00785623" w:rsidRPr="00785623">
              <w:rPr>
                <w:rFonts w:asciiTheme="minorHAnsi" w:hAnsiTheme="minorHAnsi"/>
                <w:sz w:val="24"/>
                <w:szCs w:val="24"/>
              </w:rPr>
              <w:t>131.6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6793EE7F" w14:textId="763733F3" w:rsidR="00785623" w:rsidRPr="00785623" w:rsidRDefault="00FA596F" w:rsidP="29C2FBF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Dim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OperatingRoom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="00785623" w:rsidRPr="00785623">
              <w:rPr>
                <w:rFonts w:asciiTheme="minorHAnsi" w:hAnsiTheme="minorHAnsi"/>
                <w:sz w:val="24"/>
                <w:szCs w:val="24"/>
              </w:rPr>
              <w:t>131.7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31317772" w14:textId="3ED0DCE0" w:rsidR="00785623" w:rsidRPr="00785623" w:rsidRDefault="00FA596F" w:rsidP="29C2FBF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Dim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OperatingRoomType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="00785623" w:rsidRPr="00785623">
              <w:rPr>
                <w:rFonts w:asciiTheme="minorHAnsi" w:hAnsiTheme="minorHAnsi"/>
                <w:sz w:val="24"/>
                <w:szCs w:val="24"/>
              </w:rPr>
              <w:t>134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51C02D2D" w14:textId="6DB650EB" w:rsidR="00785623" w:rsidRPr="00785623" w:rsidRDefault="00785623" w:rsidP="29C2FBF0">
            <w:pPr>
              <w:rPr>
                <w:rFonts w:asciiTheme="minorHAnsi" w:hAnsiTheme="minorHAnsi"/>
                <w:sz w:val="24"/>
                <w:szCs w:val="24"/>
              </w:rPr>
            </w:pPr>
            <w:r w:rsidRPr="00785623">
              <w:rPr>
                <w:rFonts w:asciiTheme="minorHAnsi" w:hAnsiTheme="minorHAnsi"/>
                <w:sz w:val="24"/>
                <w:szCs w:val="24"/>
              </w:rPr>
              <w:t>Dim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 w:rsidRPr="00785623">
              <w:rPr>
                <w:rFonts w:asciiTheme="minorHAnsi" w:hAnsiTheme="minorHAnsi"/>
                <w:sz w:val="24"/>
                <w:szCs w:val="24"/>
              </w:rPr>
              <w:t>SurgeryCancelReason</w:t>
            </w:r>
            <w:proofErr w:type="spellEnd"/>
            <w:r w:rsidRPr="00785623">
              <w:rPr>
                <w:rFonts w:asciiTheme="minorHAnsi" w:hAnsiTheme="minorHAnsi"/>
                <w:sz w:val="24"/>
                <w:szCs w:val="24"/>
              </w:rPr>
              <w:tab/>
            </w:r>
            <w:r w:rsidR="00FA596F"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>135</w:t>
            </w:r>
            <w:r w:rsidR="00FA596F"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5491EC3E" w14:textId="064B3585" w:rsidR="00785623" w:rsidRPr="00785623" w:rsidRDefault="00FA596F" w:rsidP="29C2FBF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Dim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PatientMood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="00785623" w:rsidRPr="00785623">
              <w:rPr>
                <w:rFonts w:asciiTheme="minorHAnsi" w:hAnsiTheme="minorHAnsi"/>
                <w:sz w:val="24"/>
                <w:szCs w:val="24"/>
              </w:rPr>
              <w:t>135.3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7D20D8A4" w14:textId="0E50E365" w:rsidR="00785623" w:rsidRPr="00785623" w:rsidRDefault="00785623" w:rsidP="29C2FBF0">
            <w:pPr>
              <w:rPr>
                <w:rFonts w:asciiTheme="minorHAnsi" w:hAnsiTheme="minorHAnsi"/>
                <w:sz w:val="24"/>
                <w:szCs w:val="24"/>
              </w:rPr>
            </w:pPr>
            <w:r w:rsidRPr="00785623">
              <w:rPr>
                <w:rFonts w:asciiTheme="minorHAnsi" w:hAnsiTheme="minorHAnsi"/>
                <w:sz w:val="24"/>
                <w:szCs w:val="24"/>
              </w:rPr>
              <w:t>Dim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 w:rsidRPr="00785623">
              <w:rPr>
                <w:rFonts w:asciiTheme="minorHAnsi" w:hAnsiTheme="minorHAnsi"/>
                <w:sz w:val="24"/>
                <w:szCs w:val="24"/>
              </w:rPr>
              <w:t>PatientConsciousness</w:t>
            </w:r>
            <w:proofErr w:type="spellEnd"/>
            <w:r w:rsidR="00FA596F"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>135.4</w:t>
            </w:r>
            <w:r w:rsidR="00FA596F"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70240EC6" w14:textId="78F71630" w:rsidR="00785623" w:rsidRPr="00785623" w:rsidRDefault="00785623" w:rsidP="29C2FBF0">
            <w:pPr>
              <w:rPr>
                <w:rFonts w:asciiTheme="minorHAnsi" w:hAnsiTheme="minorHAnsi"/>
                <w:sz w:val="24"/>
                <w:szCs w:val="24"/>
              </w:rPr>
            </w:pPr>
            <w:r w:rsidRPr="00785623">
              <w:rPr>
                <w:rFonts w:asciiTheme="minorHAnsi" w:hAnsiTheme="minorHAnsi"/>
                <w:sz w:val="24"/>
                <w:szCs w:val="24"/>
              </w:rPr>
              <w:t>Dim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 w:rsidRPr="00785623">
              <w:rPr>
                <w:rFonts w:asciiTheme="minorHAnsi" w:hAnsiTheme="minorHAnsi"/>
                <w:sz w:val="24"/>
                <w:szCs w:val="24"/>
              </w:rPr>
              <w:t>LocalSurgicalSpecialty</w:t>
            </w:r>
            <w:proofErr w:type="spellEnd"/>
            <w:r w:rsidR="00FA596F"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>137.45</w:t>
            </w:r>
            <w:r w:rsidR="00FA596F">
              <w:rPr>
                <w:rFonts w:asciiTheme="minorHAnsi" w:hAnsiTheme="minorHAnsi"/>
                <w:sz w:val="24"/>
                <w:szCs w:val="24"/>
              </w:rPr>
              <w:t>)</w:t>
            </w:r>
          </w:p>
          <w:p w14:paraId="12A9F2F7" w14:textId="5783DE61" w:rsidR="00785623" w:rsidRDefault="00785623" w:rsidP="29C2FBF0">
            <w:pPr>
              <w:rPr>
                <w:rFonts w:asciiTheme="minorHAnsi" w:hAnsiTheme="minorHAnsi"/>
                <w:sz w:val="24"/>
                <w:szCs w:val="24"/>
              </w:rPr>
            </w:pPr>
            <w:r w:rsidRPr="00785623">
              <w:rPr>
                <w:rFonts w:asciiTheme="minorHAnsi" w:hAnsiTheme="minorHAnsi"/>
                <w:sz w:val="24"/>
                <w:szCs w:val="24"/>
              </w:rPr>
              <w:t>Dim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ab/>
            </w:r>
            <w:proofErr w:type="spellStart"/>
            <w:r w:rsidRPr="00785623">
              <w:rPr>
                <w:rFonts w:asciiTheme="minorHAnsi" w:hAnsiTheme="minorHAnsi"/>
                <w:sz w:val="24"/>
                <w:szCs w:val="24"/>
              </w:rPr>
              <w:t>EventCaptureSpec</w:t>
            </w:r>
            <w:r w:rsidR="00FA596F">
              <w:rPr>
                <w:rFonts w:asciiTheme="minorHAnsi" w:hAnsiTheme="minorHAnsi"/>
                <w:sz w:val="24"/>
                <w:szCs w:val="24"/>
              </w:rPr>
              <w:t>ialty</w:t>
            </w:r>
            <w:proofErr w:type="spellEnd"/>
            <w:r w:rsidR="00FA596F">
              <w:rPr>
                <w:rFonts w:asciiTheme="minorHAnsi" w:hAnsiTheme="minorHAnsi"/>
                <w:sz w:val="24"/>
                <w:szCs w:val="24"/>
              </w:rPr>
              <w:t xml:space="preserve"> (VistA File #</w:t>
            </w:r>
            <w:r w:rsidRPr="00785623">
              <w:rPr>
                <w:rFonts w:asciiTheme="minorHAnsi" w:hAnsiTheme="minorHAnsi"/>
                <w:sz w:val="24"/>
                <w:szCs w:val="24"/>
              </w:rPr>
              <w:t>723</w:t>
            </w:r>
            <w:r w:rsidR="00FA596F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</w:tr>
    </w:tbl>
    <w:p w14:paraId="15BD3913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5118F0EF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44DFE0E2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5BC312B2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65B11346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553D51C0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2C760D1D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47E1ED9F" w14:textId="77777777" w:rsidR="00785623" w:rsidRDefault="00785623" w:rsidP="29C2FBF0">
      <w:pPr>
        <w:rPr>
          <w:rFonts w:asciiTheme="minorHAnsi" w:hAnsiTheme="minorHAnsi"/>
          <w:sz w:val="24"/>
          <w:szCs w:val="24"/>
        </w:rPr>
      </w:pPr>
    </w:p>
    <w:p w14:paraId="52F29546" w14:textId="5DE1774A" w:rsidR="003C0570" w:rsidRDefault="003C0570" w:rsidP="29C2FBF0">
      <w:pPr>
        <w:pStyle w:val="Heading1"/>
        <w:jc w:val="left"/>
      </w:pPr>
      <w:r>
        <w:t>Data Quality Issues addressed</w:t>
      </w:r>
    </w:p>
    <w:p w14:paraId="5D888EF4" w14:textId="161BC33F" w:rsidR="00120507" w:rsidRPr="00120507" w:rsidRDefault="00120507" w:rsidP="29C2FB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Out of 130 Vista sites, t</w:t>
      </w:r>
      <w:r w:rsidRPr="00120507">
        <w:rPr>
          <w:sz w:val="24"/>
          <w:szCs w:val="24"/>
        </w:rPr>
        <w:t>here are 9 stations that do not have surgical data and 1 station with 330 records, the majority prior to 10/1/1999.</w:t>
      </w:r>
      <w:r>
        <w:rPr>
          <w:sz w:val="24"/>
          <w:szCs w:val="24"/>
        </w:rPr>
        <w:t xml:space="preserve"> This is an accurate reflection. </w:t>
      </w:r>
    </w:p>
    <w:p w14:paraId="33C0441F" w14:textId="715838AC" w:rsidR="00120507" w:rsidRDefault="00120507" w:rsidP="29C2FBF0">
      <w:pPr>
        <w:pStyle w:val="Heading1"/>
        <w:jc w:val="left"/>
      </w:pPr>
      <w:r>
        <w:t xml:space="preserve">Special note: </w:t>
      </w:r>
    </w:p>
    <w:p w14:paraId="77F69605" w14:textId="77777777" w:rsidR="00996A6E" w:rsidRDefault="00996A6E" w:rsidP="29C2FBF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Surg.SurgeryPRE.HospitalAdmissionCode</w:t>
      </w:r>
      <w:proofErr w:type="spellEnd"/>
      <w:r>
        <w:rPr>
          <w:sz w:val="24"/>
          <w:szCs w:val="24"/>
        </w:rPr>
        <w:t xml:space="preserve"> (Vista reference filed 130, field .011) had its allowed values changed by the Surgery package patch 182, applied in Dec 2014. The current definition is: </w:t>
      </w:r>
    </w:p>
    <w:p w14:paraId="5794610F" w14:textId="49E63387" w:rsidR="00996A6E" w:rsidRPr="00996A6E" w:rsidRDefault="00996A6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A6E">
        <w:rPr>
          <w:rFonts w:ascii="Consolas" w:hAnsi="Consolas" w:cs="Consolas"/>
          <w:sz w:val="19"/>
          <w:szCs w:val="19"/>
        </w:rPr>
        <w:t>This field indicates the patient's hospital admission status on the date of surgery. Enter "1" or "S" if the operation was same day (the</w:t>
      </w:r>
    </w:p>
    <w:p w14:paraId="725C4E31" w14:textId="77777777" w:rsidR="00996A6E" w:rsidRPr="00996A6E" w:rsidRDefault="00996A6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A6E">
        <w:rPr>
          <w:rFonts w:ascii="Consolas" w:hAnsi="Consolas" w:cs="Consolas"/>
          <w:sz w:val="19"/>
          <w:szCs w:val="19"/>
        </w:rPr>
        <w:t xml:space="preserve">patient was not admitted); "2" or "A" if the patient was admitted on </w:t>
      </w:r>
    </w:p>
    <w:p w14:paraId="5A30B485" w14:textId="77777777" w:rsidR="00996A6E" w:rsidRPr="00996A6E" w:rsidRDefault="00996A6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A6E">
        <w:rPr>
          <w:rFonts w:ascii="Consolas" w:hAnsi="Consolas" w:cs="Consolas"/>
          <w:sz w:val="19"/>
          <w:szCs w:val="19"/>
        </w:rPr>
        <w:t xml:space="preserve">the date of surgery; or "3" or "H" if the patient was already </w:t>
      </w:r>
    </w:p>
    <w:p w14:paraId="198A42F0" w14:textId="77777777" w:rsidR="00996A6E" w:rsidRPr="00996A6E" w:rsidRDefault="00996A6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A6E">
        <w:rPr>
          <w:rFonts w:ascii="Consolas" w:hAnsi="Consolas" w:cs="Consolas"/>
          <w:sz w:val="19"/>
          <w:szCs w:val="19"/>
        </w:rPr>
        <w:t>hospitalized on the day prior to the date of surgery.</w:t>
      </w:r>
    </w:p>
    <w:p w14:paraId="056C2E21" w14:textId="54782F0C" w:rsidR="00996A6E" w:rsidRDefault="00996A6E" w:rsidP="29C2FBF0">
      <w:pPr>
        <w:pStyle w:val="NoSpacing"/>
        <w:rPr>
          <w:sz w:val="24"/>
          <w:szCs w:val="24"/>
        </w:rPr>
      </w:pPr>
    </w:p>
    <w:p w14:paraId="1F53A9AC" w14:textId="049A92E4" w:rsidR="00996A6E" w:rsidRDefault="00996A6E" w:rsidP="29C2FB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Surgical cases entered prior to Dec 2014 did not follow this standardized format. CDW has preserved the contents of this field as entered by the site. </w:t>
      </w:r>
      <w:r w:rsidR="00C939DE">
        <w:rPr>
          <w:sz w:val="24"/>
          <w:szCs w:val="24"/>
        </w:rPr>
        <w:t>Questions d</w:t>
      </w:r>
      <w:r>
        <w:rPr>
          <w:sz w:val="24"/>
          <w:szCs w:val="24"/>
        </w:rPr>
        <w:t>efining non-standard codes (other than I = inpatient and O = outpatient</w:t>
      </w:r>
      <w:r w:rsidR="00C939DE">
        <w:rPr>
          <w:sz w:val="24"/>
          <w:szCs w:val="24"/>
        </w:rPr>
        <w:t>) must be directed to the originating site.</w:t>
      </w:r>
    </w:p>
    <w:p w14:paraId="6CBDF95B" w14:textId="77777777" w:rsidR="00E35999" w:rsidRPr="003250B6" w:rsidRDefault="00E35999" w:rsidP="29C2FB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>ER Diagrams</w:t>
      </w:r>
    </w:p>
    <w:p w14:paraId="181B9491" w14:textId="4AE42869" w:rsidR="00D67819" w:rsidRPr="003250B6" w:rsidRDefault="00CD05F6" w:rsidP="29C2FBF0">
      <w:pPr>
        <w:rPr>
          <w:rFonts w:asciiTheme="minorHAnsi" w:hAnsiTheme="minorHAnsi"/>
          <w:sz w:val="24"/>
          <w:szCs w:val="24"/>
        </w:rPr>
      </w:pPr>
      <w:hyperlink r:id="rId14" w:history="1">
        <w:r w:rsidR="00120507">
          <w:rPr>
            <w:rStyle w:val="Hyperlink"/>
            <w:rFonts w:asciiTheme="minorHAnsi" w:hAnsiTheme="minorHAnsi"/>
            <w:sz w:val="24"/>
            <w:szCs w:val="24"/>
          </w:rPr>
          <w:t xml:space="preserve">ER Diagram for </w:t>
        </w:r>
        <w:proofErr w:type="spellStart"/>
        <w:r w:rsidR="00120507">
          <w:rPr>
            <w:rStyle w:val="Hyperlink"/>
            <w:rFonts w:asciiTheme="minorHAnsi" w:hAnsiTheme="minorHAnsi"/>
            <w:sz w:val="24"/>
            <w:szCs w:val="24"/>
          </w:rPr>
          <w:t>SurgeryPRE</w:t>
        </w:r>
        <w:proofErr w:type="spellEnd"/>
      </w:hyperlink>
    </w:p>
    <w:p w14:paraId="6CBDF95F" w14:textId="77777777" w:rsidR="00E35999" w:rsidRPr="003250B6" w:rsidRDefault="00E35999" w:rsidP="29C2FB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lastRenderedPageBreak/>
        <w:t>Metadata Report</w:t>
      </w:r>
    </w:p>
    <w:p w14:paraId="6CBDF960" w14:textId="77777777" w:rsidR="00F26F79" w:rsidRPr="003250B6" w:rsidRDefault="00CD05F6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hyperlink r:id="rId15" w:history="1">
        <w:r w:rsidR="00E35999" w:rsidRPr="003250B6">
          <w:rPr>
            <w:rStyle w:val="Hyperlink"/>
            <w:rFonts w:asciiTheme="minorHAnsi" w:hAnsiTheme="minorHAnsi" w:cs="Courier New"/>
            <w:noProof/>
            <w:sz w:val="24"/>
            <w:szCs w:val="24"/>
          </w:rPr>
          <w:t>CDW Metadata Page</w:t>
        </w:r>
      </w:hyperlink>
      <w:r w:rsidR="00E35999" w:rsidRPr="003250B6">
        <w:rPr>
          <w:rFonts w:asciiTheme="minorHAnsi" w:hAnsiTheme="minorHAnsi" w:cs="Courier New"/>
          <w:noProof/>
          <w:color w:val="0000FF"/>
          <w:sz w:val="24"/>
          <w:szCs w:val="24"/>
        </w:rPr>
        <w:t xml:space="preserve">  </w:t>
      </w:r>
      <w:r w:rsidR="00E35999" w:rsidRPr="003250B6">
        <w:rPr>
          <w:rFonts w:asciiTheme="minorHAnsi" w:hAnsiTheme="minorHAnsi"/>
          <w:sz w:val="24"/>
          <w:szCs w:val="24"/>
        </w:rPr>
        <w:t xml:space="preserve">and then click on Metadata report. </w:t>
      </w:r>
    </w:p>
    <w:p w14:paraId="6CBDF961" w14:textId="77777777" w:rsidR="00E35999" w:rsidRPr="003250B6" w:rsidRDefault="00C75508" w:rsidP="29C2FB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proofErr w:type="spellStart"/>
      <w:r w:rsidRPr="003250B6">
        <w:rPr>
          <w:rFonts w:asciiTheme="minorHAnsi" w:eastAsia="Times New Roman" w:hAnsiTheme="minorHAnsi"/>
          <w:sz w:val="24"/>
          <w:szCs w:val="24"/>
        </w:rPr>
        <w:t>CDWWork.Meta</w:t>
      </w:r>
      <w:proofErr w:type="spellEnd"/>
      <w:r w:rsidR="00E35999" w:rsidRPr="003250B6">
        <w:rPr>
          <w:rFonts w:asciiTheme="minorHAnsi" w:eastAsia="Times New Roman" w:hAnsiTheme="minorHAnsi"/>
          <w:sz w:val="24"/>
          <w:szCs w:val="24"/>
        </w:rPr>
        <w:t xml:space="preserve"> </w:t>
      </w:r>
      <w:r w:rsidRPr="003250B6">
        <w:rPr>
          <w:rFonts w:asciiTheme="minorHAnsi" w:eastAsia="Times New Roman" w:hAnsiTheme="minorHAnsi"/>
          <w:sz w:val="24"/>
          <w:szCs w:val="24"/>
        </w:rPr>
        <w:t>Views</w:t>
      </w:r>
    </w:p>
    <w:p w14:paraId="6CBDF962" w14:textId="4F99C644" w:rsidR="00E35999" w:rsidRPr="003250B6" w:rsidRDefault="0095071F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>Use t</w:t>
      </w:r>
      <w:r w:rsidR="00C75508" w:rsidRPr="003250B6">
        <w:rPr>
          <w:rFonts w:asciiTheme="minorHAnsi" w:hAnsiTheme="minorHAnsi"/>
          <w:sz w:val="24"/>
          <w:szCs w:val="24"/>
        </w:rPr>
        <w:t>he following views</w:t>
      </w:r>
      <w:r w:rsidRPr="003250B6">
        <w:rPr>
          <w:rFonts w:asciiTheme="minorHAnsi" w:hAnsiTheme="minorHAnsi"/>
          <w:sz w:val="24"/>
          <w:szCs w:val="24"/>
        </w:rPr>
        <w:t xml:space="preserve">, </w:t>
      </w:r>
      <w:r w:rsidR="00C75508" w:rsidRPr="003250B6">
        <w:rPr>
          <w:rFonts w:asciiTheme="minorHAnsi" w:hAnsiTheme="minorHAnsi"/>
          <w:sz w:val="24"/>
          <w:szCs w:val="24"/>
        </w:rPr>
        <w:t>available on VHACDWA01</w:t>
      </w:r>
      <w:r w:rsidRPr="003250B6">
        <w:rPr>
          <w:rFonts w:asciiTheme="minorHAnsi" w:hAnsiTheme="minorHAnsi"/>
          <w:sz w:val="24"/>
          <w:szCs w:val="24"/>
        </w:rPr>
        <w:t xml:space="preserve"> to query the metadata</w:t>
      </w:r>
      <w:r w:rsidR="00C75508" w:rsidRPr="003250B6">
        <w:rPr>
          <w:rFonts w:asciiTheme="minorHAnsi" w:hAnsiTheme="minorHAnsi"/>
          <w:sz w:val="24"/>
          <w:szCs w:val="24"/>
        </w:rPr>
        <w:t>.</w:t>
      </w:r>
      <w:r w:rsidR="00A03B8D" w:rsidRPr="003250B6">
        <w:rPr>
          <w:rFonts w:asciiTheme="minorHAnsi" w:hAnsiTheme="minorHAnsi"/>
          <w:sz w:val="24"/>
          <w:szCs w:val="24"/>
        </w:rPr>
        <w:t xml:space="preserve">  If there is more than one version of a view (as during the period of transition from 1.0 to 2.0) two instances of </w:t>
      </w:r>
      <w:r w:rsidR="002A6A8A">
        <w:rPr>
          <w:rFonts w:asciiTheme="minorHAnsi" w:hAnsiTheme="minorHAnsi"/>
          <w:sz w:val="24"/>
          <w:szCs w:val="24"/>
        </w:rPr>
        <w:t>T</w:t>
      </w:r>
      <w:r w:rsidR="00A03B8D" w:rsidRPr="003250B6">
        <w:rPr>
          <w:rFonts w:asciiTheme="minorHAnsi" w:hAnsiTheme="minorHAnsi"/>
          <w:sz w:val="24"/>
          <w:szCs w:val="24"/>
        </w:rPr>
        <w:t xml:space="preserve">he objects will appear in the queries below.  In that case one view will be deployed to </w:t>
      </w:r>
      <w:proofErr w:type="spellStart"/>
      <w:r w:rsidR="00A03B8D" w:rsidRPr="003250B6">
        <w:rPr>
          <w:rFonts w:asciiTheme="minorHAnsi" w:hAnsiTheme="minorHAnsi"/>
          <w:sz w:val="24"/>
          <w:szCs w:val="24"/>
        </w:rPr>
        <w:t>CDWNext</w:t>
      </w:r>
      <w:proofErr w:type="spellEnd"/>
      <w:r w:rsidR="00A03B8D" w:rsidRPr="003250B6">
        <w:rPr>
          <w:rFonts w:asciiTheme="minorHAnsi" w:hAnsiTheme="minorHAnsi"/>
          <w:sz w:val="24"/>
          <w:szCs w:val="24"/>
        </w:rPr>
        <w:t xml:space="preserve"> (or </w:t>
      </w:r>
      <w:proofErr w:type="spellStart"/>
      <w:r w:rsidR="00A03B8D" w:rsidRPr="003250B6">
        <w:rPr>
          <w:rFonts w:asciiTheme="minorHAnsi" w:hAnsiTheme="minorHAnsi"/>
          <w:sz w:val="24"/>
          <w:szCs w:val="24"/>
        </w:rPr>
        <w:t>RDWNext</w:t>
      </w:r>
      <w:proofErr w:type="spellEnd"/>
      <w:r w:rsidR="00A03B8D" w:rsidRPr="003250B6">
        <w:rPr>
          <w:rFonts w:asciiTheme="minorHAnsi" w:hAnsiTheme="minorHAnsi"/>
          <w:sz w:val="24"/>
          <w:szCs w:val="24"/>
        </w:rPr>
        <w:t xml:space="preserve"> or </w:t>
      </w:r>
      <w:proofErr w:type="spellStart"/>
      <w:r w:rsidR="00A03B8D" w:rsidRPr="003250B6">
        <w:rPr>
          <w:rFonts w:asciiTheme="minorHAnsi" w:hAnsiTheme="minorHAnsi"/>
          <w:sz w:val="24"/>
          <w:szCs w:val="24"/>
        </w:rPr>
        <w:t>VDWNext</w:t>
      </w:r>
      <w:proofErr w:type="spellEnd"/>
      <w:r w:rsidR="00A03B8D" w:rsidRPr="003250B6">
        <w:rPr>
          <w:rFonts w:asciiTheme="minorHAnsi" w:hAnsiTheme="minorHAnsi"/>
          <w:sz w:val="24"/>
          <w:szCs w:val="24"/>
        </w:rPr>
        <w:t xml:space="preserve">) while the other one will remain in </w:t>
      </w:r>
      <w:proofErr w:type="spellStart"/>
      <w:r w:rsidR="00A03B8D" w:rsidRPr="003250B6">
        <w:rPr>
          <w:rFonts w:asciiTheme="minorHAnsi" w:hAnsiTheme="minorHAnsi"/>
          <w:sz w:val="24"/>
          <w:szCs w:val="24"/>
        </w:rPr>
        <w:t>CDWWork</w:t>
      </w:r>
      <w:proofErr w:type="spellEnd"/>
      <w:r w:rsidR="00A03B8D" w:rsidRPr="003250B6">
        <w:rPr>
          <w:rFonts w:asciiTheme="minorHAnsi" w:hAnsiTheme="minorHAnsi"/>
          <w:sz w:val="24"/>
          <w:szCs w:val="24"/>
        </w:rPr>
        <w:t xml:space="preserve"> (or </w:t>
      </w:r>
      <w:proofErr w:type="spellStart"/>
      <w:r w:rsidR="00A03B8D" w:rsidRPr="003250B6">
        <w:rPr>
          <w:rFonts w:asciiTheme="minorHAnsi" w:hAnsiTheme="minorHAnsi"/>
          <w:sz w:val="24"/>
          <w:szCs w:val="24"/>
        </w:rPr>
        <w:t>RDWWork</w:t>
      </w:r>
      <w:proofErr w:type="spellEnd"/>
      <w:r w:rsidR="00A03B8D" w:rsidRPr="003250B6">
        <w:rPr>
          <w:rFonts w:asciiTheme="minorHAnsi" w:hAnsiTheme="minorHAnsi"/>
          <w:sz w:val="24"/>
          <w:szCs w:val="24"/>
        </w:rPr>
        <w:t xml:space="preserve"> or </w:t>
      </w:r>
      <w:proofErr w:type="spellStart"/>
      <w:r w:rsidR="00A03B8D" w:rsidRPr="003250B6">
        <w:rPr>
          <w:rFonts w:asciiTheme="minorHAnsi" w:hAnsiTheme="minorHAnsi"/>
          <w:sz w:val="24"/>
          <w:szCs w:val="24"/>
        </w:rPr>
        <w:t>VDWWork</w:t>
      </w:r>
      <w:proofErr w:type="spellEnd"/>
      <w:r w:rsidR="00A03B8D" w:rsidRPr="003250B6">
        <w:rPr>
          <w:rFonts w:asciiTheme="minorHAnsi" w:hAnsiTheme="minorHAnsi"/>
          <w:sz w:val="24"/>
          <w:szCs w:val="24"/>
        </w:rPr>
        <w:t>).</w:t>
      </w:r>
    </w:p>
    <w:p w14:paraId="6CBDF963" w14:textId="77777777" w:rsidR="00A03B8D" w:rsidRPr="003250B6" w:rsidRDefault="00A03B8D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CBDF964" w14:textId="77777777" w:rsidR="00C75508" w:rsidRPr="00C939DE" w:rsidRDefault="00C75508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C939DE">
        <w:rPr>
          <w:rFonts w:asciiTheme="minorHAnsi" w:hAnsiTheme="minorHAnsi"/>
          <w:sz w:val="24"/>
          <w:szCs w:val="24"/>
        </w:rPr>
        <w:t>Meta.DWViewV</w:t>
      </w:r>
      <w:proofErr w:type="spellEnd"/>
    </w:p>
    <w:p w14:paraId="6CBDF965" w14:textId="77777777" w:rsidR="00A03B8D" w:rsidRPr="00C939DE" w:rsidRDefault="00A03B8D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C939DE">
        <w:rPr>
          <w:rFonts w:asciiTheme="minorHAnsi" w:hAnsiTheme="minorHAnsi"/>
          <w:sz w:val="24"/>
          <w:szCs w:val="24"/>
        </w:rPr>
        <w:t>Example:</w:t>
      </w:r>
    </w:p>
    <w:p w14:paraId="0E2865C2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select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DWViewSchema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DWViewName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color w:val="0000FF"/>
          <w:sz w:val="24"/>
          <w:szCs w:val="24"/>
        </w:rPr>
        <w:t>FileName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filenumber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fmfiledescription</w:t>
      </w:r>
      <w:proofErr w:type="spellEnd"/>
    </w:p>
    <w:p w14:paraId="3ED47CA6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from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CDWWork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Pr="00C939DE">
        <w:rPr>
          <w:rFonts w:ascii="Consolas" w:hAnsi="Consolas" w:cs="Consolas"/>
          <w:sz w:val="24"/>
          <w:szCs w:val="24"/>
        </w:rPr>
        <w:t>Meta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Pr="00C939DE">
        <w:rPr>
          <w:rFonts w:ascii="Consolas" w:hAnsi="Consolas" w:cs="Consolas"/>
          <w:sz w:val="24"/>
          <w:szCs w:val="24"/>
        </w:rPr>
        <w:t>DWViewV</w:t>
      </w:r>
      <w:proofErr w:type="spellEnd"/>
    </w:p>
    <w:p w14:paraId="78BEB67B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where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ERDiagram</w:t>
      </w:r>
      <w:proofErr w:type="spell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like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FF0000"/>
          <w:sz w:val="24"/>
          <w:szCs w:val="24"/>
        </w:rPr>
        <w:t>'Surgery%'</w:t>
      </w:r>
    </w:p>
    <w:p w14:paraId="476B8624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order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by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ERDiagram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DWViewSchema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DWViewName</w:t>
      </w:r>
      <w:proofErr w:type="spellEnd"/>
    </w:p>
    <w:p w14:paraId="6CBDF96A" w14:textId="77777777" w:rsidR="00C75508" w:rsidRPr="00C939DE" w:rsidRDefault="00C75508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CBDF96B" w14:textId="77777777" w:rsidR="00C75508" w:rsidRPr="00C939DE" w:rsidRDefault="00C75508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C939DE">
        <w:rPr>
          <w:rFonts w:asciiTheme="minorHAnsi" w:hAnsiTheme="minorHAnsi"/>
          <w:sz w:val="24"/>
          <w:szCs w:val="24"/>
        </w:rPr>
        <w:t>Meta.DWViewFieldV</w:t>
      </w:r>
      <w:proofErr w:type="spellEnd"/>
    </w:p>
    <w:p w14:paraId="6CBDF96C" w14:textId="77777777" w:rsidR="00A03B8D" w:rsidRPr="00C939DE" w:rsidRDefault="00A03B8D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C939DE">
        <w:rPr>
          <w:rFonts w:asciiTheme="minorHAnsi" w:hAnsiTheme="minorHAnsi"/>
          <w:sz w:val="24"/>
          <w:szCs w:val="24"/>
        </w:rPr>
        <w:t>Example:</w:t>
      </w:r>
    </w:p>
    <w:p w14:paraId="6A4990B1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select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*</w:t>
      </w:r>
    </w:p>
    <w:p w14:paraId="2340CE7D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from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CDWWork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Pr="00C939DE">
        <w:rPr>
          <w:rFonts w:ascii="Consolas" w:hAnsi="Consolas" w:cs="Consolas"/>
          <w:sz w:val="24"/>
          <w:szCs w:val="24"/>
        </w:rPr>
        <w:t>Meta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Pr="00C939DE">
        <w:rPr>
          <w:rFonts w:ascii="Consolas" w:hAnsi="Consolas" w:cs="Consolas"/>
          <w:sz w:val="24"/>
          <w:szCs w:val="24"/>
        </w:rPr>
        <w:t>DWViewFieldV</w:t>
      </w:r>
      <w:proofErr w:type="spellEnd"/>
    </w:p>
    <w:p w14:paraId="083E5260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where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ERDiagram</w:t>
      </w:r>
      <w:proofErr w:type="spell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like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FF0000"/>
          <w:sz w:val="24"/>
          <w:szCs w:val="24"/>
        </w:rPr>
        <w:t>'Surgery%'</w:t>
      </w:r>
    </w:p>
    <w:p w14:paraId="59EAF2DB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order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by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DWViewSchema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DWViewName</w:t>
      </w:r>
      <w:proofErr w:type="spellEnd"/>
    </w:p>
    <w:p w14:paraId="6CBDF972" w14:textId="77777777" w:rsidR="00C75508" w:rsidRPr="00C939DE" w:rsidRDefault="00C75508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00D36D06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use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cdwwork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;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</w:p>
    <w:p w14:paraId="4A0A3A4C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C939DE">
        <w:rPr>
          <w:rFonts w:ascii="Consolas" w:hAnsi="Consolas" w:cs="Consolas"/>
          <w:color w:val="008000"/>
          <w:sz w:val="24"/>
          <w:szCs w:val="24"/>
        </w:rPr>
        <w:t>Meta.DWViewForeignKeyV</w:t>
      </w:r>
      <w:proofErr w:type="spellEnd"/>
    </w:p>
    <w:p w14:paraId="056B5B84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8000"/>
          <w:sz w:val="24"/>
          <w:szCs w:val="24"/>
        </w:rPr>
        <w:t>--Example:</w:t>
      </w:r>
    </w:p>
    <w:p w14:paraId="02A29719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select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*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from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Meta</w:t>
      </w:r>
      <w:r w:rsidRPr="00C939DE">
        <w:rPr>
          <w:rFonts w:ascii="Consolas" w:hAnsi="Consolas" w:cs="Consolas"/>
          <w:color w:val="808080"/>
          <w:sz w:val="24"/>
          <w:szCs w:val="24"/>
        </w:rPr>
        <w:t>.</w:t>
      </w:r>
      <w:r w:rsidRPr="00C939DE">
        <w:rPr>
          <w:rFonts w:ascii="Consolas" w:hAnsi="Consolas" w:cs="Consolas"/>
          <w:sz w:val="24"/>
          <w:szCs w:val="24"/>
        </w:rPr>
        <w:t>DWViewForeignKeyV</w:t>
      </w:r>
      <w:proofErr w:type="spellEnd"/>
    </w:p>
    <w:p w14:paraId="328B39C7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where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FKViewName</w:t>
      </w:r>
      <w:proofErr w:type="spellEnd"/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808080"/>
          <w:sz w:val="24"/>
          <w:szCs w:val="24"/>
        </w:rPr>
        <w:t>=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939DE">
        <w:rPr>
          <w:rFonts w:ascii="Consolas" w:hAnsi="Consolas" w:cs="Consolas"/>
          <w:color w:val="FF0000"/>
          <w:sz w:val="24"/>
          <w:szCs w:val="24"/>
        </w:rPr>
        <w:t>surgerypre</w:t>
      </w:r>
      <w:proofErr w:type="spellEnd"/>
      <w:r w:rsidRPr="00C939DE">
        <w:rPr>
          <w:rFonts w:ascii="Consolas" w:hAnsi="Consolas" w:cs="Consolas"/>
          <w:color w:val="FF0000"/>
          <w:sz w:val="24"/>
          <w:szCs w:val="24"/>
        </w:rPr>
        <w:t>'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</w:p>
    <w:p w14:paraId="22345AC4" w14:textId="77777777" w:rsidR="00C939DE" w:rsidRPr="00C939DE" w:rsidRDefault="00C939DE" w:rsidP="29C2F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939DE">
        <w:rPr>
          <w:rFonts w:ascii="Consolas" w:hAnsi="Consolas" w:cs="Consolas"/>
          <w:color w:val="0000FF"/>
          <w:sz w:val="24"/>
          <w:szCs w:val="24"/>
        </w:rPr>
        <w:t>order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r w:rsidRPr="00C939DE">
        <w:rPr>
          <w:rFonts w:ascii="Consolas" w:hAnsi="Consolas" w:cs="Consolas"/>
          <w:color w:val="0000FF"/>
          <w:sz w:val="24"/>
          <w:szCs w:val="24"/>
        </w:rPr>
        <w:t>by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FKViewFieldName</w:t>
      </w:r>
      <w:proofErr w:type="spellEnd"/>
      <w:r w:rsidRPr="00C939DE">
        <w:rPr>
          <w:rFonts w:ascii="Consolas" w:hAnsi="Consolas" w:cs="Consolas"/>
          <w:color w:val="808080"/>
          <w:sz w:val="24"/>
          <w:szCs w:val="24"/>
        </w:rPr>
        <w:t>,</w:t>
      </w:r>
      <w:r w:rsidRPr="00C939D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939DE">
        <w:rPr>
          <w:rFonts w:ascii="Consolas" w:hAnsi="Consolas" w:cs="Consolas"/>
          <w:sz w:val="24"/>
          <w:szCs w:val="24"/>
        </w:rPr>
        <w:t>FKViewVersion</w:t>
      </w:r>
      <w:proofErr w:type="spellEnd"/>
    </w:p>
    <w:p w14:paraId="6CBDF978" w14:textId="77777777" w:rsidR="008C5DAE" w:rsidRPr="003250B6" w:rsidRDefault="008C5DAE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 w:val="24"/>
          <w:szCs w:val="24"/>
        </w:rPr>
      </w:pPr>
    </w:p>
    <w:p w14:paraId="6CBDF979" w14:textId="18F7B329" w:rsidR="008C5DAE" w:rsidRPr="003250B6" w:rsidRDefault="00D67819" w:rsidP="29C2FB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proofErr w:type="spellStart"/>
      <w:r w:rsidRPr="003250B6">
        <w:rPr>
          <w:rFonts w:asciiTheme="minorHAnsi" w:eastAsia="Times New Roman" w:hAnsiTheme="minorHAnsi"/>
          <w:sz w:val="24"/>
          <w:szCs w:val="24"/>
        </w:rPr>
        <w:t>C</w:t>
      </w:r>
      <w:r w:rsidR="008C5DAE" w:rsidRPr="003250B6">
        <w:rPr>
          <w:rFonts w:asciiTheme="minorHAnsi" w:eastAsia="Times New Roman" w:hAnsiTheme="minorHAnsi"/>
          <w:sz w:val="24"/>
          <w:szCs w:val="24"/>
        </w:rPr>
        <w:t>D</w:t>
      </w:r>
      <w:r w:rsidRPr="003250B6">
        <w:rPr>
          <w:rFonts w:asciiTheme="minorHAnsi" w:eastAsia="Times New Roman" w:hAnsiTheme="minorHAnsi"/>
          <w:sz w:val="24"/>
          <w:szCs w:val="24"/>
        </w:rPr>
        <w:t>ata</w:t>
      </w:r>
      <w:r w:rsidR="008C5DAE" w:rsidRPr="003250B6">
        <w:rPr>
          <w:rFonts w:asciiTheme="minorHAnsi" w:eastAsia="Times New Roman" w:hAnsiTheme="minorHAnsi"/>
          <w:sz w:val="24"/>
          <w:szCs w:val="24"/>
        </w:rPr>
        <w:t>P</w:t>
      </w:r>
      <w:r w:rsidRPr="003250B6">
        <w:rPr>
          <w:rFonts w:asciiTheme="minorHAnsi" w:eastAsia="Times New Roman" w:hAnsiTheme="minorHAnsi"/>
          <w:sz w:val="24"/>
          <w:szCs w:val="24"/>
        </w:rPr>
        <w:t>rofiling</w:t>
      </w:r>
      <w:proofErr w:type="spellEnd"/>
      <w:r w:rsidR="008C5DAE" w:rsidRPr="003250B6">
        <w:rPr>
          <w:rFonts w:asciiTheme="minorHAnsi" w:eastAsia="Times New Roman" w:hAnsiTheme="minorHAnsi"/>
          <w:sz w:val="24"/>
          <w:szCs w:val="24"/>
        </w:rPr>
        <w:t xml:space="preserve"> Views</w:t>
      </w:r>
    </w:p>
    <w:p w14:paraId="6CBDF97A" w14:textId="77777777" w:rsidR="008C5DAE" w:rsidRPr="003250B6" w:rsidRDefault="008C5DAE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 xml:space="preserve">The following views are available on </w:t>
      </w:r>
      <w:proofErr w:type="spellStart"/>
      <w:r w:rsidRPr="003250B6">
        <w:rPr>
          <w:rFonts w:asciiTheme="minorHAnsi" w:hAnsiTheme="minorHAnsi"/>
          <w:sz w:val="24"/>
          <w:szCs w:val="24"/>
        </w:rPr>
        <w:t>CDWWork</w:t>
      </w:r>
      <w:proofErr w:type="spellEnd"/>
      <w:r w:rsidRPr="003250B6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3250B6">
        <w:rPr>
          <w:rFonts w:asciiTheme="minorHAnsi" w:hAnsiTheme="minorHAnsi"/>
          <w:sz w:val="24"/>
          <w:szCs w:val="24"/>
        </w:rPr>
        <w:t>RDWWork</w:t>
      </w:r>
      <w:proofErr w:type="spellEnd"/>
      <w:r w:rsidRPr="003250B6">
        <w:rPr>
          <w:rFonts w:asciiTheme="minorHAnsi" w:hAnsiTheme="minorHAnsi"/>
          <w:sz w:val="24"/>
          <w:szCs w:val="24"/>
        </w:rPr>
        <w:t xml:space="preserve"> databases to give counts</w:t>
      </w:r>
      <w:r w:rsidR="0095071F" w:rsidRPr="003250B6">
        <w:rPr>
          <w:rFonts w:asciiTheme="minorHAnsi" w:hAnsiTheme="minorHAnsi"/>
          <w:sz w:val="24"/>
          <w:szCs w:val="24"/>
        </w:rPr>
        <w:t>.</w:t>
      </w:r>
    </w:p>
    <w:p w14:paraId="6CBDF97B" w14:textId="77777777" w:rsidR="008C5DAE" w:rsidRPr="003250B6" w:rsidRDefault="008C5DAE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3250B6">
        <w:rPr>
          <w:rFonts w:asciiTheme="minorHAnsi" w:hAnsiTheme="minorHAnsi"/>
          <w:sz w:val="24"/>
          <w:szCs w:val="24"/>
        </w:rPr>
        <w:t>DP.RecordCountView</w:t>
      </w:r>
      <w:proofErr w:type="spellEnd"/>
      <w:r w:rsidR="0095071F" w:rsidRPr="003250B6">
        <w:rPr>
          <w:rFonts w:asciiTheme="minorHAnsi" w:hAnsiTheme="minorHAnsi"/>
          <w:sz w:val="24"/>
          <w:szCs w:val="24"/>
        </w:rPr>
        <w:t xml:space="preserve"> – counts of records by table, station, fiscal year</w:t>
      </w:r>
    </w:p>
    <w:p w14:paraId="6CBDF981" w14:textId="775D15F1" w:rsidR="00C738C6" w:rsidRPr="003250B6" w:rsidRDefault="0000292E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 w:val="24"/>
          <w:szCs w:val="24"/>
        </w:rPr>
      </w:pPr>
      <w:r w:rsidRPr="003250B6">
        <w:rPr>
          <w:rFonts w:asciiTheme="minorHAnsi" w:hAnsiTheme="minorHAnsi" w:cs="Consolas"/>
          <w:sz w:val="24"/>
          <w:szCs w:val="24"/>
        </w:rPr>
        <w:t>[example]</w:t>
      </w:r>
    </w:p>
    <w:p w14:paraId="6CBDF982" w14:textId="77777777" w:rsidR="00C738C6" w:rsidRPr="003250B6" w:rsidRDefault="00C738C6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3250B6">
        <w:rPr>
          <w:rFonts w:asciiTheme="minorHAnsi" w:hAnsiTheme="minorHAnsi"/>
          <w:sz w:val="24"/>
          <w:szCs w:val="24"/>
        </w:rPr>
        <w:t>DP.ColumnDiscreteCountView</w:t>
      </w:r>
      <w:proofErr w:type="spellEnd"/>
      <w:r w:rsidR="0095071F" w:rsidRPr="003250B6">
        <w:rPr>
          <w:rFonts w:asciiTheme="minorHAnsi" w:hAnsiTheme="minorHAnsi"/>
          <w:sz w:val="24"/>
          <w:szCs w:val="24"/>
        </w:rPr>
        <w:t xml:space="preserve"> – counts by table, station, fiscal year, selected column, value</w:t>
      </w:r>
    </w:p>
    <w:p w14:paraId="491FA67A" w14:textId="5E426DC3" w:rsidR="0000292E" w:rsidRPr="003250B6" w:rsidRDefault="0000292E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250B6">
        <w:rPr>
          <w:rFonts w:asciiTheme="minorHAnsi" w:hAnsiTheme="minorHAnsi"/>
          <w:sz w:val="24"/>
          <w:szCs w:val="24"/>
        </w:rPr>
        <w:t>[example]</w:t>
      </w:r>
    </w:p>
    <w:p w14:paraId="6CBDF984" w14:textId="77777777" w:rsidR="00847883" w:rsidRPr="003250B6" w:rsidRDefault="00E35999" w:rsidP="29C2FBF0">
      <w:pPr>
        <w:pStyle w:val="Heading1"/>
        <w:jc w:val="left"/>
        <w:rPr>
          <w:rFonts w:asciiTheme="minorHAnsi" w:eastAsia="Times New Roman" w:hAnsiTheme="minorHAnsi"/>
          <w:sz w:val="24"/>
          <w:szCs w:val="24"/>
        </w:rPr>
      </w:pPr>
      <w:r w:rsidRPr="003250B6">
        <w:rPr>
          <w:rFonts w:asciiTheme="minorHAnsi" w:eastAsia="Times New Roman" w:hAnsiTheme="minorHAnsi"/>
          <w:sz w:val="24"/>
          <w:szCs w:val="24"/>
        </w:rPr>
        <w:t xml:space="preserve">Other </w:t>
      </w:r>
      <w:r w:rsidR="00847883" w:rsidRPr="003250B6">
        <w:rPr>
          <w:rFonts w:asciiTheme="minorHAnsi" w:eastAsia="Times New Roman" w:hAnsiTheme="minorHAnsi"/>
          <w:sz w:val="24"/>
          <w:szCs w:val="24"/>
        </w:rPr>
        <w:t xml:space="preserve">Links: </w:t>
      </w:r>
    </w:p>
    <w:p w14:paraId="6CBDF985" w14:textId="77777777" w:rsidR="00E35999" w:rsidRPr="003250B6" w:rsidRDefault="00CD05F6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hyperlink r:id="rId16" w:history="1">
        <w:r w:rsidR="00E35999" w:rsidRPr="003250B6">
          <w:rPr>
            <w:rStyle w:val="Hyperlink"/>
            <w:rFonts w:asciiTheme="minorHAnsi" w:hAnsiTheme="minorHAnsi"/>
            <w:sz w:val="24"/>
            <w:szCs w:val="24"/>
          </w:rPr>
          <w:t>CDW Support</w:t>
        </w:r>
      </w:hyperlink>
    </w:p>
    <w:p w14:paraId="6CBDF987" w14:textId="66E60835" w:rsidR="004345E8" w:rsidRPr="003250B6" w:rsidRDefault="00CD05F6" w:rsidP="29C2FB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color w:val="0000FF"/>
          <w:sz w:val="24"/>
          <w:szCs w:val="24"/>
        </w:rPr>
      </w:pPr>
      <w:hyperlink r:id="rId17" w:tgtFrame="_top" w:tooltip="VIReC Listserve web page" w:history="1">
        <w:r w:rsidR="00420D85" w:rsidRPr="003250B6">
          <w:rPr>
            <w:rStyle w:val="Hyperlink"/>
            <w:rFonts w:asciiTheme="minorHAnsi" w:hAnsiTheme="minorHAnsi"/>
            <w:sz w:val="24"/>
            <w:szCs w:val="24"/>
          </w:rPr>
          <w:t xml:space="preserve">Q&amp;A forum hosted by </w:t>
        </w:r>
        <w:proofErr w:type="spellStart"/>
        <w:r w:rsidR="00420D85" w:rsidRPr="003250B6">
          <w:rPr>
            <w:rStyle w:val="Hyperlink"/>
            <w:rFonts w:asciiTheme="minorHAnsi" w:hAnsiTheme="minorHAnsi"/>
            <w:sz w:val="24"/>
            <w:szCs w:val="24"/>
          </w:rPr>
          <w:t>VIReC</w:t>
        </w:r>
        <w:proofErr w:type="spellEnd"/>
      </w:hyperlink>
    </w:p>
    <w:sectPr w:rsidR="004345E8" w:rsidRPr="003250B6" w:rsidSect="006B5E6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33516" w14:textId="77777777" w:rsidR="00B562BF" w:rsidRDefault="00B562BF" w:rsidP="00D67819">
      <w:pPr>
        <w:spacing w:after="0" w:line="240" w:lineRule="auto"/>
      </w:pPr>
      <w:r>
        <w:separator/>
      </w:r>
    </w:p>
  </w:endnote>
  <w:endnote w:type="continuationSeparator" w:id="0">
    <w:p w14:paraId="62F1B87C" w14:textId="77777777" w:rsidR="00B562BF" w:rsidRDefault="00B562BF" w:rsidP="00D6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CC86E" w14:textId="77777777" w:rsidR="00D67819" w:rsidRDefault="00D678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C3707" w14:textId="77777777" w:rsidR="00D67819" w:rsidRDefault="00D678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0A09A" w14:textId="77777777" w:rsidR="00D67819" w:rsidRDefault="00D678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C274B" w14:textId="77777777" w:rsidR="00B562BF" w:rsidRDefault="00B562BF" w:rsidP="00D67819">
      <w:pPr>
        <w:spacing w:after="0" w:line="240" w:lineRule="auto"/>
      </w:pPr>
      <w:r>
        <w:separator/>
      </w:r>
    </w:p>
  </w:footnote>
  <w:footnote w:type="continuationSeparator" w:id="0">
    <w:p w14:paraId="064EFFB4" w14:textId="77777777" w:rsidR="00B562BF" w:rsidRDefault="00B562BF" w:rsidP="00D67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2F8DF" w14:textId="77777777" w:rsidR="00D67819" w:rsidRDefault="00D678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320DA" w14:textId="399E9599" w:rsidR="00D67819" w:rsidRDefault="00D678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4F285" w14:textId="77777777" w:rsidR="00D67819" w:rsidRDefault="00D678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D3E"/>
    <w:multiLevelType w:val="hybridMultilevel"/>
    <w:tmpl w:val="76CC0550"/>
    <w:lvl w:ilvl="0" w:tplc="9F923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57DC7"/>
    <w:multiLevelType w:val="hybridMultilevel"/>
    <w:tmpl w:val="3F7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C264A"/>
    <w:multiLevelType w:val="hybridMultilevel"/>
    <w:tmpl w:val="3F40D160"/>
    <w:lvl w:ilvl="0" w:tplc="F8A8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64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6B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2F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42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EA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B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EA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9209A"/>
    <w:multiLevelType w:val="hybridMultilevel"/>
    <w:tmpl w:val="ED5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73A22"/>
    <w:multiLevelType w:val="hybridMultilevel"/>
    <w:tmpl w:val="F0EE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A5D26"/>
    <w:multiLevelType w:val="hybridMultilevel"/>
    <w:tmpl w:val="8036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8069A"/>
    <w:multiLevelType w:val="hybridMultilevel"/>
    <w:tmpl w:val="D6E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222C9"/>
    <w:multiLevelType w:val="hybridMultilevel"/>
    <w:tmpl w:val="4A32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B22D4"/>
    <w:multiLevelType w:val="hybridMultilevel"/>
    <w:tmpl w:val="D2BAD93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E8"/>
    <w:rsid w:val="0000292E"/>
    <w:rsid w:val="00024F10"/>
    <w:rsid w:val="0002758E"/>
    <w:rsid w:val="00040CA0"/>
    <w:rsid w:val="000A4596"/>
    <w:rsid w:val="000B42C3"/>
    <w:rsid w:val="000F0B1B"/>
    <w:rsid w:val="00120507"/>
    <w:rsid w:val="001D462E"/>
    <w:rsid w:val="001F70F2"/>
    <w:rsid w:val="002342A0"/>
    <w:rsid w:val="002421D1"/>
    <w:rsid w:val="00262D73"/>
    <w:rsid w:val="002715B2"/>
    <w:rsid w:val="0028033A"/>
    <w:rsid w:val="002A6A8A"/>
    <w:rsid w:val="002C6F42"/>
    <w:rsid w:val="0030386F"/>
    <w:rsid w:val="00307FEE"/>
    <w:rsid w:val="003250B6"/>
    <w:rsid w:val="00331B2C"/>
    <w:rsid w:val="00354AE8"/>
    <w:rsid w:val="00393437"/>
    <w:rsid w:val="0039677D"/>
    <w:rsid w:val="003B775D"/>
    <w:rsid w:val="003C0570"/>
    <w:rsid w:val="003D1D01"/>
    <w:rsid w:val="003D3F8B"/>
    <w:rsid w:val="0040607D"/>
    <w:rsid w:val="00420D85"/>
    <w:rsid w:val="00426A49"/>
    <w:rsid w:val="004345E8"/>
    <w:rsid w:val="00497FA0"/>
    <w:rsid w:val="004A6C66"/>
    <w:rsid w:val="00550BDB"/>
    <w:rsid w:val="00567690"/>
    <w:rsid w:val="00595C83"/>
    <w:rsid w:val="005D132F"/>
    <w:rsid w:val="005F5315"/>
    <w:rsid w:val="005F7BE1"/>
    <w:rsid w:val="00665BF9"/>
    <w:rsid w:val="0068464A"/>
    <w:rsid w:val="006875E4"/>
    <w:rsid w:val="00693C63"/>
    <w:rsid w:val="006B5E6F"/>
    <w:rsid w:val="006B6521"/>
    <w:rsid w:val="006C3CCE"/>
    <w:rsid w:val="006F1256"/>
    <w:rsid w:val="006F5DFF"/>
    <w:rsid w:val="007103A9"/>
    <w:rsid w:val="00724AD5"/>
    <w:rsid w:val="00730FF7"/>
    <w:rsid w:val="0075266A"/>
    <w:rsid w:val="00757B93"/>
    <w:rsid w:val="00773F57"/>
    <w:rsid w:val="00785623"/>
    <w:rsid w:val="00793032"/>
    <w:rsid w:val="007B658D"/>
    <w:rsid w:val="007C1434"/>
    <w:rsid w:val="007C164C"/>
    <w:rsid w:val="007D6969"/>
    <w:rsid w:val="007E27D3"/>
    <w:rsid w:val="00847883"/>
    <w:rsid w:val="00873CC3"/>
    <w:rsid w:val="00876D83"/>
    <w:rsid w:val="008C5DAE"/>
    <w:rsid w:val="008E6806"/>
    <w:rsid w:val="00914BB2"/>
    <w:rsid w:val="00932728"/>
    <w:rsid w:val="009478E4"/>
    <w:rsid w:val="0095071F"/>
    <w:rsid w:val="00980BB8"/>
    <w:rsid w:val="00996A6E"/>
    <w:rsid w:val="009A3542"/>
    <w:rsid w:val="009B2E24"/>
    <w:rsid w:val="009C036A"/>
    <w:rsid w:val="009C658F"/>
    <w:rsid w:val="009C6AF0"/>
    <w:rsid w:val="009D2432"/>
    <w:rsid w:val="009D7484"/>
    <w:rsid w:val="009E3994"/>
    <w:rsid w:val="00A03B8D"/>
    <w:rsid w:val="00A5605E"/>
    <w:rsid w:val="00A56864"/>
    <w:rsid w:val="00A73E77"/>
    <w:rsid w:val="00A836B1"/>
    <w:rsid w:val="00A978C5"/>
    <w:rsid w:val="00AC6992"/>
    <w:rsid w:val="00AD3670"/>
    <w:rsid w:val="00B03F1A"/>
    <w:rsid w:val="00B15B41"/>
    <w:rsid w:val="00B34BA1"/>
    <w:rsid w:val="00B430C7"/>
    <w:rsid w:val="00B44709"/>
    <w:rsid w:val="00B562BF"/>
    <w:rsid w:val="00B704EA"/>
    <w:rsid w:val="00BD3867"/>
    <w:rsid w:val="00BE60F4"/>
    <w:rsid w:val="00C0775A"/>
    <w:rsid w:val="00C32BC6"/>
    <w:rsid w:val="00C4430F"/>
    <w:rsid w:val="00C738C6"/>
    <w:rsid w:val="00C75508"/>
    <w:rsid w:val="00C80F63"/>
    <w:rsid w:val="00C81EDC"/>
    <w:rsid w:val="00C86C69"/>
    <w:rsid w:val="00C939DE"/>
    <w:rsid w:val="00CD05F6"/>
    <w:rsid w:val="00CD2732"/>
    <w:rsid w:val="00CD7838"/>
    <w:rsid w:val="00CE0199"/>
    <w:rsid w:val="00CE1E68"/>
    <w:rsid w:val="00D14A8D"/>
    <w:rsid w:val="00D61F30"/>
    <w:rsid w:val="00D67819"/>
    <w:rsid w:val="00DA296F"/>
    <w:rsid w:val="00DA2F16"/>
    <w:rsid w:val="00DA5A17"/>
    <w:rsid w:val="00E35999"/>
    <w:rsid w:val="00E45357"/>
    <w:rsid w:val="00EB634B"/>
    <w:rsid w:val="00EE3366"/>
    <w:rsid w:val="00F15FB8"/>
    <w:rsid w:val="00F26F79"/>
    <w:rsid w:val="00F3101C"/>
    <w:rsid w:val="00FA596F"/>
    <w:rsid w:val="00FA7EB6"/>
    <w:rsid w:val="00FB0806"/>
    <w:rsid w:val="00FC7E8B"/>
    <w:rsid w:val="00FD5DBA"/>
    <w:rsid w:val="29C2FBF0"/>
    <w:rsid w:val="5447E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BDF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Theme="minorHAnsi" w:hAnsi="Century Schoolbook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9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9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199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5E8"/>
  </w:style>
  <w:style w:type="paragraph" w:styleId="ListParagraph">
    <w:name w:val="List Paragraph"/>
    <w:basedOn w:val="Normal"/>
    <w:uiPriority w:val="34"/>
    <w:qFormat/>
    <w:rsid w:val="004345E8"/>
    <w:pPr>
      <w:ind w:left="720"/>
      <w:contextualSpacing/>
    </w:pPr>
  </w:style>
  <w:style w:type="table" w:styleId="TableGrid">
    <w:name w:val="Table Grid"/>
    <w:basedOn w:val="TableNormal"/>
    <w:uiPriority w:val="59"/>
    <w:rsid w:val="00F15FB8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9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19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47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1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019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C658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19"/>
  </w:style>
  <w:style w:type="paragraph" w:styleId="Footer">
    <w:name w:val="footer"/>
    <w:basedOn w:val="Normal"/>
    <w:link w:val="Foot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19"/>
  </w:style>
  <w:style w:type="paragraph" w:styleId="NoSpacing">
    <w:name w:val="No Spacing"/>
    <w:uiPriority w:val="1"/>
    <w:qFormat/>
    <w:rsid w:val="00120507"/>
    <w:pPr>
      <w:spacing w:after="0" w:line="240" w:lineRule="auto"/>
    </w:pPr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Theme="minorHAnsi" w:hAnsi="Century Schoolbook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9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99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199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5E8"/>
  </w:style>
  <w:style w:type="paragraph" w:styleId="ListParagraph">
    <w:name w:val="List Paragraph"/>
    <w:basedOn w:val="Normal"/>
    <w:uiPriority w:val="34"/>
    <w:qFormat/>
    <w:rsid w:val="004345E8"/>
    <w:pPr>
      <w:ind w:left="720"/>
      <w:contextualSpacing/>
    </w:pPr>
  </w:style>
  <w:style w:type="table" w:styleId="TableGrid">
    <w:name w:val="Table Grid"/>
    <w:basedOn w:val="TableNormal"/>
    <w:uiPriority w:val="59"/>
    <w:rsid w:val="00F15FB8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9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7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19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47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1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019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C658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19"/>
  </w:style>
  <w:style w:type="paragraph" w:styleId="Footer">
    <w:name w:val="footer"/>
    <w:basedOn w:val="Normal"/>
    <w:link w:val="FooterChar"/>
    <w:uiPriority w:val="99"/>
    <w:unhideWhenUsed/>
    <w:rsid w:val="00D6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19"/>
  </w:style>
  <w:style w:type="paragraph" w:styleId="NoSpacing">
    <w:name w:val="No Spacing"/>
    <w:uiPriority w:val="1"/>
    <w:qFormat/>
    <w:rsid w:val="00120507"/>
    <w:pPr>
      <w:spacing w:after="0" w:line="240" w:lineRule="auto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vaww.cdw.va.gov/metadata/_layouts/xlviewer.aspx?id=/metadata/Metadata%20Documents/Surgery%201.0/surgery130Split.xlsx&amp;Source=https://vaww.dwh.cdw.portal.va.gov/metadata/default.aspx?RootFolder=%2Fmetadata%2FMetadata%20Documents%2FSurgery%201%2E0&amp;FolderCTID=0x0120007BD83FE7EC890F42B79E1DA11A744B1E&amp;View=%7bB433761E-F7DB-44A1-B313-0CB6D58BE510%7d&amp;DefaultItemOpen=1&amp;DefaultItemOpen=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vaww.virec.research.va.gov/Support/HSRData-L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vaww.cdw.va.gov/Support/SitePages/CDWSupportHome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vaww.cdw.va.gov/metadata/default.aspx" TargetMode="Externa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vaww.cdw.va.gov/metadata/Reports/Images/SurgeryPRE_285.jpg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7852C100523449772471FD4848775" ma:contentTypeVersion="1" ma:contentTypeDescription="Create a new document." ma:contentTypeScope="" ma:versionID="7b4480815ab86e555fe66d7f38ddc0a9">
  <xsd:schema xmlns:xsd="http://www.w3.org/2001/XMLSchema" xmlns:xs="http://www.w3.org/2001/XMLSchema" xmlns:p="http://schemas.microsoft.com/office/2006/metadata/properties" xmlns:ns2="2254a1fb-d639-43e8-bac3-5704f55e9316" targetNamespace="http://schemas.microsoft.com/office/2006/metadata/properties" ma:root="true" ma:fieldsID="2b0d5512debc5e86e790106a7eaedac6" ns2:_="">
    <xsd:import namespace="2254a1fb-d639-43e8-bac3-5704f55e93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1fb-d639-43e8-bac3-5704f55e931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254a1fb-d639-43e8-bac3-5704f55e9316">SQEQKE3H6XHD-88-111</_dlc_DocId>
    <_dlc_DocIdUrl xmlns="2254a1fb-d639-43e8-bac3-5704f55e9316">
      <Url>https://vaww.cdw.va.gov/metadata/_layouts/DocIdRedir.aspx?ID=SQEQKE3H6XHD-88-111</Url>
      <Description>SQEQKE3H6XHD-88-111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68603-E1AF-4242-92E3-7F2CD47BF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4a1fb-d639-43e8-bac3-5704f55e9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25C4F-1340-4653-BB78-2E39133FC12E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2254a1fb-d639-43e8-bac3-5704f55e931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8655188-70EF-442B-B49D-D56EC28FA7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DEC934D-1BAF-4C1A-974B-706CBF55932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9751AC-597A-4D28-9833-9E40ADB2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4000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lord999</dc:creator>
  <cp:lastModifiedBy>Richards, Rafael M.</cp:lastModifiedBy>
  <cp:revision>2</cp:revision>
  <dcterms:created xsi:type="dcterms:W3CDTF">2017-11-04T04:37:00Z</dcterms:created>
  <dcterms:modified xsi:type="dcterms:W3CDTF">2017-11-04T04:37:00Z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1Ni-I3Iw7LpU-ZoS8Bc2Jtg-JcRZE7O5iIo2CzSIn67A</vt:lpwstr>
  </property>
  <property fmtid="{D5CDD505-2E9C-101B-9397-08002B2CF9AE}" pid="4" name="Google.Documents.RevisionId">
    <vt:lpwstr>01019020282999701758</vt:lpwstr>
  </property>
  <property fmtid="{D5CDD505-2E9C-101B-9397-08002B2CF9AE}" pid="5" name="Google.Documents.PreviousRevisionId">
    <vt:lpwstr>05768634578333283121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  <property fmtid="{D5CDD505-2E9C-101B-9397-08002B2CF9AE}" pid="8" name="ContentTypeId">
    <vt:lpwstr>0x0101009BA7852C100523449772471FD4848775</vt:lpwstr>
  </property>
  <property fmtid="{D5CDD505-2E9C-101B-9397-08002B2CF9AE}" pid="9" name="_dlc_DocIdItemGuid">
    <vt:lpwstr>5b986972-2b8c-4854-946b-bec5e0f357c6</vt:lpwstr>
  </property>
</Properties>
</file>