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798" w:rsidRPr="006C756E" w:rsidRDefault="00112267" w:rsidP="00A66132">
      <w:pPr>
        <w:jc w:val="center"/>
        <w:rPr>
          <w:b/>
          <w:sz w:val="28"/>
          <w:szCs w:val="28"/>
        </w:rPr>
      </w:pPr>
      <w:r w:rsidRPr="006C756E">
        <w:rPr>
          <w:b/>
          <w:sz w:val="28"/>
          <w:szCs w:val="28"/>
        </w:rPr>
        <w:t xml:space="preserve">Veterans’ </w:t>
      </w:r>
      <w:r w:rsidR="00A66132" w:rsidRPr="006C756E">
        <w:rPr>
          <w:b/>
          <w:sz w:val="28"/>
          <w:szCs w:val="28"/>
        </w:rPr>
        <w:t>EHRM Oversight Act of 2017 – Deliverables Description</w:t>
      </w:r>
    </w:p>
    <w:p w:rsidR="00605381" w:rsidRDefault="006C756E">
      <w:r w:rsidRPr="006C756E">
        <w:t>The documents listed below are mandated by</w:t>
      </w:r>
      <w:r w:rsidR="006B522D" w:rsidRPr="006B522D">
        <w:t xml:space="preserve"> </w:t>
      </w:r>
      <w:r w:rsidR="006B522D">
        <w:t xml:space="preserve">the </w:t>
      </w:r>
      <w:r w:rsidR="006B522D" w:rsidRPr="006B522D">
        <w:t>Veter</w:t>
      </w:r>
      <w:r w:rsidR="006B522D">
        <w:t xml:space="preserve">ans’ EHRM Oversight Act of 2017 </w:t>
      </w:r>
      <w:r w:rsidR="008E17F9">
        <w:t xml:space="preserve">and due to Congress </w:t>
      </w:r>
      <w:r w:rsidR="000C4F94">
        <w:t>between 5 and</w:t>
      </w:r>
      <w:r w:rsidRPr="006C756E">
        <w:t xml:space="preserve"> 30 days after enactment.</w:t>
      </w:r>
      <w:r w:rsidR="008E17F9">
        <w:t xml:space="preserve">  Please review the deliverable</w:t>
      </w:r>
      <w:r w:rsidRPr="006C756E">
        <w:t xml:space="preserve"> </w:t>
      </w:r>
      <w:r>
        <w:t xml:space="preserve">descriptions </w:t>
      </w:r>
      <w:r w:rsidR="000C4F94">
        <w:t xml:space="preserve">to familiarize yourself with them and that the final drafts will </w:t>
      </w:r>
      <w:r w:rsidR="004B5279">
        <w:t xml:space="preserve">need full </w:t>
      </w:r>
      <w:r w:rsidR="000C4F94">
        <w:t>review and concurrence</w:t>
      </w:r>
      <w:r>
        <w:t>. When the drafts are ready for</w:t>
      </w:r>
      <w:r w:rsidR="00495AEC">
        <w:t xml:space="preserve"> submission to VAIQ, offices will be notified</w:t>
      </w:r>
      <w:r w:rsidR="002F6B67">
        <w:t xml:space="preserve"> beforehand. </w:t>
      </w:r>
    </w:p>
    <w:tbl>
      <w:tblPr>
        <w:tblStyle w:val="TableGrid"/>
        <w:tblW w:w="14076" w:type="dxa"/>
        <w:jc w:val="center"/>
        <w:tblLook w:val="04A0" w:firstRow="1" w:lastRow="0" w:firstColumn="1" w:lastColumn="0" w:noHBand="0" w:noVBand="1"/>
      </w:tblPr>
      <w:tblGrid>
        <w:gridCol w:w="1899"/>
        <w:gridCol w:w="2681"/>
        <w:gridCol w:w="1694"/>
        <w:gridCol w:w="1345"/>
        <w:gridCol w:w="1665"/>
        <w:gridCol w:w="2164"/>
        <w:gridCol w:w="2628"/>
      </w:tblGrid>
      <w:tr w:rsidR="003265E8" w:rsidRPr="00BC2483" w:rsidTr="0040396F">
        <w:trPr>
          <w:cantSplit/>
          <w:trHeight w:val="255"/>
          <w:tblHeader/>
          <w:jc w:val="center"/>
        </w:trPr>
        <w:tc>
          <w:tcPr>
            <w:tcW w:w="1899" w:type="dxa"/>
            <w:shd w:val="clear" w:color="auto" w:fill="4F81BD" w:themeFill="accent1"/>
          </w:tcPr>
          <w:p w:rsidR="003265E8" w:rsidRPr="00BC2483" w:rsidRDefault="003265E8" w:rsidP="00E6640D">
            <w:pPr>
              <w:jc w:val="center"/>
              <w:rPr>
                <w:b/>
                <w:color w:val="FFFFFF" w:themeColor="background1"/>
                <w:sz w:val="20"/>
                <w:szCs w:val="20"/>
              </w:rPr>
            </w:pPr>
            <w:r w:rsidRPr="00BC2483">
              <w:rPr>
                <w:b/>
                <w:color w:val="FFFFFF" w:themeColor="background1"/>
                <w:sz w:val="20"/>
                <w:szCs w:val="20"/>
              </w:rPr>
              <w:t>Document</w:t>
            </w:r>
          </w:p>
        </w:tc>
        <w:tc>
          <w:tcPr>
            <w:tcW w:w="2681" w:type="dxa"/>
            <w:shd w:val="clear" w:color="auto" w:fill="4F81BD" w:themeFill="accent1"/>
          </w:tcPr>
          <w:p w:rsidR="003265E8" w:rsidRPr="00BC2483" w:rsidRDefault="003265E8" w:rsidP="00E6640D">
            <w:pPr>
              <w:jc w:val="center"/>
              <w:rPr>
                <w:b/>
                <w:color w:val="FFFFFF" w:themeColor="background1"/>
                <w:sz w:val="20"/>
                <w:szCs w:val="20"/>
              </w:rPr>
            </w:pPr>
            <w:r w:rsidRPr="00BC2483">
              <w:rPr>
                <w:b/>
                <w:color w:val="FFFFFF" w:themeColor="background1"/>
                <w:sz w:val="20"/>
                <w:szCs w:val="20"/>
              </w:rPr>
              <w:t>Description</w:t>
            </w:r>
          </w:p>
        </w:tc>
        <w:tc>
          <w:tcPr>
            <w:tcW w:w="1694" w:type="dxa"/>
            <w:shd w:val="clear" w:color="auto" w:fill="4F81BD" w:themeFill="accent1"/>
          </w:tcPr>
          <w:p w:rsidR="003265E8" w:rsidRPr="00BC2483" w:rsidRDefault="003265E8" w:rsidP="00E6640D">
            <w:pPr>
              <w:jc w:val="center"/>
              <w:rPr>
                <w:b/>
                <w:color w:val="FFFFFF" w:themeColor="background1"/>
                <w:sz w:val="20"/>
                <w:szCs w:val="20"/>
              </w:rPr>
            </w:pPr>
            <w:r w:rsidRPr="00BC2483">
              <w:rPr>
                <w:b/>
                <w:color w:val="FFFFFF" w:themeColor="background1"/>
                <w:sz w:val="20"/>
                <w:szCs w:val="20"/>
              </w:rPr>
              <w:t>Deadline</w:t>
            </w:r>
          </w:p>
        </w:tc>
        <w:tc>
          <w:tcPr>
            <w:tcW w:w="1345" w:type="dxa"/>
            <w:shd w:val="clear" w:color="auto" w:fill="4F81BD" w:themeFill="accent1"/>
          </w:tcPr>
          <w:p w:rsidR="003265E8" w:rsidRPr="00BC2483" w:rsidRDefault="003265E8" w:rsidP="00E6640D">
            <w:pPr>
              <w:jc w:val="center"/>
              <w:rPr>
                <w:b/>
                <w:color w:val="FFFFFF" w:themeColor="background1"/>
                <w:sz w:val="20"/>
                <w:szCs w:val="20"/>
              </w:rPr>
            </w:pPr>
            <w:r w:rsidRPr="00BC2483">
              <w:rPr>
                <w:b/>
                <w:color w:val="FFFFFF" w:themeColor="background1"/>
                <w:sz w:val="20"/>
                <w:szCs w:val="20"/>
              </w:rPr>
              <w:t>Expected Submission Date</w:t>
            </w:r>
          </w:p>
        </w:tc>
        <w:tc>
          <w:tcPr>
            <w:tcW w:w="1665" w:type="dxa"/>
            <w:shd w:val="clear" w:color="auto" w:fill="4F81BD" w:themeFill="accent1"/>
          </w:tcPr>
          <w:p w:rsidR="003265E8" w:rsidRPr="00BC2483" w:rsidRDefault="003265E8" w:rsidP="00E6640D">
            <w:pPr>
              <w:jc w:val="center"/>
              <w:rPr>
                <w:b/>
                <w:color w:val="FFFFFF" w:themeColor="background1"/>
                <w:sz w:val="20"/>
                <w:szCs w:val="20"/>
              </w:rPr>
            </w:pPr>
            <w:r w:rsidRPr="00BC2483">
              <w:rPr>
                <w:b/>
                <w:color w:val="FFFFFF" w:themeColor="background1"/>
                <w:sz w:val="20"/>
                <w:szCs w:val="20"/>
              </w:rPr>
              <w:t>Content Owner</w:t>
            </w:r>
          </w:p>
        </w:tc>
        <w:tc>
          <w:tcPr>
            <w:tcW w:w="2164" w:type="dxa"/>
            <w:shd w:val="clear" w:color="auto" w:fill="4F81BD" w:themeFill="accent1"/>
          </w:tcPr>
          <w:p w:rsidR="003265E8" w:rsidRPr="00BC2483" w:rsidRDefault="003265E8" w:rsidP="00E6640D">
            <w:pPr>
              <w:jc w:val="center"/>
              <w:rPr>
                <w:b/>
                <w:color w:val="FFFFFF" w:themeColor="background1"/>
                <w:sz w:val="20"/>
                <w:szCs w:val="20"/>
              </w:rPr>
            </w:pPr>
            <w:r w:rsidRPr="00BC2483">
              <w:rPr>
                <w:b/>
                <w:color w:val="FFFFFF" w:themeColor="background1"/>
                <w:sz w:val="20"/>
                <w:szCs w:val="20"/>
              </w:rPr>
              <w:t>Status (1/8/</w:t>
            </w:r>
            <w:r w:rsidR="00BC2483" w:rsidRPr="00BC2483">
              <w:rPr>
                <w:b/>
                <w:color w:val="FFFFFF" w:themeColor="background1"/>
                <w:sz w:val="20"/>
                <w:szCs w:val="20"/>
              </w:rPr>
              <w:t>18)</w:t>
            </w:r>
          </w:p>
        </w:tc>
        <w:tc>
          <w:tcPr>
            <w:tcW w:w="2628" w:type="dxa"/>
            <w:shd w:val="clear" w:color="auto" w:fill="4F81BD" w:themeFill="accent1"/>
          </w:tcPr>
          <w:p w:rsidR="003265E8" w:rsidRPr="00BC2483" w:rsidRDefault="003265E8" w:rsidP="00E6640D">
            <w:pPr>
              <w:jc w:val="center"/>
              <w:rPr>
                <w:b/>
                <w:color w:val="FFFFFF" w:themeColor="background1"/>
                <w:sz w:val="20"/>
                <w:szCs w:val="20"/>
              </w:rPr>
            </w:pPr>
            <w:r w:rsidRPr="00BC2483">
              <w:rPr>
                <w:b/>
                <w:color w:val="FFFFFF" w:themeColor="background1"/>
                <w:sz w:val="20"/>
                <w:szCs w:val="20"/>
              </w:rPr>
              <w:t>Timeline of Events</w:t>
            </w:r>
          </w:p>
        </w:tc>
      </w:tr>
      <w:tr w:rsidR="0040396F" w:rsidRPr="00BC2483" w:rsidTr="0040396F">
        <w:trPr>
          <w:cantSplit/>
          <w:trHeight w:val="1607"/>
          <w:jc w:val="center"/>
        </w:trPr>
        <w:tc>
          <w:tcPr>
            <w:tcW w:w="1899" w:type="dxa"/>
          </w:tcPr>
          <w:p w:rsidR="003265E8" w:rsidRPr="00BC2483" w:rsidRDefault="003265E8" w:rsidP="00A65652">
            <w:pPr>
              <w:pStyle w:val="ListParagraph"/>
              <w:numPr>
                <w:ilvl w:val="0"/>
                <w:numId w:val="1"/>
              </w:numPr>
              <w:ind w:left="360"/>
              <w:rPr>
                <w:sz w:val="20"/>
                <w:szCs w:val="20"/>
              </w:rPr>
            </w:pPr>
            <w:r w:rsidRPr="00BC2483">
              <w:rPr>
                <w:sz w:val="20"/>
                <w:szCs w:val="20"/>
              </w:rPr>
              <w:t xml:space="preserve">Integrated Master Plan </w:t>
            </w:r>
          </w:p>
        </w:tc>
        <w:tc>
          <w:tcPr>
            <w:tcW w:w="2681" w:type="dxa"/>
          </w:tcPr>
          <w:p w:rsidR="003265E8" w:rsidRPr="00BC2483" w:rsidRDefault="003265E8" w:rsidP="00EB09FD">
            <w:pPr>
              <w:rPr>
                <w:sz w:val="20"/>
                <w:szCs w:val="20"/>
              </w:rPr>
            </w:pPr>
            <w:r w:rsidRPr="00BC2483">
              <w:rPr>
                <w:sz w:val="20"/>
                <w:szCs w:val="20"/>
              </w:rPr>
              <w:t xml:space="preserve">The Integrated Master Plan (IMP) is a collection of EHRM program milestones that form the requirements needed to deliver the program’s objective. The IMP is not a schedule based on calendar dates. Instead it a listing of all events required to obtain the outcome outlined in the program’s Statement of Objectives.  </w:t>
            </w:r>
          </w:p>
        </w:tc>
        <w:tc>
          <w:tcPr>
            <w:tcW w:w="1694" w:type="dxa"/>
          </w:tcPr>
          <w:p w:rsidR="003265E8" w:rsidRPr="00BC2483" w:rsidRDefault="003265E8" w:rsidP="00EB09FD">
            <w:pPr>
              <w:rPr>
                <w:sz w:val="20"/>
                <w:szCs w:val="20"/>
              </w:rPr>
            </w:pPr>
            <w:r w:rsidRPr="00BC2483">
              <w:rPr>
                <w:sz w:val="20"/>
                <w:szCs w:val="20"/>
              </w:rPr>
              <w:t>Within 30 days after enactment + quarterly report</w:t>
            </w:r>
          </w:p>
        </w:tc>
        <w:tc>
          <w:tcPr>
            <w:tcW w:w="1345" w:type="dxa"/>
          </w:tcPr>
          <w:p w:rsidR="003265E8" w:rsidRPr="00BC2483" w:rsidRDefault="003265E8" w:rsidP="00EB09FD">
            <w:pPr>
              <w:rPr>
                <w:sz w:val="20"/>
                <w:szCs w:val="20"/>
              </w:rPr>
            </w:pPr>
            <w:r w:rsidRPr="00BC2483">
              <w:rPr>
                <w:sz w:val="20"/>
                <w:szCs w:val="20"/>
              </w:rPr>
              <w:t>TBD</w:t>
            </w:r>
          </w:p>
        </w:tc>
        <w:tc>
          <w:tcPr>
            <w:tcW w:w="1665" w:type="dxa"/>
          </w:tcPr>
          <w:p w:rsidR="003265E8" w:rsidRPr="00BC2483" w:rsidRDefault="003265E8" w:rsidP="00EB09FD">
            <w:pPr>
              <w:rPr>
                <w:sz w:val="20"/>
                <w:szCs w:val="20"/>
              </w:rPr>
            </w:pPr>
            <w:r w:rsidRPr="00BC2483">
              <w:rPr>
                <w:sz w:val="20"/>
                <w:szCs w:val="20"/>
              </w:rPr>
              <w:t>Steven Lang</w:t>
            </w:r>
          </w:p>
        </w:tc>
        <w:tc>
          <w:tcPr>
            <w:tcW w:w="2164" w:type="dxa"/>
            <w:shd w:val="clear" w:color="auto" w:fill="FFFF00"/>
          </w:tcPr>
          <w:p w:rsidR="003265E8" w:rsidRPr="00BC2483" w:rsidRDefault="003265E8" w:rsidP="00EB09FD">
            <w:pPr>
              <w:rPr>
                <w:sz w:val="20"/>
                <w:szCs w:val="20"/>
                <w:highlight w:val="yellow"/>
              </w:rPr>
            </w:pPr>
          </w:p>
        </w:tc>
        <w:tc>
          <w:tcPr>
            <w:tcW w:w="2628" w:type="dxa"/>
            <w:shd w:val="clear" w:color="auto" w:fill="FFFF00"/>
          </w:tcPr>
          <w:p w:rsidR="003265E8" w:rsidRPr="00BC2483" w:rsidRDefault="003265E8" w:rsidP="00EB09FD">
            <w:pPr>
              <w:rPr>
                <w:sz w:val="20"/>
                <w:szCs w:val="20"/>
              </w:rPr>
            </w:pPr>
          </w:p>
        </w:tc>
      </w:tr>
      <w:tr w:rsidR="0040396F" w:rsidRPr="00BC2483" w:rsidTr="0040396F">
        <w:trPr>
          <w:cantSplit/>
          <w:trHeight w:val="1352"/>
          <w:jc w:val="center"/>
        </w:trPr>
        <w:tc>
          <w:tcPr>
            <w:tcW w:w="1899" w:type="dxa"/>
          </w:tcPr>
          <w:p w:rsidR="003265E8" w:rsidRPr="00BC2483" w:rsidRDefault="003265E8" w:rsidP="00A65652">
            <w:pPr>
              <w:pStyle w:val="ListParagraph"/>
              <w:numPr>
                <w:ilvl w:val="0"/>
                <w:numId w:val="1"/>
              </w:numPr>
              <w:ind w:left="360"/>
              <w:rPr>
                <w:sz w:val="20"/>
                <w:szCs w:val="20"/>
              </w:rPr>
            </w:pPr>
            <w:r w:rsidRPr="00BC2483">
              <w:rPr>
                <w:sz w:val="20"/>
                <w:szCs w:val="20"/>
              </w:rPr>
              <w:t xml:space="preserve">Integrated Master Schedule </w:t>
            </w:r>
          </w:p>
        </w:tc>
        <w:tc>
          <w:tcPr>
            <w:tcW w:w="2681" w:type="dxa"/>
          </w:tcPr>
          <w:p w:rsidR="003265E8" w:rsidRPr="00BC2483" w:rsidRDefault="003265E8" w:rsidP="00EB09FD">
            <w:pPr>
              <w:rPr>
                <w:sz w:val="20"/>
                <w:szCs w:val="20"/>
              </w:rPr>
            </w:pPr>
            <w:r w:rsidRPr="00BC2483">
              <w:rPr>
                <w:sz w:val="20"/>
                <w:szCs w:val="20"/>
              </w:rPr>
              <w:t xml:space="preserve">The Integrated Master Schedule (IMS) is a time-based schedule of networked tasks that are necessary requirements for program completion. The IMS is traceable to the IMP and WBS and is used to evaluate progress towards meeting program objectives. </w:t>
            </w:r>
          </w:p>
        </w:tc>
        <w:tc>
          <w:tcPr>
            <w:tcW w:w="1694" w:type="dxa"/>
          </w:tcPr>
          <w:p w:rsidR="003265E8" w:rsidRPr="00BC2483" w:rsidRDefault="003265E8" w:rsidP="00EB09FD">
            <w:pPr>
              <w:rPr>
                <w:sz w:val="20"/>
                <w:szCs w:val="20"/>
              </w:rPr>
            </w:pPr>
            <w:r w:rsidRPr="00BC2483">
              <w:rPr>
                <w:sz w:val="20"/>
                <w:szCs w:val="20"/>
              </w:rPr>
              <w:t>Within 30 days after enactment, quarterly report</w:t>
            </w:r>
          </w:p>
        </w:tc>
        <w:tc>
          <w:tcPr>
            <w:tcW w:w="1345" w:type="dxa"/>
          </w:tcPr>
          <w:p w:rsidR="003265E8" w:rsidRPr="00BC2483" w:rsidRDefault="003265E8">
            <w:pPr>
              <w:rPr>
                <w:sz w:val="20"/>
                <w:szCs w:val="20"/>
              </w:rPr>
            </w:pPr>
            <w:r w:rsidRPr="00BC2483">
              <w:rPr>
                <w:sz w:val="20"/>
                <w:szCs w:val="20"/>
              </w:rPr>
              <w:t>TBD</w:t>
            </w:r>
          </w:p>
        </w:tc>
        <w:tc>
          <w:tcPr>
            <w:tcW w:w="1665" w:type="dxa"/>
          </w:tcPr>
          <w:p w:rsidR="003265E8" w:rsidRPr="00BC2483" w:rsidRDefault="003265E8">
            <w:pPr>
              <w:rPr>
                <w:sz w:val="20"/>
                <w:szCs w:val="20"/>
              </w:rPr>
            </w:pPr>
            <w:r w:rsidRPr="00BC2483">
              <w:rPr>
                <w:sz w:val="20"/>
                <w:szCs w:val="20"/>
              </w:rPr>
              <w:t>Steven Lang</w:t>
            </w:r>
          </w:p>
        </w:tc>
        <w:tc>
          <w:tcPr>
            <w:tcW w:w="2164" w:type="dxa"/>
            <w:shd w:val="clear" w:color="auto" w:fill="FFFF00"/>
          </w:tcPr>
          <w:p w:rsidR="003265E8" w:rsidRPr="00BC2483" w:rsidRDefault="003265E8">
            <w:pPr>
              <w:rPr>
                <w:sz w:val="20"/>
                <w:szCs w:val="20"/>
                <w:highlight w:val="yellow"/>
              </w:rPr>
            </w:pPr>
          </w:p>
        </w:tc>
        <w:tc>
          <w:tcPr>
            <w:tcW w:w="2628" w:type="dxa"/>
            <w:shd w:val="clear" w:color="auto" w:fill="FFFF00"/>
          </w:tcPr>
          <w:p w:rsidR="003265E8" w:rsidRPr="00BC2483" w:rsidRDefault="003265E8">
            <w:pPr>
              <w:rPr>
                <w:sz w:val="20"/>
                <w:szCs w:val="20"/>
              </w:rPr>
            </w:pPr>
          </w:p>
        </w:tc>
      </w:tr>
      <w:tr w:rsidR="0040396F" w:rsidRPr="00BC2483" w:rsidTr="0040396F">
        <w:trPr>
          <w:cantSplit/>
          <w:trHeight w:val="1337"/>
          <w:jc w:val="center"/>
        </w:trPr>
        <w:tc>
          <w:tcPr>
            <w:tcW w:w="1899" w:type="dxa"/>
          </w:tcPr>
          <w:p w:rsidR="003265E8" w:rsidRPr="00BC2483" w:rsidRDefault="003265E8" w:rsidP="00A65652">
            <w:pPr>
              <w:pStyle w:val="ListParagraph"/>
              <w:numPr>
                <w:ilvl w:val="0"/>
                <w:numId w:val="1"/>
              </w:numPr>
              <w:ind w:left="360"/>
              <w:rPr>
                <w:sz w:val="20"/>
                <w:szCs w:val="20"/>
              </w:rPr>
            </w:pPr>
            <w:r w:rsidRPr="00BC2483">
              <w:rPr>
                <w:sz w:val="20"/>
                <w:szCs w:val="20"/>
              </w:rPr>
              <w:lastRenderedPageBreak/>
              <w:t xml:space="preserve">Program Management Plan </w:t>
            </w:r>
          </w:p>
        </w:tc>
        <w:tc>
          <w:tcPr>
            <w:tcW w:w="2681" w:type="dxa"/>
          </w:tcPr>
          <w:p w:rsidR="003265E8" w:rsidRPr="00BC2483" w:rsidRDefault="003265E8" w:rsidP="00EB09FD">
            <w:pPr>
              <w:rPr>
                <w:sz w:val="20"/>
                <w:szCs w:val="20"/>
              </w:rPr>
            </w:pPr>
            <w:r w:rsidRPr="00BC2483">
              <w:rPr>
                <w:sz w:val="20"/>
                <w:szCs w:val="20"/>
              </w:rPr>
              <w:t xml:space="preserve">The Program Management Plan (PMP) is a formal approved document used to guide both program execution and program control. The plan is used to document approved program scope as well as the processes by which the program will be controlled. </w:t>
            </w:r>
          </w:p>
        </w:tc>
        <w:tc>
          <w:tcPr>
            <w:tcW w:w="1694" w:type="dxa"/>
          </w:tcPr>
          <w:p w:rsidR="003265E8" w:rsidRPr="00BC2483" w:rsidRDefault="003265E8" w:rsidP="00EB09FD">
            <w:pPr>
              <w:rPr>
                <w:sz w:val="20"/>
                <w:szCs w:val="20"/>
              </w:rPr>
            </w:pPr>
            <w:r w:rsidRPr="00BC2483">
              <w:rPr>
                <w:sz w:val="20"/>
                <w:szCs w:val="20"/>
              </w:rPr>
              <w:t>Within 30 days after enactment</w:t>
            </w:r>
          </w:p>
        </w:tc>
        <w:tc>
          <w:tcPr>
            <w:tcW w:w="1345" w:type="dxa"/>
          </w:tcPr>
          <w:p w:rsidR="003265E8" w:rsidRPr="00BC2483" w:rsidRDefault="003265E8">
            <w:pPr>
              <w:rPr>
                <w:sz w:val="20"/>
                <w:szCs w:val="20"/>
              </w:rPr>
            </w:pPr>
            <w:r w:rsidRPr="00BC2483">
              <w:rPr>
                <w:sz w:val="20"/>
                <w:szCs w:val="20"/>
              </w:rPr>
              <w:t>TBD</w:t>
            </w:r>
          </w:p>
        </w:tc>
        <w:tc>
          <w:tcPr>
            <w:tcW w:w="1665" w:type="dxa"/>
          </w:tcPr>
          <w:p w:rsidR="003265E8" w:rsidRPr="00BC2483" w:rsidRDefault="003265E8">
            <w:pPr>
              <w:rPr>
                <w:sz w:val="20"/>
                <w:szCs w:val="20"/>
              </w:rPr>
            </w:pPr>
            <w:r w:rsidRPr="00BC2483">
              <w:rPr>
                <w:sz w:val="20"/>
                <w:szCs w:val="20"/>
              </w:rPr>
              <w:t>Steven Lang</w:t>
            </w:r>
          </w:p>
        </w:tc>
        <w:tc>
          <w:tcPr>
            <w:tcW w:w="2164" w:type="dxa"/>
            <w:shd w:val="clear" w:color="auto" w:fill="FFFF00"/>
          </w:tcPr>
          <w:p w:rsidR="003265E8" w:rsidRPr="00BC2483" w:rsidRDefault="003265E8">
            <w:pPr>
              <w:rPr>
                <w:sz w:val="20"/>
                <w:szCs w:val="20"/>
                <w:highlight w:val="yellow"/>
              </w:rPr>
            </w:pPr>
          </w:p>
        </w:tc>
        <w:tc>
          <w:tcPr>
            <w:tcW w:w="2628" w:type="dxa"/>
            <w:shd w:val="clear" w:color="auto" w:fill="FFFF00"/>
          </w:tcPr>
          <w:p w:rsidR="003265E8" w:rsidRPr="00BC2483" w:rsidRDefault="003265E8">
            <w:pPr>
              <w:rPr>
                <w:sz w:val="20"/>
                <w:szCs w:val="20"/>
              </w:rPr>
            </w:pPr>
          </w:p>
        </w:tc>
      </w:tr>
      <w:tr w:rsidR="0040396F" w:rsidRPr="00BC2483" w:rsidTr="0040396F">
        <w:trPr>
          <w:cantSplit/>
          <w:trHeight w:val="1367"/>
          <w:jc w:val="center"/>
        </w:trPr>
        <w:tc>
          <w:tcPr>
            <w:tcW w:w="1899" w:type="dxa"/>
          </w:tcPr>
          <w:p w:rsidR="003265E8" w:rsidRPr="00BC2483" w:rsidRDefault="003265E8" w:rsidP="00A65652">
            <w:pPr>
              <w:pStyle w:val="ListParagraph"/>
              <w:numPr>
                <w:ilvl w:val="0"/>
                <w:numId w:val="1"/>
              </w:numPr>
              <w:ind w:left="360"/>
              <w:rPr>
                <w:sz w:val="20"/>
                <w:szCs w:val="20"/>
              </w:rPr>
            </w:pPr>
            <w:r w:rsidRPr="00BC2483">
              <w:rPr>
                <w:sz w:val="20"/>
                <w:szCs w:val="20"/>
              </w:rPr>
              <w:t>Annual and Lifecycle Cost Estimates</w:t>
            </w:r>
          </w:p>
        </w:tc>
        <w:tc>
          <w:tcPr>
            <w:tcW w:w="2681" w:type="dxa"/>
          </w:tcPr>
          <w:p w:rsidR="003265E8" w:rsidRPr="00BC2483" w:rsidRDefault="003265E8" w:rsidP="00EB09FD">
            <w:pPr>
              <w:rPr>
                <w:sz w:val="20"/>
                <w:szCs w:val="20"/>
              </w:rPr>
            </w:pPr>
            <w:r w:rsidRPr="00BC2483">
              <w:rPr>
                <w:rFonts w:ascii="Arial" w:hAnsi="Arial" w:cs="Arial"/>
                <w:sz w:val="20"/>
                <w:szCs w:val="20"/>
              </w:rPr>
              <w:t>A life cycle cost estimate (LCCE) for an information technology (IT) system provides a comprehensive estimate of all the resources needed to plan, develop, implement, and sustain an IT system.  The LCCE should include all past, present, and future costs associated with a program or system without regard to funding source.</w:t>
            </w:r>
          </w:p>
        </w:tc>
        <w:tc>
          <w:tcPr>
            <w:tcW w:w="1694" w:type="dxa"/>
          </w:tcPr>
          <w:p w:rsidR="003265E8" w:rsidRPr="00BC2483" w:rsidRDefault="003265E8" w:rsidP="00EB09FD">
            <w:pPr>
              <w:rPr>
                <w:rFonts w:ascii="Arial" w:hAnsi="Arial" w:cs="Arial"/>
                <w:sz w:val="20"/>
                <w:szCs w:val="20"/>
              </w:rPr>
            </w:pPr>
            <w:r w:rsidRPr="00BC2483">
              <w:rPr>
                <w:sz w:val="20"/>
                <w:szCs w:val="20"/>
              </w:rPr>
              <w:t>Within 30 days after enactment + quarterly report</w:t>
            </w:r>
          </w:p>
        </w:tc>
        <w:tc>
          <w:tcPr>
            <w:tcW w:w="1345" w:type="dxa"/>
          </w:tcPr>
          <w:p w:rsidR="003265E8" w:rsidRPr="00BC2483" w:rsidRDefault="003265E8">
            <w:pPr>
              <w:rPr>
                <w:sz w:val="20"/>
                <w:szCs w:val="20"/>
              </w:rPr>
            </w:pPr>
            <w:r w:rsidRPr="00BC2483">
              <w:rPr>
                <w:sz w:val="20"/>
                <w:szCs w:val="20"/>
              </w:rPr>
              <w:t>TBD</w:t>
            </w:r>
          </w:p>
        </w:tc>
        <w:tc>
          <w:tcPr>
            <w:tcW w:w="1665" w:type="dxa"/>
          </w:tcPr>
          <w:p w:rsidR="003265E8" w:rsidRPr="00BC2483" w:rsidRDefault="003265E8" w:rsidP="00173003">
            <w:pPr>
              <w:rPr>
                <w:sz w:val="20"/>
                <w:szCs w:val="20"/>
              </w:rPr>
            </w:pPr>
            <w:r w:rsidRPr="00BC2483">
              <w:rPr>
                <w:sz w:val="20"/>
                <w:szCs w:val="20"/>
              </w:rPr>
              <w:t>John Ellsworth/Tommy Barnes</w:t>
            </w:r>
          </w:p>
          <w:p w:rsidR="003265E8" w:rsidRPr="00BC2483" w:rsidRDefault="003265E8">
            <w:pPr>
              <w:rPr>
                <w:sz w:val="20"/>
                <w:szCs w:val="20"/>
              </w:rPr>
            </w:pPr>
          </w:p>
        </w:tc>
        <w:tc>
          <w:tcPr>
            <w:tcW w:w="2164" w:type="dxa"/>
            <w:shd w:val="clear" w:color="auto" w:fill="FFFF00"/>
          </w:tcPr>
          <w:p w:rsidR="003265E8" w:rsidRPr="00BC2483" w:rsidRDefault="003265E8">
            <w:pPr>
              <w:rPr>
                <w:sz w:val="20"/>
                <w:szCs w:val="20"/>
                <w:highlight w:val="yellow"/>
              </w:rPr>
            </w:pPr>
          </w:p>
        </w:tc>
        <w:tc>
          <w:tcPr>
            <w:tcW w:w="2628" w:type="dxa"/>
            <w:shd w:val="clear" w:color="auto" w:fill="FFFF00"/>
          </w:tcPr>
          <w:p w:rsidR="003265E8" w:rsidRPr="00BC2483" w:rsidRDefault="003265E8">
            <w:pPr>
              <w:rPr>
                <w:sz w:val="20"/>
                <w:szCs w:val="20"/>
              </w:rPr>
            </w:pPr>
          </w:p>
        </w:tc>
      </w:tr>
      <w:tr w:rsidR="0040396F" w:rsidRPr="00BC2483" w:rsidTr="0040396F">
        <w:trPr>
          <w:cantSplit/>
          <w:trHeight w:val="1081"/>
          <w:jc w:val="center"/>
        </w:trPr>
        <w:tc>
          <w:tcPr>
            <w:tcW w:w="1899" w:type="dxa"/>
          </w:tcPr>
          <w:p w:rsidR="003265E8" w:rsidRPr="00BC2483" w:rsidRDefault="003265E8" w:rsidP="00A65652">
            <w:pPr>
              <w:pStyle w:val="ListParagraph"/>
              <w:numPr>
                <w:ilvl w:val="0"/>
                <w:numId w:val="1"/>
              </w:numPr>
              <w:ind w:left="360"/>
              <w:rPr>
                <w:sz w:val="20"/>
                <w:szCs w:val="20"/>
              </w:rPr>
            </w:pPr>
            <w:r w:rsidRPr="00BC2483">
              <w:rPr>
                <w:sz w:val="20"/>
                <w:szCs w:val="20"/>
              </w:rPr>
              <w:t>Cost Baseline</w:t>
            </w:r>
          </w:p>
        </w:tc>
        <w:tc>
          <w:tcPr>
            <w:tcW w:w="2681" w:type="dxa"/>
          </w:tcPr>
          <w:p w:rsidR="003265E8" w:rsidRPr="00BC2483" w:rsidRDefault="003265E8" w:rsidP="00EB09FD">
            <w:pPr>
              <w:rPr>
                <w:sz w:val="20"/>
                <w:szCs w:val="20"/>
              </w:rPr>
            </w:pPr>
            <w:r w:rsidRPr="00BC2483">
              <w:rPr>
                <w:sz w:val="20"/>
                <w:szCs w:val="20"/>
              </w:rPr>
              <w:t xml:space="preserve">The cost baseline is the portion of the program baseline that outlines the predicted costs of the program and when those costs will be incurred. It is used to monitor and control the overall cost performance of the program. </w:t>
            </w:r>
          </w:p>
        </w:tc>
        <w:tc>
          <w:tcPr>
            <w:tcW w:w="1694" w:type="dxa"/>
          </w:tcPr>
          <w:p w:rsidR="003265E8" w:rsidRPr="00BC2483" w:rsidRDefault="003265E8" w:rsidP="00EB09FD">
            <w:pPr>
              <w:rPr>
                <w:sz w:val="20"/>
                <w:szCs w:val="20"/>
              </w:rPr>
            </w:pPr>
            <w:r w:rsidRPr="00BC2483">
              <w:rPr>
                <w:sz w:val="20"/>
                <w:szCs w:val="20"/>
              </w:rPr>
              <w:t>Within 30 days after enactment</w:t>
            </w:r>
          </w:p>
        </w:tc>
        <w:tc>
          <w:tcPr>
            <w:tcW w:w="1345" w:type="dxa"/>
          </w:tcPr>
          <w:p w:rsidR="003265E8" w:rsidRPr="00BC2483" w:rsidRDefault="003265E8">
            <w:pPr>
              <w:rPr>
                <w:sz w:val="20"/>
                <w:szCs w:val="20"/>
              </w:rPr>
            </w:pPr>
            <w:r w:rsidRPr="00BC2483">
              <w:rPr>
                <w:sz w:val="20"/>
                <w:szCs w:val="20"/>
              </w:rPr>
              <w:t>TBD</w:t>
            </w:r>
          </w:p>
        </w:tc>
        <w:tc>
          <w:tcPr>
            <w:tcW w:w="1665" w:type="dxa"/>
          </w:tcPr>
          <w:p w:rsidR="003265E8" w:rsidRPr="00BC2483" w:rsidRDefault="003265E8" w:rsidP="00173003">
            <w:pPr>
              <w:rPr>
                <w:sz w:val="20"/>
                <w:szCs w:val="20"/>
              </w:rPr>
            </w:pPr>
            <w:r w:rsidRPr="00BC2483">
              <w:rPr>
                <w:sz w:val="20"/>
                <w:szCs w:val="20"/>
              </w:rPr>
              <w:t>John Ellsworth/Tommy Barnes</w:t>
            </w:r>
          </w:p>
          <w:p w:rsidR="003265E8" w:rsidRPr="00BC2483" w:rsidRDefault="003265E8">
            <w:pPr>
              <w:rPr>
                <w:sz w:val="20"/>
                <w:szCs w:val="20"/>
              </w:rPr>
            </w:pPr>
          </w:p>
        </w:tc>
        <w:tc>
          <w:tcPr>
            <w:tcW w:w="2164" w:type="dxa"/>
            <w:shd w:val="clear" w:color="auto" w:fill="FFFF00"/>
          </w:tcPr>
          <w:p w:rsidR="003265E8" w:rsidRPr="00BC2483" w:rsidRDefault="003265E8">
            <w:pPr>
              <w:rPr>
                <w:sz w:val="20"/>
                <w:szCs w:val="20"/>
                <w:highlight w:val="yellow"/>
              </w:rPr>
            </w:pPr>
          </w:p>
        </w:tc>
        <w:tc>
          <w:tcPr>
            <w:tcW w:w="2628" w:type="dxa"/>
            <w:shd w:val="clear" w:color="auto" w:fill="FFFF00"/>
          </w:tcPr>
          <w:p w:rsidR="003265E8" w:rsidRPr="00BC2483" w:rsidRDefault="003265E8">
            <w:pPr>
              <w:rPr>
                <w:sz w:val="20"/>
                <w:szCs w:val="20"/>
              </w:rPr>
            </w:pPr>
          </w:p>
        </w:tc>
      </w:tr>
      <w:tr w:rsidR="0040396F" w:rsidRPr="00BC2483" w:rsidTr="0040396F">
        <w:trPr>
          <w:cantSplit/>
          <w:trHeight w:val="1066"/>
          <w:jc w:val="center"/>
        </w:trPr>
        <w:tc>
          <w:tcPr>
            <w:tcW w:w="1899" w:type="dxa"/>
          </w:tcPr>
          <w:p w:rsidR="003265E8" w:rsidRPr="00BC2483" w:rsidRDefault="003265E8" w:rsidP="00A65652">
            <w:pPr>
              <w:pStyle w:val="ListParagraph"/>
              <w:numPr>
                <w:ilvl w:val="0"/>
                <w:numId w:val="1"/>
              </w:numPr>
              <w:ind w:left="360"/>
              <w:rPr>
                <w:sz w:val="20"/>
                <w:szCs w:val="20"/>
              </w:rPr>
            </w:pPr>
            <w:r w:rsidRPr="00BC2483">
              <w:rPr>
                <w:sz w:val="20"/>
                <w:szCs w:val="20"/>
              </w:rPr>
              <w:lastRenderedPageBreak/>
              <w:t>Performance Baseline</w:t>
            </w:r>
          </w:p>
        </w:tc>
        <w:tc>
          <w:tcPr>
            <w:tcW w:w="2681" w:type="dxa"/>
          </w:tcPr>
          <w:p w:rsidR="003265E8" w:rsidRPr="00BC2483" w:rsidRDefault="003265E8" w:rsidP="00EB09FD">
            <w:pPr>
              <w:rPr>
                <w:sz w:val="20"/>
                <w:szCs w:val="20"/>
              </w:rPr>
            </w:pPr>
            <w:r w:rsidRPr="00BC2483">
              <w:rPr>
                <w:sz w:val="20"/>
                <w:szCs w:val="20"/>
              </w:rPr>
              <w:t xml:space="preserve">The performance baseline is the accepted and approved program plan and its related documents. The Program baseline includes the schedule baseline, cost baseline, and scope baseline. </w:t>
            </w:r>
          </w:p>
        </w:tc>
        <w:tc>
          <w:tcPr>
            <w:tcW w:w="1694" w:type="dxa"/>
          </w:tcPr>
          <w:p w:rsidR="003265E8" w:rsidRPr="00BC2483" w:rsidRDefault="003265E8" w:rsidP="00EB09FD">
            <w:pPr>
              <w:rPr>
                <w:sz w:val="20"/>
                <w:szCs w:val="20"/>
              </w:rPr>
            </w:pPr>
            <w:r w:rsidRPr="00BC2483">
              <w:rPr>
                <w:sz w:val="20"/>
                <w:szCs w:val="20"/>
              </w:rPr>
              <w:t>Quarterly Report</w:t>
            </w:r>
          </w:p>
        </w:tc>
        <w:tc>
          <w:tcPr>
            <w:tcW w:w="1345" w:type="dxa"/>
          </w:tcPr>
          <w:p w:rsidR="003265E8" w:rsidRPr="00BC2483" w:rsidRDefault="003265E8">
            <w:pPr>
              <w:rPr>
                <w:sz w:val="20"/>
                <w:szCs w:val="20"/>
              </w:rPr>
            </w:pPr>
            <w:r w:rsidRPr="00BC2483">
              <w:rPr>
                <w:sz w:val="20"/>
                <w:szCs w:val="20"/>
              </w:rPr>
              <w:t>TBD</w:t>
            </w:r>
          </w:p>
        </w:tc>
        <w:tc>
          <w:tcPr>
            <w:tcW w:w="1665" w:type="dxa"/>
          </w:tcPr>
          <w:p w:rsidR="003265E8" w:rsidRPr="00BC2483" w:rsidRDefault="003265E8" w:rsidP="00173003">
            <w:pPr>
              <w:rPr>
                <w:sz w:val="20"/>
                <w:szCs w:val="20"/>
              </w:rPr>
            </w:pPr>
            <w:r w:rsidRPr="00BC2483">
              <w:rPr>
                <w:sz w:val="20"/>
                <w:szCs w:val="20"/>
              </w:rPr>
              <w:t>Steven Lang</w:t>
            </w:r>
          </w:p>
          <w:p w:rsidR="003265E8" w:rsidRPr="00BC2483" w:rsidRDefault="003265E8">
            <w:pPr>
              <w:rPr>
                <w:sz w:val="20"/>
                <w:szCs w:val="20"/>
              </w:rPr>
            </w:pPr>
          </w:p>
        </w:tc>
        <w:tc>
          <w:tcPr>
            <w:tcW w:w="2164" w:type="dxa"/>
            <w:shd w:val="clear" w:color="auto" w:fill="FFFF00"/>
          </w:tcPr>
          <w:p w:rsidR="003265E8" w:rsidRPr="00BC2483" w:rsidRDefault="003265E8">
            <w:pPr>
              <w:rPr>
                <w:sz w:val="20"/>
                <w:szCs w:val="20"/>
                <w:highlight w:val="yellow"/>
              </w:rPr>
            </w:pPr>
          </w:p>
        </w:tc>
        <w:tc>
          <w:tcPr>
            <w:tcW w:w="2628" w:type="dxa"/>
            <w:shd w:val="clear" w:color="auto" w:fill="FFFF00"/>
          </w:tcPr>
          <w:p w:rsidR="003265E8" w:rsidRPr="00BC2483" w:rsidRDefault="003265E8">
            <w:pPr>
              <w:rPr>
                <w:sz w:val="20"/>
                <w:szCs w:val="20"/>
              </w:rPr>
            </w:pPr>
          </w:p>
        </w:tc>
      </w:tr>
      <w:tr w:rsidR="0040396F" w:rsidRPr="00BC2483" w:rsidTr="0040396F">
        <w:trPr>
          <w:cantSplit/>
          <w:trHeight w:val="1066"/>
          <w:jc w:val="center"/>
        </w:trPr>
        <w:tc>
          <w:tcPr>
            <w:tcW w:w="1899" w:type="dxa"/>
          </w:tcPr>
          <w:p w:rsidR="003265E8" w:rsidRPr="00BC2483" w:rsidRDefault="003265E8" w:rsidP="00A65652">
            <w:pPr>
              <w:pStyle w:val="ListParagraph"/>
              <w:numPr>
                <w:ilvl w:val="0"/>
                <w:numId w:val="1"/>
              </w:numPr>
              <w:ind w:left="360"/>
              <w:rPr>
                <w:sz w:val="20"/>
                <w:szCs w:val="20"/>
              </w:rPr>
            </w:pPr>
            <w:r w:rsidRPr="00BC2483">
              <w:rPr>
                <w:sz w:val="20"/>
                <w:szCs w:val="20"/>
              </w:rPr>
              <w:t xml:space="preserve">Health IT Strategic Architecture Plan </w:t>
            </w:r>
          </w:p>
        </w:tc>
        <w:tc>
          <w:tcPr>
            <w:tcW w:w="2681" w:type="dxa"/>
          </w:tcPr>
          <w:p w:rsidR="003265E8" w:rsidRPr="00BC2483" w:rsidRDefault="003265E8" w:rsidP="00EB09FD">
            <w:pPr>
              <w:rPr>
                <w:sz w:val="20"/>
                <w:szCs w:val="20"/>
              </w:rPr>
            </w:pPr>
            <w:r w:rsidRPr="00BC2483">
              <w:rPr>
                <w:sz w:val="20"/>
                <w:szCs w:val="20"/>
              </w:rPr>
              <w:t xml:space="preserve">The EHRM Health IT Strategic Architecture Plan describes the </w:t>
            </w:r>
            <w:proofErr w:type="gramStart"/>
            <w:r w:rsidRPr="00BC2483">
              <w:rPr>
                <w:sz w:val="20"/>
                <w:szCs w:val="20"/>
              </w:rPr>
              <w:t>high level</w:t>
            </w:r>
            <w:proofErr w:type="gramEnd"/>
            <w:r w:rsidRPr="00BC2483">
              <w:rPr>
                <w:sz w:val="20"/>
                <w:szCs w:val="20"/>
              </w:rPr>
              <w:t xml:space="preserve"> strategy for EHRM implementation. Initially a </w:t>
            </w:r>
            <w:proofErr w:type="gramStart"/>
            <w:r w:rsidRPr="00BC2483">
              <w:rPr>
                <w:sz w:val="20"/>
                <w:szCs w:val="20"/>
              </w:rPr>
              <w:t>2-3 page</w:t>
            </w:r>
            <w:proofErr w:type="gramEnd"/>
            <w:r w:rsidRPr="00BC2483">
              <w:rPr>
                <w:sz w:val="20"/>
                <w:szCs w:val="20"/>
              </w:rPr>
              <w:t xml:space="preserve"> document with the conceptual diagrams showing the components, then grow into a full document. </w:t>
            </w:r>
          </w:p>
        </w:tc>
        <w:tc>
          <w:tcPr>
            <w:tcW w:w="1694" w:type="dxa"/>
          </w:tcPr>
          <w:p w:rsidR="003265E8" w:rsidRPr="00BC2483" w:rsidRDefault="003265E8">
            <w:pPr>
              <w:rPr>
                <w:sz w:val="20"/>
                <w:szCs w:val="20"/>
              </w:rPr>
            </w:pPr>
            <w:r w:rsidRPr="00BC2483">
              <w:rPr>
                <w:sz w:val="20"/>
                <w:szCs w:val="20"/>
              </w:rPr>
              <w:t>Within 30 days after enactment</w:t>
            </w:r>
          </w:p>
        </w:tc>
        <w:tc>
          <w:tcPr>
            <w:tcW w:w="1345" w:type="dxa"/>
          </w:tcPr>
          <w:p w:rsidR="003265E8" w:rsidRPr="00BC2483" w:rsidRDefault="003265E8">
            <w:pPr>
              <w:rPr>
                <w:sz w:val="20"/>
                <w:szCs w:val="20"/>
              </w:rPr>
            </w:pPr>
            <w:r w:rsidRPr="00BC2483">
              <w:rPr>
                <w:sz w:val="20"/>
                <w:szCs w:val="20"/>
              </w:rPr>
              <w:t>TBD</w:t>
            </w:r>
          </w:p>
        </w:tc>
        <w:tc>
          <w:tcPr>
            <w:tcW w:w="1665" w:type="dxa"/>
          </w:tcPr>
          <w:p w:rsidR="003265E8" w:rsidRPr="00BC2483" w:rsidRDefault="003265E8" w:rsidP="00173003">
            <w:pPr>
              <w:rPr>
                <w:sz w:val="20"/>
                <w:szCs w:val="20"/>
              </w:rPr>
            </w:pPr>
            <w:r w:rsidRPr="00BC2483">
              <w:rPr>
                <w:sz w:val="20"/>
                <w:szCs w:val="20"/>
              </w:rPr>
              <w:t>Terry Luedtke</w:t>
            </w:r>
          </w:p>
          <w:p w:rsidR="003265E8" w:rsidRPr="00BC2483" w:rsidRDefault="003265E8">
            <w:pPr>
              <w:rPr>
                <w:sz w:val="20"/>
                <w:szCs w:val="20"/>
              </w:rPr>
            </w:pPr>
          </w:p>
        </w:tc>
        <w:tc>
          <w:tcPr>
            <w:tcW w:w="2164" w:type="dxa"/>
            <w:shd w:val="clear" w:color="auto" w:fill="FFFF00"/>
          </w:tcPr>
          <w:p w:rsidR="003265E8" w:rsidRPr="00BC2483" w:rsidRDefault="003265E8">
            <w:pPr>
              <w:rPr>
                <w:sz w:val="20"/>
                <w:szCs w:val="20"/>
                <w:highlight w:val="yellow"/>
              </w:rPr>
            </w:pPr>
          </w:p>
        </w:tc>
        <w:tc>
          <w:tcPr>
            <w:tcW w:w="2628" w:type="dxa"/>
            <w:shd w:val="clear" w:color="auto" w:fill="FFFF00"/>
          </w:tcPr>
          <w:p w:rsidR="003265E8" w:rsidRPr="00BC2483" w:rsidRDefault="003265E8">
            <w:pPr>
              <w:rPr>
                <w:sz w:val="20"/>
                <w:szCs w:val="20"/>
              </w:rPr>
            </w:pPr>
          </w:p>
        </w:tc>
      </w:tr>
      <w:tr w:rsidR="0040396F" w:rsidRPr="00BC2483" w:rsidTr="0040396F">
        <w:trPr>
          <w:cantSplit/>
          <w:trHeight w:val="1337"/>
          <w:jc w:val="center"/>
        </w:trPr>
        <w:tc>
          <w:tcPr>
            <w:tcW w:w="1899" w:type="dxa"/>
          </w:tcPr>
          <w:p w:rsidR="003265E8" w:rsidRPr="00BC2483" w:rsidRDefault="003265E8" w:rsidP="00A65652">
            <w:pPr>
              <w:pStyle w:val="ListParagraph"/>
              <w:numPr>
                <w:ilvl w:val="0"/>
                <w:numId w:val="1"/>
              </w:numPr>
              <w:ind w:left="360"/>
              <w:rPr>
                <w:sz w:val="20"/>
                <w:szCs w:val="20"/>
              </w:rPr>
            </w:pPr>
            <w:r w:rsidRPr="00BC2483">
              <w:rPr>
                <w:sz w:val="20"/>
                <w:szCs w:val="20"/>
              </w:rPr>
              <w:t>Transition Plan for Implementing Updated Architecture</w:t>
            </w:r>
          </w:p>
        </w:tc>
        <w:tc>
          <w:tcPr>
            <w:tcW w:w="2681" w:type="dxa"/>
          </w:tcPr>
          <w:p w:rsidR="003265E8" w:rsidRPr="00BC2483" w:rsidRDefault="003265E8" w:rsidP="00EB09FD">
            <w:pPr>
              <w:rPr>
                <w:sz w:val="20"/>
                <w:szCs w:val="20"/>
              </w:rPr>
            </w:pPr>
            <w:r w:rsidRPr="00BC2483">
              <w:rPr>
                <w:sz w:val="20"/>
                <w:szCs w:val="20"/>
              </w:rPr>
              <w:t xml:space="preserve">Transition Plan (Pivot Plan) is an a unified EHRM-centered Plan covering the areas </w:t>
            </w:r>
            <w:proofErr w:type="gramStart"/>
            <w:r w:rsidRPr="00BC2483">
              <w:rPr>
                <w:sz w:val="20"/>
                <w:szCs w:val="20"/>
              </w:rPr>
              <w:t>of  EHRM</w:t>
            </w:r>
            <w:proofErr w:type="gramEnd"/>
            <w:r w:rsidRPr="00BC2483">
              <w:rPr>
                <w:sz w:val="20"/>
                <w:szCs w:val="20"/>
              </w:rPr>
              <w:t xml:space="preserve"> Portfolio, Strategy,  Timelines/Milestones, Budget and Personnel. </w:t>
            </w:r>
          </w:p>
        </w:tc>
        <w:tc>
          <w:tcPr>
            <w:tcW w:w="1694" w:type="dxa"/>
          </w:tcPr>
          <w:p w:rsidR="003265E8" w:rsidRPr="00BC2483" w:rsidRDefault="003265E8">
            <w:pPr>
              <w:rPr>
                <w:sz w:val="20"/>
                <w:szCs w:val="20"/>
              </w:rPr>
            </w:pPr>
            <w:r w:rsidRPr="00BC2483">
              <w:rPr>
                <w:sz w:val="20"/>
                <w:szCs w:val="20"/>
              </w:rPr>
              <w:t>Within 30 days after enactment</w:t>
            </w:r>
          </w:p>
        </w:tc>
        <w:tc>
          <w:tcPr>
            <w:tcW w:w="1345" w:type="dxa"/>
          </w:tcPr>
          <w:p w:rsidR="003265E8" w:rsidRPr="00BC2483" w:rsidRDefault="003265E8">
            <w:pPr>
              <w:rPr>
                <w:sz w:val="20"/>
                <w:szCs w:val="20"/>
              </w:rPr>
            </w:pPr>
            <w:r w:rsidRPr="00BC2483">
              <w:rPr>
                <w:sz w:val="20"/>
                <w:szCs w:val="20"/>
              </w:rPr>
              <w:t>TBD</w:t>
            </w:r>
          </w:p>
        </w:tc>
        <w:tc>
          <w:tcPr>
            <w:tcW w:w="1665" w:type="dxa"/>
          </w:tcPr>
          <w:p w:rsidR="003265E8" w:rsidRPr="00BC2483" w:rsidRDefault="003265E8" w:rsidP="00173003">
            <w:pPr>
              <w:rPr>
                <w:sz w:val="20"/>
                <w:szCs w:val="20"/>
              </w:rPr>
            </w:pPr>
            <w:r w:rsidRPr="00BC2483">
              <w:rPr>
                <w:sz w:val="20"/>
                <w:szCs w:val="20"/>
              </w:rPr>
              <w:t>Terry Luedtke</w:t>
            </w:r>
          </w:p>
          <w:p w:rsidR="003265E8" w:rsidRPr="00BC2483" w:rsidRDefault="003265E8">
            <w:pPr>
              <w:rPr>
                <w:sz w:val="20"/>
                <w:szCs w:val="20"/>
              </w:rPr>
            </w:pPr>
          </w:p>
        </w:tc>
        <w:tc>
          <w:tcPr>
            <w:tcW w:w="2164" w:type="dxa"/>
            <w:shd w:val="clear" w:color="auto" w:fill="FFFF00"/>
          </w:tcPr>
          <w:p w:rsidR="003265E8" w:rsidRPr="00BC2483" w:rsidRDefault="003265E8">
            <w:pPr>
              <w:rPr>
                <w:sz w:val="20"/>
                <w:szCs w:val="20"/>
                <w:highlight w:val="yellow"/>
              </w:rPr>
            </w:pPr>
          </w:p>
        </w:tc>
        <w:tc>
          <w:tcPr>
            <w:tcW w:w="2628" w:type="dxa"/>
            <w:shd w:val="clear" w:color="auto" w:fill="FFFF00"/>
          </w:tcPr>
          <w:p w:rsidR="003265E8" w:rsidRPr="00BC2483" w:rsidRDefault="003265E8">
            <w:pPr>
              <w:rPr>
                <w:sz w:val="20"/>
                <w:szCs w:val="20"/>
              </w:rPr>
            </w:pPr>
          </w:p>
        </w:tc>
      </w:tr>
      <w:tr w:rsidR="0040396F" w:rsidRPr="00BC2483" w:rsidTr="0040396F">
        <w:trPr>
          <w:cantSplit/>
          <w:trHeight w:val="826"/>
          <w:jc w:val="center"/>
        </w:trPr>
        <w:tc>
          <w:tcPr>
            <w:tcW w:w="1899" w:type="dxa"/>
          </w:tcPr>
          <w:p w:rsidR="003265E8" w:rsidRPr="00BC2483" w:rsidRDefault="003265E8" w:rsidP="00A65652">
            <w:pPr>
              <w:pStyle w:val="ListParagraph"/>
              <w:numPr>
                <w:ilvl w:val="0"/>
                <w:numId w:val="1"/>
              </w:numPr>
              <w:ind w:left="360"/>
              <w:rPr>
                <w:sz w:val="20"/>
                <w:szCs w:val="20"/>
              </w:rPr>
            </w:pPr>
            <w:r w:rsidRPr="00BC2483">
              <w:rPr>
                <w:sz w:val="20"/>
                <w:szCs w:val="20"/>
              </w:rPr>
              <w:t xml:space="preserve">Data Migration Plan </w:t>
            </w:r>
          </w:p>
        </w:tc>
        <w:tc>
          <w:tcPr>
            <w:tcW w:w="2681" w:type="dxa"/>
          </w:tcPr>
          <w:p w:rsidR="003265E8" w:rsidRPr="00BC2483" w:rsidRDefault="003265E8" w:rsidP="00EB09FD">
            <w:pPr>
              <w:rPr>
                <w:sz w:val="20"/>
                <w:szCs w:val="20"/>
              </w:rPr>
            </w:pPr>
            <w:r w:rsidRPr="00BC2483">
              <w:rPr>
                <w:sz w:val="20"/>
                <w:szCs w:val="20"/>
              </w:rPr>
              <w:t xml:space="preserve">The Data Migration Plan describes the process and technology to be utilized to migrate data from the VA to Cerner.  The plan will describe how data will be prioritized and migrated from the VA </w:t>
            </w:r>
            <w:proofErr w:type="spellStart"/>
            <w:r w:rsidRPr="00BC2483">
              <w:rPr>
                <w:sz w:val="20"/>
                <w:szCs w:val="20"/>
              </w:rPr>
              <w:t>VistA</w:t>
            </w:r>
            <w:proofErr w:type="spellEnd"/>
            <w:r w:rsidRPr="00BC2483">
              <w:rPr>
                <w:sz w:val="20"/>
                <w:szCs w:val="20"/>
              </w:rPr>
              <w:t xml:space="preserve"> systems to the Cerner </w:t>
            </w:r>
            <w:proofErr w:type="spellStart"/>
            <w:r w:rsidRPr="00BC2483">
              <w:rPr>
                <w:sz w:val="20"/>
                <w:szCs w:val="20"/>
              </w:rPr>
              <w:t>HealtheIntent</w:t>
            </w:r>
            <w:proofErr w:type="spellEnd"/>
            <w:r w:rsidRPr="00BC2483">
              <w:rPr>
                <w:sz w:val="20"/>
                <w:szCs w:val="20"/>
              </w:rPr>
              <w:t xml:space="preserve"> Platform which will in-turn be used to populate the Millennium </w:t>
            </w:r>
            <w:proofErr w:type="gramStart"/>
            <w:r w:rsidRPr="00BC2483">
              <w:rPr>
                <w:sz w:val="20"/>
                <w:szCs w:val="20"/>
              </w:rPr>
              <w:t>EHR  platform</w:t>
            </w:r>
            <w:proofErr w:type="gramEnd"/>
            <w:r w:rsidRPr="00BC2483">
              <w:rPr>
                <w:sz w:val="20"/>
                <w:szCs w:val="20"/>
              </w:rPr>
              <w:t>.</w:t>
            </w:r>
          </w:p>
        </w:tc>
        <w:tc>
          <w:tcPr>
            <w:tcW w:w="1694" w:type="dxa"/>
          </w:tcPr>
          <w:p w:rsidR="003265E8" w:rsidRPr="00BC2483" w:rsidRDefault="003265E8">
            <w:pPr>
              <w:rPr>
                <w:sz w:val="20"/>
                <w:szCs w:val="20"/>
              </w:rPr>
            </w:pPr>
            <w:r w:rsidRPr="00BC2483">
              <w:rPr>
                <w:sz w:val="20"/>
                <w:szCs w:val="20"/>
              </w:rPr>
              <w:t>Within 30 days after enactment</w:t>
            </w:r>
          </w:p>
        </w:tc>
        <w:tc>
          <w:tcPr>
            <w:tcW w:w="1345" w:type="dxa"/>
          </w:tcPr>
          <w:p w:rsidR="003265E8" w:rsidRPr="00BC2483" w:rsidRDefault="003265E8">
            <w:pPr>
              <w:rPr>
                <w:sz w:val="20"/>
                <w:szCs w:val="20"/>
              </w:rPr>
            </w:pPr>
            <w:r w:rsidRPr="00BC2483">
              <w:rPr>
                <w:sz w:val="20"/>
                <w:szCs w:val="20"/>
              </w:rPr>
              <w:t>TBD</w:t>
            </w:r>
          </w:p>
        </w:tc>
        <w:tc>
          <w:tcPr>
            <w:tcW w:w="1665" w:type="dxa"/>
          </w:tcPr>
          <w:p w:rsidR="003265E8" w:rsidRPr="00BC2483" w:rsidRDefault="003265E8" w:rsidP="008E7450">
            <w:pPr>
              <w:rPr>
                <w:sz w:val="20"/>
                <w:szCs w:val="20"/>
              </w:rPr>
            </w:pPr>
            <w:r w:rsidRPr="00BC2483">
              <w:rPr>
                <w:sz w:val="20"/>
                <w:szCs w:val="20"/>
              </w:rPr>
              <w:t>Jack Bates</w:t>
            </w:r>
          </w:p>
          <w:p w:rsidR="003265E8" w:rsidRPr="00BC2483" w:rsidRDefault="003265E8">
            <w:pPr>
              <w:rPr>
                <w:sz w:val="20"/>
                <w:szCs w:val="20"/>
              </w:rPr>
            </w:pPr>
          </w:p>
        </w:tc>
        <w:tc>
          <w:tcPr>
            <w:tcW w:w="2164" w:type="dxa"/>
            <w:shd w:val="clear" w:color="auto" w:fill="FFFF00"/>
          </w:tcPr>
          <w:p w:rsidR="003265E8" w:rsidRPr="00BC2483" w:rsidRDefault="003265E8">
            <w:pPr>
              <w:rPr>
                <w:sz w:val="20"/>
                <w:szCs w:val="20"/>
                <w:highlight w:val="yellow"/>
              </w:rPr>
            </w:pPr>
          </w:p>
        </w:tc>
        <w:tc>
          <w:tcPr>
            <w:tcW w:w="2628" w:type="dxa"/>
            <w:shd w:val="clear" w:color="auto" w:fill="FFFF00"/>
          </w:tcPr>
          <w:p w:rsidR="003265E8" w:rsidRPr="00BC2483" w:rsidRDefault="003265E8">
            <w:pPr>
              <w:rPr>
                <w:sz w:val="20"/>
                <w:szCs w:val="20"/>
              </w:rPr>
            </w:pPr>
          </w:p>
        </w:tc>
      </w:tr>
      <w:tr w:rsidR="0040396F" w:rsidRPr="00BC2483" w:rsidTr="0040396F">
        <w:trPr>
          <w:cantSplit/>
          <w:trHeight w:val="144"/>
          <w:jc w:val="center"/>
        </w:trPr>
        <w:tc>
          <w:tcPr>
            <w:tcW w:w="1899" w:type="dxa"/>
          </w:tcPr>
          <w:p w:rsidR="003265E8" w:rsidRPr="00BC2483" w:rsidRDefault="003265E8" w:rsidP="00A65652">
            <w:pPr>
              <w:pStyle w:val="ListParagraph"/>
              <w:numPr>
                <w:ilvl w:val="0"/>
                <w:numId w:val="1"/>
              </w:numPr>
              <w:ind w:left="360"/>
              <w:rPr>
                <w:sz w:val="20"/>
                <w:szCs w:val="20"/>
              </w:rPr>
            </w:pPr>
            <w:r w:rsidRPr="00BC2483">
              <w:rPr>
                <w:strike/>
                <w:color w:val="FF0000"/>
                <w:sz w:val="20"/>
                <w:szCs w:val="20"/>
              </w:rPr>
              <w:lastRenderedPageBreak/>
              <w:t xml:space="preserve">System and Data Security Plan </w:t>
            </w:r>
            <w:r w:rsidRPr="00BC2483">
              <w:rPr>
                <w:sz w:val="20"/>
                <w:szCs w:val="20"/>
              </w:rPr>
              <w:t>- VA EHRM Information Assurance (IA) security strategy</w:t>
            </w:r>
          </w:p>
        </w:tc>
        <w:tc>
          <w:tcPr>
            <w:tcW w:w="2681" w:type="dxa"/>
          </w:tcPr>
          <w:p w:rsidR="003265E8" w:rsidRPr="00BC2483" w:rsidRDefault="003265E8" w:rsidP="00EB09FD">
            <w:pPr>
              <w:rPr>
                <w:sz w:val="20"/>
                <w:szCs w:val="20"/>
              </w:rPr>
            </w:pPr>
            <w:r w:rsidRPr="00BC2483">
              <w:rPr>
                <w:sz w:val="20"/>
                <w:szCs w:val="20"/>
              </w:rPr>
              <w:t xml:space="preserve">The VA EHRM Information Assurance (IA) security strategy is still under development, modeled off the IPO </w:t>
            </w:r>
            <w:proofErr w:type="spellStart"/>
            <w:r w:rsidRPr="00BC2483">
              <w:rPr>
                <w:sz w:val="20"/>
                <w:szCs w:val="20"/>
              </w:rPr>
              <w:t>iEHR</w:t>
            </w:r>
            <w:proofErr w:type="spellEnd"/>
            <w:r w:rsidRPr="00BC2483">
              <w:rPr>
                <w:sz w:val="20"/>
                <w:szCs w:val="20"/>
              </w:rPr>
              <w:t xml:space="preserve"> IAS and DHMSM Master Plan.  VA EHRM IA program will develop capabilities to support DHMSM Cybersecurity efforts and coordinate joint requirements through IPO.  DoD granted the authority-to-operate for MHS GENESIS (joint EHR system) and maintains the authorization package/security plan in e-MASS (DoD GRC tool).    Interagency VA/DoD information assurance strategies will govern the activities of both agencies post-IOC to manage all continuous monitoring activities of the system.</w:t>
            </w:r>
          </w:p>
        </w:tc>
        <w:tc>
          <w:tcPr>
            <w:tcW w:w="1694" w:type="dxa"/>
          </w:tcPr>
          <w:p w:rsidR="003265E8" w:rsidRPr="00BC2483" w:rsidRDefault="003265E8">
            <w:pPr>
              <w:rPr>
                <w:sz w:val="20"/>
                <w:szCs w:val="20"/>
              </w:rPr>
            </w:pPr>
            <w:r w:rsidRPr="00BC2483">
              <w:rPr>
                <w:sz w:val="20"/>
                <w:szCs w:val="20"/>
              </w:rPr>
              <w:t>Within 30 days after enactment</w:t>
            </w:r>
          </w:p>
        </w:tc>
        <w:tc>
          <w:tcPr>
            <w:tcW w:w="1345" w:type="dxa"/>
          </w:tcPr>
          <w:p w:rsidR="003265E8" w:rsidRPr="00BC2483" w:rsidRDefault="003265E8">
            <w:pPr>
              <w:rPr>
                <w:sz w:val="20"/>
                <w:szCs w:val="20"/>
              </w:rPr>
            </w:pPr>
            <w:r w:rsidRPr="00BC2483">
              <w:rPr>
                <w:sz w:val="20"/>
                <w:szCs w:val="20"/>
              </w:rPr>
              <w:t>TBD</w:t>
            </w:r>
          </w:p>
        </w:tc>
        <w:tc>
          <w:tcPr>
            <w:tcW w:w="1665" w:type="dxa"/>
          </w:tcPr>
          <w:p w:rsidR="003265E8" w:rsidRPr="00BC2483" w:rsidRDefault="003265E8" w:rsidP="0011210A">
            <w:pPr>
              <w:rPr>
                <w:sz w:val="20"/>
                <w:szCs w:val="20"/>
              </w:rPr>
            </w:pPr>
            <w:r w:rsidRPr="00BC2483">
              <w:rPr>
                <w:sz w:val="20"/>
                <w:szCs w:val="20"/>
              </w:rPr>
              <w:t xml:space="preserve">Casey </w:t>
            </w:r>
            <w:proofErr w:type="spellStart"/>
            <w:r w:rsidRPr="00BC2483">
              <w:rPr>
                <w:sz w:val="20"/>
                <w:szCs w:val="20"/>
              </w:rPr>
              <w:t>Johle</w:t>
            </w:r>
            <w:proofErr w:type="spellEnd"/>
          </w:p>
          <w:p w:rsidR="003265E8" w:rsidRPr="00BC2483" w:rsidRDefault="003265E8">
            <w:pPr>
              <w:rPr>
                <w:sz w:val="20"/>
                <w:szCs w:val="20"/>
              </w:rPr>
            </w:pPr>
          </w:p>
        </w:tc>
        <w:tc>
          <w:tcPr>
            <w:tcW w:w="2164" w:type="dxa"/>
            <w:shd w:val="clear" w:color="auto" w:fill="FFFF00"/>
          </w:tcPr>
          <w:p w:rsidR="003265E8" w:rsidRPr="00BC2483" w:rsidRDefault="003265E8">
            <w:pPr>
              <w:rPr>
                <w:sz w:val="20"/>
                <w:szCs w:val="20"/>
                <w:highlight w:val="yellow"/>
              </w:rPr>
            </w:pPr>
          </w:p>
        </w:tc>
        <w:tc>
          <w:tcPr>
            <w:tcW w:w="2628" w:type="dxa"/>
            <w:shd w:val="clear" w:color="auto" w:fill="FFFF00"/>
          </w:tcPr>
          <w:p w:rsidR="003265E8" w:rsidRPr="00BC2483" w:rsidRDefault="003265E8">
            <w:pPr>
              <w:rPr>
                <w:sz w:val="20"/>
                <w:szCs w:val="20"/>
              </w:rPr>
            </w:pPr>
          </w:p>
        </w:tc>
      </w:tr>
      <w:tr w:rsidR="0040396F" w:rsidRPr="00BC2483" w:rsidTr="0040396F">
        <w:trPr>
          <w:cantSplit/>
          <w:trHeight w:val="144"/>
          <w:jc w:val="center"/>
        </w:trPr>
        <w:tc>
          <w:tcPr>
            <w:tcW w:w="1899" w:type="dxa"/>
          </w:tcPr>
          <w:p w:rsidR="003265E8" w:rsidRPr="00BC2483" w:rsidRDefault="003265E8" w:rsidP="00A65652">
            <w:pPr>
              <w:pStyle w:val="ListParagraph"/>
              <w:numPr>
                <w:ilvl w:val="0"/>
                <w:numId w:val="1"/>
              </w:numPr>
              <w:ind w:left="360"/>
              <w:rPr>
                <w:sz w:val="20"/>
                <w:szCs w:val="20"/>
              </w:rPr>
            </w:pPr>
            <w:r w:rsidRPr="00BC2483">
              <w:rPr>
                <w:sz w:val="20"/>
                <w:szCs w:val="20"/>
              </w:rPr>
              <w:t xml:space="preserve">Application </w:t>
            </w:r>
            <w:proofErr w:type="gramStart"/>
            <w:r w:rsidRPr="00BC2483">
              <w:rPr>
                <w:strike/>
                <w:color w:val="FF0000"/>
                <w:sz w:val="20"/>
                <w:szCs w:val="20"/>
              </w:rPr>
              <w:t xml:space="preserve">Implementation </w:t>
            </w:r>
            <w:r w:rsidRPr="00BC2483">
              <w:rPr>
                <w:sz w:val="20"/>
                <w:szCs w:val="20"/>
              </w:rPr>
              <w:t xml:space="preserve"> Migration</w:t>
            </w:r>
            <w:proofErr w:type="gramEnd"/>
            <w:r w:rsidRPr="00BC2483">
              <w:rPr>
                <w:sz w:val="20"/>
                <w:szCs w:val="20"/>
              </w:rPr>
              <w:t xml:space="preserve"> Plan </w:t>
            </w:r>
          </w:p>
        </w:tc>
        <w:tc>
          <w:tcPr>
            <w:tcW w:w="2681" w:type="dxa"/>
          </w:tcPr>
          <w:p w:rsidR="003265E8" w:rsidRPr="00BC2483" w:rsidRDefault="003265E8" w:rsidP="00EB09FD">
            <w:pPr>
              <w:rPr>
                <w:sz w:val="20"/>
                <w:szCs w:val="20"/>
              </w:rPr>
            </w:pPr>
            <w:r w:rsidRPr="00BC2483">
              <w:rPr>
                <w:sz w:val="20"/>
                <w:szCs w:val="20"/>
              </w:rPr>
              <w:t>The Application Migration Plan depicts the migration of each component of VA’s Electronic Health Record (EHR) to the commercial products which will replace them. This document will be updated quarterly until finalized to accurately reflect the planned migration.</w:t>
            </w:r>
          </w:p>
        </w:tc>
        <w:tc>
          <w:tcPr>
            <w:tcW w:w="1694" w:type="dxa"/>
          </w:tcPr>
          <w:p w:rsidR="003265E8" w:rsidRPr="00BC2483" w:rsidRDefault="003265E8" w:rsidP="00EB09FD">
            <w:pPr>
              <w:rPr>
                <w:sz w:val="20"/>
                <w:szCs w:val="20"/>
              </w:rPr>
            </w:pPr>
          </w:p>
        </w:tc>
        <w:tc>
          <w:tcPr>
            <w:tcW w:w="1345" w:type="dxa"/>
          </w:tcPr>
          <w:p w:rsidR="003265E8" w:rsidRPr="00BC2483" w:rsidRDefault="003265E8">
            <w:pPr>
              <w:rPr>
                <w:sz w:val="20"/>
                <w:szCs w:val="20"/>
              </w:rPr>
            </w:pPr>
            <w:r w:rsidRPr="00BC2483">
              <w:rPr>
                <w:sz w:val="20"/>
                <w:szCs w:val="20"/>
              </w:rPr>
              <w:t>TBD</w:t>
            </w:r>
          </w:p>
        </w:tc>
        <w:tc>
          <w:tcPr>
            <w:tcW w:w="1665" w:type="dxa"/>
          </w:tcPr>
          <w:p w:rsidR="003265E8" w:rsidRPr="00BC2483" w:rsidRDefault="003265E8" w:rsidP="00A374AB">
            <w:pPr>
              <w:rPr>
                <w:sz w:val="20"/>
                <w:szCs w:val="20"/>
              </w:rPr>
            </w:pPr>
            <w:r w:rsidRPr="00BC2483">
              <w:rPr>
                <w:sz w:val="20"/>
                <w:szCs w:val="20"/>
              </w:rPr>
              <w:t>Dan Carroll</w:t>
            </w:r>
          </w:p>
          <w:p w:rsidR="003265E8" w:rsidRPr="00BC2483" w:rsidRDefault="003265E8">
            <w:pPr>
              <w:rPr>
                <w:sz w:val="20"/>
                <w:szCs w:val="20"/>
              </w:rPr>
            </w:pPr>
          </w:p>
        </w:tc>
        <w:tc>
          <w:tcPr>
            <w:tcW w:w="2164" w:type="dxa"/>
            <w:shd w:val="clear" w:color="auto" w:fill="FFFF00"/>
          </w:tcPr>
          <w:p w:rsidR="003265E8" w:rsidRPr="00BC2483" w:rsidRDefault="003265E8">
            <w:pPr>
              <w:rPr>
                <w:sz w:val="20"/>
                <w:szCs w:val="20"/>
                <w:highlight w:val="yellow"/>
              </w:rPr>
            </w:pPr>
          </w:p>
        </w:tc>
        <w:tc>
          <w:tcPr>
            <w:tcW w:w="2628" w:type="dxa"/>
            <w:shd w:val="clear" w:color="auto" w:fill="FFFF00"/>
          </w:tcPr>
          <w:p w:rsidR="003265E8" w:rsidRPr="00BC2483" w:rsidRDefault="003265E8">
            <w:pPr>
              <w:rPr>
                <w:sz w:val="20"/>
                <w:szCs w:val="20"/>
              </w:rPr>
            </w:pPr>
          </w:p>
        </w:tc>
      </w:tr>
      <w:tr w:rsidR="0040396F" w:rsidRPr="00BC2483" w:rsidTr="0040396F">
        <w:trPr>
          <w:cantSplit/>
          <w:trHeight w:val="144"/>
          <w:jc w:val="center"/>
        </w:trPr>
        <w:tc>
          <w:tcPr>
            <w:tcW w:w="1899" w:type="dxa"/>
          </w:tcPr>
          <w:p w:rsidR="003265E8" w:rsidRPr="00BC2483" w:rsidRDefault="003265E8" w:rsidP="00A65652">
            <w:pPr>
              <w:pStyle w:val="ListParagraph"/>
              <w:numPr>
                <w:ilvl w:val="0"/>
                <w:numId w:val="1"/>
              </w:numPr>
              <w:ind w:left="360"/>
              <w:rPr>
                <w:sz w:val="20"/>
                <w:szCs w:val="20"/>
              </w:rPr>
            </w:pPr>
            <w:r w:rsidRPr="00BC2483">
              <w:rPr>
                <w:sz w:val="20"/>
                <w:szCs w:val="20"/>
              </w:rPr>
              <w:lastRenderedPageBreak/>
              <w:t>System Design Documents</w:t>
            </w:r>
          </w:p>
        </w:tc>
        <w:tc>
          <w:tcPr>
            <w:tcW w:w="2681" w:type="dxa"/>
          </w:tcPr>
          <w:p w:rsidR="003265E8" w:rsidRPr="00BC2483" w:rsidRDefault="003265E8" w:rsidP="00EB09FD">
            <w:pPr>
              <w:rPr>
                <w:sz w:val="20"/>
                <w:szCs w:val="20"/>
              </w:rPr>
            </w:pPr>
            <w:r w:rsidRPr="00BC2483">
              <w:rPr>
                <w:color w:val="FF0000"/>
                <w:sz w:val="20"/>
                <w:szCs w:val="20"/>
              </w:rPr>
              <w:t>Missing</w:t>
            </w:r>
          </w:p>
        </w:tc>
        <w:tc>
          <w:tcPr>
            <w:tcW w:w="1694" w:type="dxa"/>
          </w:tcPr>
          <w:p w:rsidR="003265E8" w:rsidRPr="00BC2483" w:rsidRDefault="003265E8" w:rsidP="00EB09FD">
            <w:pPr>
              <w:rPr>
                <w:color w:val="FF0000"/>
                <w:sz w:val="20"/>
                <w:szCs w:val="20"/>
              </w:rPr>
            </w:pPr>
            <w:r w:rsidRPr="00BC2483">
              <w:rPr>
                <w:sz w:val="20"/>
                <w:szCs w:val="20"/>
              </w:rPr>
              <w:t>Within 30 days after enactment</w:t>
            </w:r>
          </w:p>
        </w:tc>
        <w:tc>
          <w:tcPr>
            <w:tcW w:w="1345" w:type="dxa"/>
          </w:tcPr>
          <w:p w:rsidR="003265E8" w:rsidRPr="00BC2483" w:rsidRDefault="003265E8">
            <w:pPr>
              <w:rPr>
                <w:sz w:val="20"/>
                <w:szCs w:val="20"/>
              </w:rPr>
            </w:pPr>
            <w:r w:rsidRPr="00BC2483">
              <w:rPr>
                <w:sz w:val="20"/>
                <w:szCs w:val="20"/>
              </w:rPr>
              <w:t>TBD</w:t>
            </w:r>
          </w:p>
        </w:tc>
        <w:tc>
          <w:tcPr>
            <w:tcW w:w="1665" w:type="dxa"/>
          </w:tcPr>
          <w:p w:rsidR="003265E8" w:rsidRPr="00BC2483" w:rsidRDefault="003265E8" w:rsidP="00A374AB">
            <w:pPr>
              <w:rPr>
                <w:sz w:val="20"/>
                <w:szCs w:val="20"/>
              </w:rPr>
            </w:pPr>
            <w:r w:rsidRPr="00BC2483">
              <w:rPr>
                <w:sz w:val="20"/>
                <w:szCs w:val="20"/>
              </w:rPr>
              <w:t>CTO Leads</w:t>
            </w:r>
          </w:p>
          <w:p w:rsidR="003265E8" w:rsidRPr="00BC2483" w:rsidRDefault="003265E8">
            <w:pPr>
              <w:rPr>
                <w:sz w:val="20"/>
                <w:szCs w:val="20"/>
              </w:rPr>
            </w:pPr>
          </w:p>
        </w:tc>
        <w:tc>
          <w:tcPr>
            <w:tcW w:w="2164" w:type="dxa"/>
            <w:shd w:val="clear" w:color="auto" w:fill="FFFF00"/>
          </w:tcPr>
          <w:p w:rsidR="003265E8" w:rsidRPr="00BC2483" w:rsidRDefault="003265E8">
            <w:pPr>
              <w:rPr>
                <w:sz w:val="20"/>
                <w:szCs w:val="20"/>
                <w:highlight w:val="yellow"/>
              </w:rPr>
            </w:pPr>
          </w:p>
        </w:tc>
        <w:tc>
          <w:tcPr>
            <w:tcW w:w="2628" w:type="dxa"/>
            <w:shd w:val="clear" w:color="auto" w:fill="FFFF00"/>
          </w:tcPr>
          <w:p w:rsidR="003265E8" w:rsidRPr="00BC2483" w:rsidRDefault="003265E8">
            <w:pPr>
              <w:rPr>
                <w:sz w:val="20"/>
                <w:szCs w:val="20"/>
              </w:rPr>
            </w:pPr>
          </w:p>
        </w:tc>
      </w:tr>
      <w:tr w:rsidR="0040396F" w:rsidRPr="00BC2483" w:rsidTr="0040396F">
        <w:trPr>
          <w:cantSplit/>
          <w:trHeight w:val="144"/>
          <w:jc w:val="center"/>
        </w:trPr>
        <w:tc>
          <w:tcPr>
            <w:tcW w:w="1899" w:type="dxa"/>
          </w:tcPr>
          <w:p w:rsidR="003265E8" w:rsidRPr="00BC2483" w:rsidRDefault="003265E8" w:rsidP="00A65652">
            <w:pPr>
              <w:pStyle w:val="ListParagraph"/>
              <w:numPr>
                <w:ilvl w:val="0"/>
                <w:numId w:val="1"/>
              </w:numPr>
              <w:ind w:left="360"/>
              <w:rPr>
                <w:sz w:val="20"/>
                <w:szCs w:val="20"/>
              </w:rPr>
            </w:pPr>
            <w:r w:rsidRPr="00BC2483">
              <w:rPr>
                <w:sz w:val="20"/>
                <w:szCs w:val="20"/>
              </w:rPr>
              <w:t xml:space="preserve">Legacy </w:t>
            </w:r>
            <w:proofErr w:type="spellStart"/>
            <w:r w:rsidRPr="00BC2483">
              <w:rPr>
                <w:sz w:val="20"/>
                <w:szCs w:val="20"/>
              </w:rPr>
              <w:t>VistA</w:t>
            </w:r>
            <w:proofErr w:type="spellEnd"/>
            <w:r w:rsidRPr="00BC2483">
              <w:rPr>
                <w:sz w:val="20"/>
                <w:szCs w:val="20"/>
              </w:rPr>
              <w:t xml:space="preserve"> Standardization, Security Enhancement, and Project Plan </w:t>
            </w:r>
            <w:bookmarkStart w:id="0" w:name="_GoBack"/>
            <w:bookmarkEnd w:id="0"/>
          </w:p>
        </w:tc>
        <w:tc>
          <w:tcPr>
            <w:tcW w:w="2681" w:type="dxa"/>
          </w:tcPr>
          <w:p w:rsidR="003265E8" w:rsidRPr="00BC2483" w:rsidRDefault="003265E8" w:rsidP="00EB09FD">
            <w:pPr>
              <w:rPr>
                <w:sz w:val="20"/>
                <w:szCs w:val="20"/>
              </w:rPr>
            </w:pPr>
            <w:r w:rsidRPr="00BC2483">
              <w:rPr>
                <w:color w:val="FF0000"/>
                <w:sz w:val="20"/>
                <w:szCs w:val="20"/>
              </w:rPr>
              <w:t>Missing</w:t>
            </w:r>
          </w:p>
        </w:tc>
        <w:tc>
          <w:tcPr>
            <w:tcW w:w="1694" w:type="dxa"/>
          </w:tcPr>
          <w:p w:rsidR="003265E8" w:rsidRPr="00BC2483" w:rsidRDefault="003265E8" w:rsidP="00EB09FD">
            <w:pPr>
              <w:rPr>
                <w:color w:val="FF0000"/>
                <w:sz w:val="20"/>
                <w:szCs w:val="20"/>
              </w:rPr>
            </w:pPr>
            <w:r w:rsidRPr="00BC2483">
              <w:rPr>
                <w:sz w:val="20"/>
                <w:szCs w:val="20"/>
              </w:rPr>
              <w:t>Within 30 days after enactment</w:t>
            </w:r>
          </w:p>
        </w:tc>
        <w:tc>
          <w:tcPr>
            <w:tcW w:w="1345" w:type="dxa"/>
          </w:tcPr>
          <w:p w:rsidR="003265E8" w:rsidRPr="00BC2483" w:rsidRDefault="003265E8">
            <w:pPr>
              <w:rPr>
                <w:sz w:val="20"/>
                <w:szCs w:val="20"/>
              </w:rPr>
            </w:pPr>
            <w:r w:rsidRPr="00BC2483">
              <w:rPr>
                <w:sz w:val="20"/>
                <w:szCs w:val="20"/>
              </w:rPr>
              <w:t>TBD</w:t>
            </w:r>
          </w:p>
        </w:tc>
        <w:tc>
          <w:tcPr>
            <w:tcW w:w="1665" w:type="dxa"/>
          </w:tcPr>
          <w:p w:rsidR="003265E8" w:rsidRPr="00BC2483" w:rsidRDefault="003265E8" w:rsidP="00A374AB">
            <w:pPr>
              <w:rPr>
                <w:sz w:val="20"/>
                <w:szCs w:val="20"/>
              </w:rPr>
            </w:pPr>
            <w:r w:rsidRPr="00BC2483">
              <w:rPr>
                <w:sz w:val="20"/>
                <w:szCs w:val="20"/>
              </w:rPr>
              <w:t>Randy Brown/Dick Rickard</w:t>
            </w:r>
          </w:p>
          <w:p w:rsidR="003265E8" w:rsidRPr="00BC2483" w:rsidRDefault="003265E8">
            <w:pPr>
              <w:rPr>
                <w:sz w:val="20"/>
                <w:szCs w:val="20"/>
              </w:rPr>
            </w:pPr>
          </w:p>
        </w:tc>
        <w:tc>
          <w:tcPr>
            <w:tcW w:w="2164" w:type="dxa"/>
            <w:shd w:val="clear" w:color="auto" w:fill="FFFF00"/>
          </w:tcPr>
          <w:p w:rsidR="003265E8" w:rsidRPr="00BC2483" w:rsidRDefault="003265E8">
            <w:pPr>
              <w:rPr>
                <w:sz w:val="20"/>
                <w:szCs w:val="20"/>
                <w:highlight w:val="yellow"/>
              </w:rPr>
            </w:pPr>
          </w:p>
        </w:tc>
        <w:tc>
          <w:tcPr>
            <w:tcW w:w="2628" w:type="dxa"/>
            <w:shd w:val="clear" w:color="auto" w:fill="FFFF00"/>
          </w:tcPr>
          <w:p w:rsidR="003265E8" w:rsidRPr="00BC2483" w:rsidRDefault="003265E8">
            <w:pPr>
              <w:rPr>
                <w:sz w:val="20"/>
                <w:szCs w:val="20"/>
              </w:rPr>
            </w:pPr>
          </w:p>
        </w:tc>
      </w:tr>
      <w:tr w:rsidR="0040396F" w:rsidRPr="00BC2483" w:rsidTr="0040396F">
        <w:trPr>
          <w:cantSplit/>
          <w:trHeight w:val="144"/>
          <w:jc w:val="center"/>
        </w:trPr>
        <w:tc>
          <w:tcPr>
            <w:tcW w:w="1899" w:type="dxa"/>
          </w:tcPr>
          <w:p w:rsidR="003265E8" w:rsidRPr="00BC2483" w:rsidRDefault="003265E8" w:rsidP="00A65652">
            <w:pPr>
              <w:pStyle w:val="ListParagraph"/>
              <w:numPr>
                <w:ilvl w:val="0"/>
                <w:numId w:val="1"/>
              </w:numPr>
              <w:ind w:left="360"/>
              <w:rPr>
                <w:sz w:val="20"/>
                <w:szCs w:val="20"/>
              </w:rPr>
            </w:pPr>
            <w:r w:rsidRPr="00BC2483">
              <w:rPr>
                <w:sz w:val="20"/>
                <w:szCs w:val="20"/>
              </w:rPr>
              <w:t xml:space="preserve">Health Data Interoperability Management Plan </w:t>
            </w:r>
          </w:p>
        </w:tc>
        <w:tc>
          <w:tcPr>
            <w:tcW w:w="2681" w:type="dxa"/>
          </w:tcPr>
          <w:p w:rsidR="003265E8" w:rsidRPr="00BC2483" w:rsidRDefault="003265E8" w:rsidP="00EB09FD">
            <w:pPr>
              <w:rPr>
                <w:sz w:val="20"/>
                <w:szCs w:val="20"/>
              </w:rPr>
            </w:pPr>
            <w:r w:rsidRPr="00BC2483">
              <w:rPr>
                <w:sz w:val="20"/>
                <w:szCs w:val="20"/>
              </w:rPr>
              <w:t>The HDIMP outlines the strategy, guidance, roles, responsibilities, and activities of the IPO that are necessary to achieve and improve health data exchange and terminology standardization for the electronic health records (EHRs) of the Departments and other government and non-government partners.   The document is released annually.  Major changes to the (EHRs) of one or more department, other government entity or non-government partner that are in finalized and approved state may necessitate updates to the document prior to an annual release.</w:t>
            </w:r>
          </w:p>
        </w:tc>
        <w:tc>
          <w:tcPr>
            <w:tcW w:w="1694" w:type="dxa"/>
          </w:tcPr>
          <w:p w:rsidR="003265E8" w:rsidRPr="00BC2483" w:rsidRDefault="003265E8">
            <w:pPr>
              <w:rPr>
                <w:sz w:val="20"/>
                <w:szCs w:val="20"/>
              </w:rPr>
            </w:pPr>
            <w:r w:rsidRPr="00BC2483">
              <w:rPr>
                <w:sz w:val="20"/>
                <w:szCs w:val="20"/>
              </w:rPr>
              <w:t>Within 30 days after enactment</w:t>
            </w:r>
          </w:p>
        </w:tc>
        <w:tc>
          <w:tcPr>
            <w:tcW w:w="1345" w:type="dxa"/>
          </w:tcPr>
          <w:p w:rsidR="003265E8" w:rsidRPr="00BC2483" w:rsidRDefault="003265E8">
            <w:pPr>
              <w:rPr>
                <w:sz w:val="20"/>
                <w:szCs w:val="20"/>
              </w:rPr>
            </w:pPr>
            <w:r w:rsidRPr="00BC2483">
              <w:rPr>
                <w:sz w:val="20"/>
                <w:szCs w:val="20"/>
              </w:rPr>
              <w:t>TBD</w:t>
            </w:r>
          </w:p>
        </w:tc>
        <w:tc>
          <w:tcPr>
            <w:tcW w:w="1665" w:type="dxa"/>
          </w:tcPr>
          <w:p w:rsidR="003265E8" w:rsidRPr="00BC2483" w:rsidRDefault="003265E8" w:rsidP="00A374AB">
            <w:pPr>
              <w:rPr>
                <w:sz w:val="20"/>
                <w:szCs w:val="20"/>
              </w:rPr>
            </w:pPr>
            <w:r w:rsidRPr="00BC2483">
              <w:rPr>
                <w:sz w:val="20"/>
                <w:szCs w:val="20"/>
              </w:rPr>
              <w:t>John Burke (IPO)</w:t>
            </w:r>
          </w:p>
          <w:p w:rsidR="003265E8" w:rsidRPr="00BC2483" w:rsidRDefault="003265E8">
            <w:pPr>
              <w:rPr>
                <w:sz w:val="20"/>
                <w:szCs w:val="20"/>
              </w:rPr>
            </w:pPr>
          </w:p>
        </w:tc>
        <w:tc>
          <w:tcPr>
            <w:tcW w:w="2164" w:type="dxa"/>
            <w:shd w:val="clear" w:color="auto" w:fill="FFFF00"/>
          </w:tcPr>
          <w:p w:rsidR="003265E8" w:rsidRPr="00BC2483" w:rsidRDefault="003265E8">
            <w:pPr>
              <w:rPr>
                <w:sz w:val="20"/>
                <w:szCs w:val="20"/>
                <w:highlight w:val="yellow"/>
              </w:rPr>
            </w:pPr>
          </w:p>
        </w:tc>
        <w:tc>
          <w:tcPr>
            <w:tcW w:w="2628" w:type="dxa"/>
            <w:shd w:val="clear" w:color="auto" w:fill="FFFF00"/>
          </w:tcPr>
          <w:p w:rsidR="003265E8" w:rsidRPr="00BC2483" w:rsidRDefault="003265E8">
            <w:pPr>
              <w:rPr>
                <w:sz w:val="20"/>
                <w:szCs w:val="20"/>
              </w:rPr>
            </w:pPr>
          </w:p>
        </w:tc>
      </w:tr>
      <w:tr w:rsidR="0040396F" w:rsidRPr="00BC2483" w:rsidTr="0040396F">
        <w:trPr>
          <w:cantSplit/>
          <w:trHeight w:val="144"/>
          <w:jc w:val="center"/>
        </w:trPr>
        <w:tc>
          <w:tcPr>
            <w:tcW w:w="1899" w:type="dxa"/>
          </w:tcPr>
          <w:p w:rsidR="003265E8" w:rsidRPr="00BC2483" w:rsidRDefault="003265E8" w:rsidP="00A65652">
            <w:pPr>
              <w:pStyle w:val="ListParagraph"/>
              <w:numPr>
                <w:ilvl w:val="0"/>
                <w:numId w:val="1"/>
              </w:numPr>
              <w:ind w:left="360"/>
              <w:rPr>
                <w:sz w:val="20"/>
                <w:szCs w:val="20"/>
              </w:rPr>
            </w:pPr>
            <w:r w:rsidRPr="00BC2483">
              <w:rPr>
                <w:sz w:val="20"/>
                <w:szCs w:val="20"/>
              </w:rPr>
              <w:t xml:space="preserve">Community Care Vision and Implementation Plan </w:t>
            </w:r>
          </w:p>
        </w:tc>
        <w:tc>
          <w:tcPr>
            <w:tcW w:w="2681" w:type="dxa"/>
          </w:tcPr>
          <w:p w:rsidR="003265E8" w:rsidRPr="00BC2483" w:rsidRDefault="003265E8" w:rsidP="00EB09FD">
            <w:pPr>
              <w:rPr>
                <w:sz w:val="20"/>
                <w:szCs w:val="20"/>
              </w:rPr>
            </w:pPr>
          </w:p>
        </w:tc>
        <w:tc>
          <w:tcPr>
            <w:tcW w:w="1694" w:type="dxa"/>
          </w:tcPr>
          <w:p w:rsidR="003265E8" w:rsidRPr="00BC2483" w:rsidRDefault="003265E8">
            <w:pPr>
              <w:rPr>
                <w:sz w:val="20"/>
                <w:szCs w:val="20"/>
              </w:rPr>
            </w:pPr>
            <w:r w:rsidRPr="00BC2483">
              <w:rPr>
                <w:sz w:val="20"/>
                <w:szCs w:val="20"/>
              </w:rPr>
              <w:t>Within 30 days after enactment</w:t>
            </w:r>
          </w:p>
        </w:tc>
        <w:tc>
          <w:tcPr>
            <w:tcW w:w="1345" w:type="dxa"/>
          </w:tcPr>
          <w:p w:rsidR="003265E8" w:rsidRPr="00BC2483" w:rsidRDefault="003265E8">
            <w:pPr>
              <w:rPr>
                <w:sz w:val="20"/>
                <w:szCs w:val="20"/>
              </w:rPr>
            </w:pPr>
            <w:r w:rsidRPr="00BC2483">
              <w:rPr>
                <w:sz w:val="20"/>
                <w:szCs w:val="20"/>
              </w:rPr>
              <w:t>TBD</w:t>
            </w:r>
          </w:p>
        </w:tc>
        <w:tc>
          <w:tcPr>
            <w:tcW w:w="1665" w:type="dxa"/>
          </w:tcPr>
          <w:p w:rsidR="003265E8" w:rsidRPr="00BC2483" w:rsidRDefault="003265E8" w:rsidP="00A374AB">
            <w:pPr>
              <w:rPr>
                <w:sz w:val="20"/>
                <w:szCs w:val="20"/>
              </w:rPr>
            </w:pPr>
            <w:r w:rsidRPr="00BC2483">
              <w:rPr>
                <w:sz w:val="20"/>
                <w:szCs w:val="20"/>
              </w:rPr>
              <w:t>Dr. Shaman Singh</w:t>
            </w:r>
          </w:p>
          <w:p w:rsidR="003265E8" w:rsidRPr="00BC2483" w:rsidRDefault="003265E8">
            <w:pPr>
              <w:rPr>
                <w:sz w:val="20"/>
                <w:szCs w:val="20"/>
              </w:rPr>
            </w:pPr>
          </w:p>
        </w:tc>
        <w:tc>
          <w:tcPr>
            <w:tcW w:w="2164" w:type="dxa"/>
            <w:shd w:val="clear" w:color="auto" w:fill="FFFF00"/>
          </w:tcPr>
          <w:p w:rsidR="003265E8" w:rsidRPr="00BC2483" w:rsidRDefault="003265E8">
            <w:pPr>
              <w:rPr>
                <w:sz w:val="20"/>
                <w:szCs w:val="20"/>
                <w:highlight w:val="yellow"/>
              </w:rPr>
            </w:pPr>
          </w:p>
        </w:tc>
        <w:tc>
          <w:tcPr>
            <w:tcW w:w="2628" w:type="dxa"/>
            <w:shd w:val="clear" w:color="auto" w:fill="FFFF00"/>
          </w:tcPr>
          <w:p w:rsidR="003265E8" w:rsidRPr="00BC2483" w:rsidRDefault="003265E8">
            <w:pPr>
              <w:rPr>
                <w:sz w:val="20"/>
                <w:szCs w:val="20"/>
              </w:rPr>
            </w:pPr>
          </w:p>
        </w:tc>
      </w:tr>
      <w:tr w:rsidR="0040396F" w:rsidRPr="00BC2483" w:rsidTr="0040396F">
        <w:trPr>
          <w:cantSplit/>
          <w:trHeight w:val="144"/>
          <w:jc w:val="center"/>
        </w:trPr>
        <w:tc>
          <w:tcPr>
            <w:tcW w:w="1899" w:type="dxa"/>
          </w:tcPr>
          <w:p w:rsidR="003265E8" w:rsidRPr="00BC2483" w:rsidRDefault="003265E8" w:rsidP="00A65652">
            <w:pPr>
              <w:pStyle w:val="ListParagraph"/>
              <w:numPr>
                <w:ilvl w:val="0"/>
                <w:numId w:val="1"/>
              </w:numPr>
              <w:ind w:left="360"/>
              <w:rPr>
                <w:sz w:val="20"/>
                <w:szCs w:val="20"/>
              </w:rPr>
            </w:pPr>
            <w:r w:rsidRPr="00BC2483">
              <w:rPr>
                <w:sz w:val="20"/>
                <w:szCs w:val="20"/>
              </w:rPr>
              <w:lastRenderedPageBreak/>
              <w:t xml:space="preserve">Budget Reconciliation Report </w:t>
            </w:r>
          </w:p>
        </w:tc>
        <w:tc>
          <w:tcPr>
            <w:tcW w:w="2681" w:type="dxa"/>
          </w:tcPr>
          <w:p w:rsidR="003265E8" w:rsidRPr="00BC2483" w:rsidRDefault="003265E8" w:rsidP="00EB09FD">
            <w:pPr>
              <w:rPr>
                <w:sz w:val="20"/>
                <w:szCs w:val="20"/>
              </w:rPr>
            </w:pPr>
          </w:p>
        </w:tc>
        <w:tc>
          <w:tcPr>
            <w:tcW w:w="1694" w:type="dxa"/>
          </w:tcPr>
          <w:p w:rsidR="003265E8" w:rsidRPr="00BC2483" w:rsidRDefault="003265E8" w:rsidP="00EB09FD">
            <w:pPr>
              <w:rPr>
                <w:sz w:val="20"/>
                <w:szCs w:val="20"/>
              </w:rPr>
            </w:pPr>
            <w:r w:rsidRPr="00BC2483">
              <w:rPr>
                <w:sz w:val="20"/>
                <w:szCs w:val="20"/>
              </w:rPr>
              <w:t>Quarterly Report</w:t>
            </w:r>
          </w:p>
        </w:tc>
        <w:tc>
          <w:tcPr>
            <w:tcW w:w="1345" w:type="dxa"/>
          </w:tcPr>
          <w:p w:rsidR="003265E8" w:rsidRPr="00BC2483" w:rsidRDefault="003265E8">
            <w:pPr>
              <w:rPr>
                <w:sz w:val="20"/>
                <w:szCs w:val="20"/>
              </w:rPr>
            </w:pPr>
            <w:r w:rsidRPr="00BC2483">
              <w:rPr>
                <w:sz w:val="20"/>
                <w:szCs w:val="20"/>
              </w:rPr>
              <w:t>TBD</w:t>
            </w:r>
          </w:p>
        </w:tc>
        <w:tc>
          <w:tcPr>
            <w:tcW w:w="1665" w:type="dxa"/>
          </w:tcPr>
          <w:p w:rsidR="003265E8" w:rsidRPr="00BC2483" w:rsidRDefault="003265E8" w:rsidP="003265E8">
            <w:pPr>
              <w:rPr>
                <w:sz w:val="20"/>
                <w:szCs w:val="20"/>
              </w:rPr>
            </w:pPr>
            <w:r w:rsidRPr="00BC2483">
              <w:rPr>
                <w:sz w:val="20"/>
                <w:szCs w:val="20"/>
              </w:rPr>
              <w:t>John Ellsworth/Tommy Barnes</w:t>
            </w:r>
          </w:p>
          <w:p w:rsidR="003265E8" w:rsidRPr="00BC2483" w:rsidRDefault="003265E8">
            <w:pPr>
              <w:rPr>
                <w:sz w:val="20"/>
                <w:szCs w:val="20"/>
              </w:rPr>
            </w:pPr>
          </w:p>
        </w:tc>
        <w:tc>
          <w:tcPr>
            <w:tcW w:w="2164" w:type="dxa"/>
            <w:shd w:val="clear" w:color="auto" w:fill="FFFF00"/>
          </w:tcPr>
          <w:p w:rsidR="003265E8" w:rsidRPr="00BC2483" w:rsidRDefault="003265E8">
            <w:pPr>
              <w:rPr>
                <w:sz w:val="20"/>
                <w:szCs w:val="20"/>
                <w:highlight w:val="yellow"/>
              </w:rPr>
            </w:pPr>
          </w:p>
        </w:tc>
        <w:tc>
          <w:tcPr>
            <w:tcW w:w="2628" w:type="dxa"/>
            <w:shd w:val="clear" w:color="auto" w:fill="FFFF00"/>
          </w:tcPr>
          <w:p w:rsidR="003265E8" w:rsidRPr="00BC2483" w:rsidRDefault="003265E8">
            <w:pPr>
              <w:rPr>
                <w:sz w:val="20"/>
                <w:szCs w:val="20"/>
              </w:rPr>
            </w:pPr>
          </w:p>
        </w:tc>
      </w:tr>
      <w:tr w:rsidR="0040396F" w:rsidRPr="00BC2483" w:rsidTr="0040396F">
        <w:trPr>
          <w:cantSplit/>
          <w:trHeight w:val="144"/>
          <w:jc w:val="center"/>
        </w:trPr>
        <w:tc>
          <w:tcPr>
            <w:tcW w:w="1899" w:type="dxa"/>
          </w:tcPr>
          <w:p w:rsidR="003265E8" w:rsidRPr="00BC2483" w:rsidRDefault="003265E8" w:rsidP="00A65652">
            <w:pPr>
              <w:pStyle w:val="ListParagraph"/>
              <w:numPr>
                <w:ilvl w:val="0"/>
                <w:numId w:val="1"/>
              </w:numPr>
              <w:ind w:left="360"/>
              <w:rPr>
                <w:sz w:val="20"/>
                <w:szCs w:val="20"/>
              </w:rPr>
            </w:pPr>
            <w:r w:rsidRPr="00BC2483">
              <w:rPr>
                <w:sz w:val="20"/>
                <w:szCs w:val="20"/>
              </w:rPr>
              <w:t>Risk Management Plan and Risk Register</w:t>
            </w:r>
          </w:p>
        </w:tc>
        <w:tc>
          <w:tcPr>
            <w:tcW w:w="2681" w:type="dxa"/>
          </w:tcPr>
          <w:p w:rsidR="003265E8" w:rsidRPr="00BC2483" w:rsidRDefault="003265E8" w:rsidP="00EB09FD">
            <w:pPr>
              <w:rPr>
                <w:sz w:val="20"/>
                <w:szCs w:val="20"/>
              </w:rPr>
            </w:pPr>
            <w:r w:rsidRPr="00BC2483">
              <w:rPr>
                <w:sz w:val="20"/>
                <w:szCs w:val="20"/>
              </w:rPr>
              <w:t xml:space="preserve">The Risk Management Plan (RMP) outlines the program’s processes and standards for identifying, assessing, and monitoring program Risk. It also includes foreseen risks, impacts, and identifies mitigation plans for those risks. </w:t>
            </w:r>
          </w:p>
        </w:tc>
        <w:tc>
          <w:tcPr>
            <w:tcW w:w="1694" w:type="dxa"/>
          </w:tcPr>
          <w:p w:rsidR="003265E8" w:rsidRPr="00BC2483" w:rsidRDefault="003265E8" w:rsidP="00EB09FD">
            <w:pPr>
              <w:rPr>
                <w:sz w:val="20"/>
                <w:szCs w:val="20"/>
              </w:rPr>
            </w:pPr>
            <w:r w:rsidRPr="00BC2483">
              <w:rPr>
                <w:sz w:val="20"/>
                <w:szCs w:val="20"/>
              </w:rPr>
              <w:t>Quarterly Report</w:t>
            </w:r>
          </w:p>
        </w:tc>
        <w:tc>
          <w:tcPr>
            <w:tcW w:w="1345" w:type="dxa"/>
          </w:tcPr>
          <w:p w:rsidR="003265E8" w:rsidRPr="00BC2483" w:rsidRDefault="003265E8">
            <w:pPr>
              <w:rPr>
                <w:sz w:val="20"/>
                <w:szCs w:val="20"/>
              </w:rPr>
            </w:pPr>
            <w:r w:rsidRPr="00BC2483">
              <w:rPr>
                <w:sz w:val="20"/>
                <w:szCs w:val="20"/>
              </w:rPr>
              <w:t>TBD</w:t>
            </w:r>
          </w:p>
        </w:tc>
        <w:tc>
          <w:tcPr>
            <w:tcW w:w="1665" w:type="dxa"/>
          </w:tcPr>
          <w:p w:rsidR="003265E8" w:rsidRPr="00BC2483" w:rsidRDefault="003265E8" w:rsidP="003265E8">
            <w:pPr>
              <w:rPr>
                <w:sz w:val="20"/>
                <w:szCs w:val="20"/>
              </w:rPr>
            </w:pPr>
            <w:r w:rsidRPr="00BC2483">
              <w:rPr>
                <w:sz w:val="20"/>
                <w:szCs w:val="20"/>
              </w:rPr>
              <w:t xml:space="preserve">Steven Lang </w:t>
            </w:r>
          </w:p>
          <w:p w:rsidR="003265E8" w:rsidRPr="00BC2483" w:rsidRDefault="003265E8">
            <w:pPr>
              <w:rPr>
                <w:sz w:val="20"/>
                <w:szCs w:val="20"/>
              </w:rPr>
            </w:pPr>
          </w:p>
        </w:tc>
        <w:tc>
          <w:tcPr>
            <w:tcW w:w="2164" w:type="dxa"/>
            <w:shd w:val="clear" w:color="auto" w:fill="FFFF00"/>
          </w:tcPr>
          <w:p w:rsidR="003265E8" w:rsidRPr="00BC2483" w:rsidRDefault="003265E8">
            <w:pPr>
              <w:rPr>
                <w:sz w:val="20"/>
                <w:szCs w:val="20"/>
                <w:highlight w:val="yellow"/>
              </w:rPr>
            </w:pPr>
          </w:p>
        </w:tc>
        <w:tc>
          <w:tcPr>
            <w:tcW w:w="2628" w:type="dxa"/>
            <w:shd w:val="clear" w:color="auto" w:fill="FFFF00"/>
          </w:tcPr>
          <w:p w:rsidR="003265E8" w:rsidRPr="00BC2483" w:rsidRDefault="003265E8">
            <w:pPr>
              <w:rPr>
                <w:sz w:val="20"/>
                <w:szCs w:val="20"/>
              </w:rPr>
            </w:pPr>
          </w:p>
        </w:tc>
      </w:tr>
      <w:tr w:rsidR="0040396F" w:rsidRPr="00BC2483" w:rsidTr="0040396F">
        <w:trPr>
          <w:cantSplit/>
          <w:trHeight w:val="144"/>
          <w:jc w:val="center"/>
        </w:trPr>
        <w:tc>
          <w:tcPr>
            <w:tcW w:w="1899" w:type="dxa"/>
          </w:tcPr>
          <w:p w:rsidR="003265E8" w:rsidRPr="00BC2483" w:rsidRDefault="003265E8" w:rsidP="00A65652">
            <w:pPr>
              <w:pStyle w:val="ListParagraph"/>
              <w:numPr>
                <w:ilvl w:val="0"/>
                <w:numId w:val="1"/>
              </w:numPr>
              <w:ind w:left="360"/>
              <w:rPr>
                <w:sz w:val="20"/>
                <w:szCs w:val="20"/>
              </w:rPr>
            </w:pPr>
            <w:r w:rsidRPr="00BC2483">
              <w:rPr>
                <w:sz w:val="20"/>
                <w:szCs w:val="20"/>
              </w:rPr>
              <w:t>Contract Award, Order, or Agreement</w:t>
            </w:r>
          </w:p>
        </w:tc>
        <w:tc>
          <w:tcPr>
            <w:tcW w:w="2681" w:type="dxa"/>
          </w:tcPr>
          <w:p w:rsidR="003265E8" w:rsidRPr="00BC2483" w:rsidRDefault="003265E8" w:rsidP="00EB09FD">
            <w:pPr>
              <w:rPr>
                <w:sz w:val="20"/>
                <w:szCs w:val="20"/>
              </w:rPr>
            </w:pPr>
          </w:p>
        </w:tc>
        <w:tc>
          <w:tcPr>
            <w:tcW w:w="1694" w:type="dxa"/>
          </w:tcPr>
          <w:p w:rsidR="003265E8" w:rsidRPr="00BC2483" w:rsidRDefault="003265E8" w:rsidP="00EB09FD">
            <w:pPr>
              <w:rPr>
                <w:sz w:val="20"/>
                <w:szCs w:val="20"/>
              </w:rPr>
            </w:pPr>
            <w:r w:rsidRPr="00BC2483">
              <w:rPr>
                <w:sz w:val="20"/>
                <w:szCs w:val="20"/>
              </w:rPr>
              <w:t>Within 5 days after enactment</w:t>
            </w:r>
          </w:p>
        </w:tc>
        <w:tc>
          <w:tcPr>
            <w:tcW w:w="1345" w:type="dxa"/>
          </w:tcPr>
          <w:p w:rsidR="003265E8" w:rsidRPr="00BC2483" w:rsidRDefault="003265E8">
            <w:pPr>
              <w:rPr>
                <w:sz w:val="20"/>
                <w:szCs w:val="20"/>
              </w:rPr>
            </w:pPr>
            <w:r w:rsidRPr="00BC2483">
              <w:rPr>
                <w:sz w:val="20"/>
                <w:szCs w:val="20"/>
              </w:rPr>
              <w:t>TBD</w:t>
            </w:r>
          </w:p>
        </w:tc>
        <w:tc>
          <w:tcPr>
            <w:tcW w:w="1665" w:type="dxa"/>
          </w:tcPr>
          <w:p w:rsidR="003265E8" w:rsidRPr="00BC2483" w:rsidRDefault="003265E8">
            <w:pPr>
              <w:rPr>
                <w:sz w:val="20"/>
                <w:szCs w:val="20"/>
              </w:rPr>
            </w:pPr>
          </w:p>
        </w:tc>
        <w:tc>
          <w:tcPr>
            <w:tcW w:w="2164" w:type="dxa"/>
            <w:shd w:val="clear" w:color="auto" w:fill="auto"/>
          </w:tcPr>
          <w:p w:rsidR="003265E8" w:rsidRPr="00BC2483" w:rsidRDefault="003265E8">
            <w:pPr>
              <w:rPr>
                <w:sz w:val="20"/>
                <w:szCs w:val="20"/>
              </w:rPr>
            </w:pPr>
          </w:p>
        </w:tc>
        <w:tc>
          <w:tcPr>
            <w:tcW w:w="2628" w:type="dxa"/>
            <w:shd w:val="clear" w:color="auto" w:fill="auto"/>
          </w:tcPr>
          <w:p w:rsidR="003265E8" w:rsidRPr="00BC2483" w:rsidRDefault="003265E8">
            <w:pPr>
              <w:rPr>
                <w:sz w:val="20"/>
                <w:szCs w:val="20"/>
              </w:rPr>
            </w:pPr>
          </w:p>
        </w:tc>
      </w:tr>
      <w:tr w:rsidR="0040396F" w:rsidRPr="00BC2483" w:rsidTr="0040396F">
        <w:trPr>
          <w:cantSplit/>
          <w:trHeight w:val="144"/>
          <w:jc w:val="center"/>
        </w:trPr>
        <w:tc>
          <w:tcPr>
            <w:tcW w:w="1899" w:type="dxa"/>
          </w:tcPr>
          <w:p w:rsidR="003265E8" w:rsidRPr="00BC2483" w:rsidRDefault="003265E8" w:rsidP="00A65652">
            <w:pPr>
              <w:pStyle w:val="ListParagraph"/>
              <w:numPr>
                <w:ilvl w:val="0"/>
                <w:numId w:val="1"/>
              </w:numPr>
              <w:ind w:left="360"/>
              <w:rPr>
                <w:sz w:val="20"/>
                <w:szCs w:val="20"/>
              </w:rPr>
            </w:pPr>
            <w:r w:rsidRPr="00BC2483">
              <w:rPr>
                <w:sz w:val="20"/>
                <w:szCs w:val="20"/>
              </w:rPr>
              <w:t>Explanation of contract award, order, agreement or change</w:t>
            </w:r>
          </w:p>
        </w:tc>
        <w:tc>
          <w:tcPr>
            <w:tcW w:w="2681" w:type="dxa"/>
          </w:tcPr>
          <w:p w:rsidR="003265E8" w:rsidRPr="00BC2483" w:rsidRDefault="003265E8" w:rsidP="00EB09FD">
            <w:pPr>
              <w:rPr>
                <w:sz w:val="20"/>
                <w:szCs w:val="20"/>
              </w:rPr>
            </w:pPr>
          </w:p>
        </w:tc>
        <w:tc>
          <w:tcPr>
            <w:tcW w:w="1694" w:type="dxa"/>
          </w:tcPr>
          <w:p w:rsidR="003265E8" w:rsidRPr="00BC2483" w:rsidRDefault="003265E8" w:rsidP="00EB09FD">
            <w:pPr>
              <w:rPr>
                <w:sz w:val="20"/>
                <w:szCs w:val="20"/>
              </w:rPr>
            </w:pPr>
            <w:r w:rsidRPr="00BC2483">
              <w:rPr>
                <w:sz w:val="20"/>
                <w:szCs w:val="20"/>
              </w:rPr>
              <w:t>Within 10 days after enactment</w:t>
            </w:r>
          </w:p>
        </w:tc>
        <w:tc>
          <w:tcPr>
            <w:tcW w:w="1345" w:type="dxa"/>
          </w:tcPr>
          <w:p w:rsidR="003265E8" w:rsidRPr="00BC2483" w:rsidRDefault="003265E8">
            <w:pPr>
              <w:rPr>
                <w:sz w:val="20"/>
                <w:szCs w:val="20"/>
              </w:rPr>
            </w:pPr>
            <w:r w:rsidRPr="00BC2483">
              <w:rPr>
                <w:sz w:val="20"/>
                <w:szCs w:val="20"/>
              </w:rPr>
              <w:t>TBD</w:t>
            </w:r>
          </w:p>
        </w:tc>
        <w:tc>
          <w:tcPr>
            <w:tcW w:w="1665" w:type="dxa"/>
          </w:tcPr>
          <w:p w:rsidR="003265E8" w:rsidRPr="00BC2483" w:rsidRDefault="003265E8">
            <w:pPr>
              <w:rPr>
                <w:sz w:val="20"/>
                <w:szCs w:val="20"/>
              </w:rPr>
            </w:pPr>
          </w:p>
        </w:tc>
        <w:tc>
          <w:tcPr>
            <w:tcW w:w="2164" w:type="dxa"/>
            <w:shd w:val="clear" w:color="auto" w:fill="auto"/>
          </w:tcPr>
          <w:p w:rsidR="003265E8" w:rsidRPr="00BC2483" w:rsidRDefault="003265E8">
            <w:pPr>
              <w:rPr>
                <w:sz w:val="20"/>
                <w:szCs w:val="20"/>
              </w:rPr>
            </w:pPr>
          </w:p>
        </w:tc>
        <w:tc>
          <w:tcPr>
            <w:tcW w:w="2628" w:type="dxa"/>
            <w:shd w:val="clear" w:color="auto" w:fill="auto"/>
          </w:tcPr>
          <w:p w:rsidR="003265E8" w:rsidRPr="00BC2483" w:rsidRDefault="003265E8">
            <w:pPr>
              <w:rPr>
                <w:sz w:val="20"/>
                <w:szCs w:val="20"/>
              </w:rPr>
            </w:pPr>
          </w:p>
        </w:tc>
      </w:tr>
    </w:tbl>
    <w:p w:rsidR="00A65652" w:rsidRDefault="00A65652"/>
    <w:p w:rsidR="00A65652" w:rsidRDefault="00A65652"/>
    <w:sectPr w:rsidR="00A65652" w:rsidSect="00321C35">
      <w:pgSz w:w="15840" w:h="12240" w:orient="landscape"/>
      <w:pgMar w:top="1440" w:right="144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6326B"/>
    <w:multiLevelType w:val="hybridMultilevel"/>
    <w:tmpl w:val="F9CE1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52"/>
    <w:rsid w:val="00014C97"/>
    <w:rsid w:val="000C4F94"/>
    <w:rsid w:val="000E0A71"/>
    <w:rsid w:val="000F7798"/>
    <w:rsid w:val="0011210A"/>
    <w:rsid w:val="00112267"/>
    <w:rsid w:val="0011544D"/>
    <w:rsid w:val="00173003"/>
    <w:rsid w:val="00182F28"/>
    <w:rsid w:val="002F6B67"/>
    <w:rsid w:val="00321C35"/>
    <w:rsid w:val="003265E8"/>
    <w:rsid w:val="0040396F"/>
    <w:rsid w:val="00495AEC"/>
    <w:rsid w:val="004B5279"/>
    <w:rsid w:val="00524683"/>
    <w:rsid w:val="00550BD4"/>
    <w:rsid w:val="005C57B5"/>
    <w:rsid w:val="00605381"/>
    <w:rsid w:val="006B522D"/>
    <w:rsid w:val="006C756E"/>
    <w:rsid w:val="006E6A33"/>
    <w:rsid w:val="007A24FB"/>
    <w:rsid w:val="008D1577"/>
    <w:rsid w:val="008E17F9"/>
    <w:rsid w:val="008E7450"/>
    <w:rsid w:val="00992476"/>
    <w:rsid w:val="00A374AB"/>
    <w:rsid w:val="00A60734"/>
    <w:rsid w:val="00A65652"/>
    <w:rsid w:val="00A66132"/>
    <w:rsid w:val="00AB2FBB"/>
    <w:rsid w:val="00B43433"/>
    <w:rsid w:val="00BC2483"/>
    <w:rsid w:val="00C133C9"/>
    <w:rsid w:val="00C456C9"/>
    <w:rsid w:val="00C66274"/>
    <w:rsid w:val="00E6640D"/>
    <w:rsid w:val="00F55D38"/>
    <w:rsid w:val="00F66A9A"/>
    <w:rsid w:val="00F9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A676"/>
  <w15:docId w15:val="{0D82C793-9882-4FDD-8B58-696CCD18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65652"/>
    <w:rPr>
      <w:sz w:val="16"/>
      <w:szCs w:val="16"/>
    </w:rPr>
  </w:style>
  <w:style w:type="paragraph" w:styleId="CommentText">
    <w:name w:val="annotation text"/>
    <w:basedOn w:val="Normal"/>
    <w:link w:val="CommentTextChar"/>
    <w:uiPriority w:val="99"/>
    <w:semiHidden/>
    <w:unhideWhenUsed/>
    <w:rsid w:val="00A6565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A65652"/>
    <w:rPr>
      <w:sz w:val="20"/>
      <w:szCs w:val="20"/>
    </w:rPr>
  </w:style>
  <w:style w:type="paragraph" w:styleId="BalloonText">
    <w:name w:val="Balloon Text"/>
    <w:basedOn w:val="Normal"/>
    <w:link w:val="BalloonTextChar"/>
    <w:uiPriority w:val="99"/>
    <w:semiHidden/>
    <w:unhideWhenUsed/>
    <w:rsid w:val="00A65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652"/>
    <w:rPr>
      <w:rFonts w:ascii="Tahoma" w:hAnsi="Tahoma" w:cs="Tahoma"/>
      <w:sz w:val="16"/>
      <w:szCs w:val="16"/>
    </w:rPr>
  </w:style>
  <w:style w:type="paragraph" w:styleId="ListParagraph">
    <w:name w:val="List Paragraph"/>
    <w:basedOn w:val="Normal"/>
    <w:uiPriority w:val="34"/>
    <w:qFormat/>
    <w:rsid w:val="00A65652"/>
    <w:pPr>
      <w:ind w:left="720"/>
      <w:contextualSpacing/>
    </w:pPr>
  </w:style>
  <w:style w:type="paragraph" w:styleId="NormalWeb">
    <w:name w:val="Normal (Web)"/>
    <w:basedOn w:val="Normal"/>
    <w:uiPriority w:val="99"/>
    <w:unhideWhenUsed/>
    <w:rsid w:val="006053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7311">
      <w:bodyDiv w:val="1"/>
      <w:marLeft w:val="0"/>
      <w:marRight w:val="0"/>
      <w:marTop w:val="0"/>
      <w:marBottom w:val="0"/>
      <w:divBdr>
        <w:top w:val="none" w:sz="0" w:space="0" w:color="auto"/>
        <w:left w:val="none" w:sz="0" w:space="0" w:color="auto"/>
        <w:bottom w:val="none" w:sz="0" w:space="0" w:color="auto"/>
        <w:right w:val="none" w:sz="0" w:space="0" w:color="auto"/>
      </w:divBdr>
    </w:div>
    <w:div w:id="348064915">
      <w:bodyDiv w:val="1"/>
      <w:marLeft w:val="0"/>
      <w:marRight w:val="0"/>
      <w:marTop w:val="0"/>
      <w:marBottom w:val="0"/>
      <w:divBdr>
        <w:top w:val="none" w:sz="0" w:space="0" w:color="auto"/>
        <w:left w:val="none" w:sz="0" w:space="0" w:color="auto"/>
        <w:bottom w:val="none" w:sz="0" w:space="0" w:color="auto"/>
        <w:right w:val="none" w:sz="0" w:space="0" w:color="auto"/>
      </w:divBdr>
    </w:div>
    <w:div w:id="483283547">
      <w:bodyDiv w:val="1"/>
      <w:marLeft w:val="0"/>
      <w:marRight w:val="0"/>
      <w:marTop w:val="0"/>
      <w:marBottom w:val="0"/>
      <w:divBdr>
        <w:top w:val="none" w:sz="0" w:space="0" w:color="auto"/>
        <w:left w:val="none" w:sz="0" w:space="0" w:color="auto"/>
        <w:bottom w:val="none" w:sz="0" w:space="0" w:color="auto"/>
        <w:right w:val="none" w:sz="0" w:space="0" w:color="auto"/>
      </w:divBdr>
    </w:div>
    <w:div w:id="625085461">
      <w:bodyDiv w:val="1"/>
      <w:marLeft w:val="0"/>
      <w:marRight w:val="0"/>
      <w:marTop w:val="0"/>
      <w:marBottom w:val="0"/>
      <w:divBdr>
        <w:top w:val="none" w:sz="0" w:space="0" w:color="auto"/>
        <w:left w:val="none" w:sz="0" w:space="0" w:color="auto"/>
        <w:bottom w:val="none" w:sz="0" w:space="0" w:color="auto"/>
        <w:right w:val="none" w:sz="0" w:space="0" w:color="auto"/>
      </w:divBdr>
    </w:div>
    <w:div w:id="684212817">
      <w:bodyDiv w:val="1"/>
      <w:marLeft w:val="0"/>
      <w:marRight w:val="0"/>
      <w:marTop w:val="0"/>
      <w:marBottom w:val="0"/>
      <w:divBdr>
        <w:top w:val="none" w:sz="0" w:space="0" w:color="auto"/>
        <w:left w:val="none" w:sz="0" w:space="0" w:color="auto"/>
        <w:bottom w:val="none" w:sz="0" w:space="0" w:color="auto"/>
        <w:right w:val="none" w:sz="0" w:space="0" w:color="auto"/>
      </w:divBdr>
    </w:div>
    <w:div w:id="690302683">
      <w:bodyDiv w:val="1"/>
      <w:marLeft w:val="0"/>
      <w:marRight w:val="0"/>
      <w:marTop w:val="0"/>
      <w:marBottom w:val="0"/>
      <w:divBdr>
        <w:top w:val="none" w:sz="0" w:space="0" w:color="auto"/>
        <w:left w:val="none" w:sz="0" w:space="0" w:color="auto"/>
        <w:bottom w:val="none" w:sz="0" w:space="0" w:color="auto"/>
        <w:right w:val="none" w:sz="0" w:space="0" w:color="auto"/>
      </w:divBdr>
    </w:div>
    <w:div w:id="795416139">
      <w:bodyDiv w:val="1"/>
      <w:marLeft w:val="0"/>
      <w:marRight w:val="0"/>
      <w:marTop w:val="0"/>
      <w:marBottom w:val="0"/>
      <w:divBdr>
        <w:top w:val="none" w:sz="0" w:space="0" w:color="auto"/>
        <w:left w:val="none" w:sz="0" w:space="0" w:color="auto"/>
        <w:bottom w:val="none" w:sz="0" w:space="0" w:color="auto"/>
        <w:right w:val="none" w:sz="0" w:space="0" w:color="auto"/>
      </w:divBdr>
    </w:div>
    <w:div w:id="868956799">
      <w:bodyDiv w:val="1"/>
      <w:marLeft w:val="0"/>
      <w:marRight w:val="0"/>
      <w:marTop w:val="0"/>
      <w:marBottom w:val="0"/>
      <w:divBdr>
        <w:top w:val="none" w:sz="0" w:space="0" w:color="auto"/>
        <w:left w:val="none" w:sz="0" w:space="0" w:color="auto"/>
        <w:bottom w:val="none" w:sz="0" w:space="0" w:color="auto"/>
        <w:right w:val="none" w:sz="0" w:space="0" w:color="auto"/>
      </w:divBdr>
    </w:div>
    <w:div w:id="1112674984">
      <w:bodyDiv w:val="1"/>
      <w:marLeft w:val="0"/>
      <w:marRight w:val="0"/>
      <w:marTop w:val="0"/>
      <w:marBottom w:val="0"/>
      <w:divBdr>
        <w:top w:val="none" w:sz="0" w:space="0" w:color="auto"/>
        <w:left w:val="none" w:sz="0" w:space="0" w:color="auto"/>
        <w:bottom w:val="none" w:sz="0" w:space="0" w:color="auto"/>
        <w:right w:val="none" w:sz="0" w:space="0" w:color="auto"/>
      </w:divBdr>
    </w:div>
    <w:div w:id="1128818698">
      <w:bodyDiv w:val="1"/>
      <w:marLeft w:val="0"/>
      <w:marRight w:val="0"/>
      <w:marTop w:val="0"/>
      <w:marBottom w:val="0"/>
      <w:divBdr>
        <w:top w:val="none" w:sz="0" w:space="0" w:color="auto"/>
        <w:left w:val="none" w:sz="0" w:space="0" w:color="auto"/>
        <w:bottom w:val="none" w:sz="0" w:space="0" w:color="auto"/>
        <w:right w:val="none" w:sz="0" w:space="0" w:color="auto"/>
      </w:divBdr>
    </w:div>
    <w:div w:id="1398701950">
      <w:bodyDiv w:val="1"/>
      <w:marLeft w:val="0"/>
      <w:marRight w:val="0"/>
      <w:marTop w:val="0"/>
      <w:marBottom w:val="0"/>
      <w:divBdr>
        <w:top w:val="none" w:sz="0" w:space="0" w:color="auto"/>
        <w:left w:val="none" w:sz="0" w:space="0" w:color="auto"/>
        <w:bottom w:val="none" w:sz="0" w:space="0" w:color="auto"/>
        <w:right w:val="none" w:sz="0" w:space="0" w:color="auto"/>
      </w:divBdr>
    </w:div>
    <w:div w:id="1451823906">
      <w:bodyDiv w:val="1"/>
      <w:marLeft w:val="0"/>
      <w:marRight w:val="0"/>
      <w:marTop w:val="0"/>
      <w:marBottom w:val="0"/>
      <w:divBdr>
        <w:top w:val="none" w:sz="0" w:space="0" w:color="auto"/>
        <w:left w:val="none" w:sz="0" w:space="0" w:color="auto"/>
        <w:bottom w:val="none" w:sz="0" w:space="0" w:color="auto"/>
        <w:right w:val="none" w:sz="0" w:space="0" w:color="auto"/>
      </w:divBdr>
    </w:div>
    <w:div w:id="1683816694">
      <w:bodyDiv w:val="1"/>
      <w:marLeft w:val="0"/>
      <w:marRight w:val="0"/>
      <w:marTop w:val="0"/>
      <w:marBottom w:val="0"/>
      <w:divBdr>
        <w:top w:val="none" w:sz="0" w:space="0" w:color="auto"/>
        <w:left w:val="none" w:sz="0" w:space="0" w:color="auto"/>
        <w:bottom w:val="none" w:sz="0" w:space="0" w:color="auto"/>
        <w:right w:val="none" w:sz="0" w:space="0" w:color="auto"/>
      </w:divBdr>
    </w:div>
    <w:div w:id="1777098554">
      <w:bodyDiv w:val="1"/>
      <w:marLeft w:val="0"/>
      <w:marRight w:val="0"/>
      <w:marTop w:val="0"/>
      <w:marBottom w:val="0"/>
      <w:divBdr>
        <w:top w:val="none" w:sz="0" w:space="0" w:color="auto"/>
        <w:left w:val="none" w:sz="0" w:space="0" w:color="auto"/>
        <w:bottom w:val="none" w:sz="0" w:space="0" w:color="auto"/>
        <w:right w:val="none" w:sz="0" w:space="0" w:color="auto"/>
      </w:divBdr>
    </w:div>
    <w:div w:id="1882668897">
      <w:bodyDiv w:val="1"/>
      <w:marLeft w:val="0"/>
      <w:marRight w:val="0"/>
      <w:marTop w:val="0"/>
      <w:marBottom w:val="0"/>
      <w:divBdr>
        <w:top w:val="none" w:sz="0" w:space="0" w:color="auto"/>
        <w:left w:val="none" w:sz="0" w:space="0" w:color="auto"/>
        <w:bottom w:val="none" w:sz="0" w:space="0" w:color="auto"/>
        <w:right w:val="none" w:sz="0" w:space="0" w:color="auto"/>
      </w:divBdr>
    </w:div>
    <w:div w:id="201013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Ahiagbede, Richard [USA]</cp:lastModifiedBy>
  <cp:revision>2</cp:revision>
  <dcterms:created xsi:type="dcterms:W3CDTF">2018-01-05T19:29:00Z</dcterms:created>
  <dcterms:modified xsi:type="dcterms:W3CDTF">2018-01-05T19:29:00Z</dcterms:modified>
</cp:coreProperties>
</file>