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r>
        <w:rPr>
          <w:rFonts w:ascii="Arial" w:hAnsi="Arial"/>
          <w:b/>
          <w:sz w:val="36"/>
        </w:rPr>
        <w:t>Automating Meta-Analysis: History, Competitive Landscape, and Positioning</w:t>
      </w:r>
    </w:p>
    <w:p>
      <w:r>
        <w:rPr>
          <w:rFonts w:ascii="Arial" w:hAnsi="Arial"/>
          <w:i/>
          <w:sz w:val="24"/>
        </w:rPr>
        <w:t>The meta-analysis module of the Metascience Observatory -- a strategic review</w:t>
      </w:r>
    </w:p>
    <w:p/>
    <w:p>
      <w:r>
        <w:rPr>
          <w:rFonts w:ascii="Arial" w:hAnsi="Arial"/>
          <w:b/>
        </w:rPr>
        <w:t>TABLE OF CONTENTS</w:t>
      </w:r>
    </w:p>
    <w:p>
      <w:r>
        <w:fldChar w:fldCharType="begin"/>
        <w:instrText xml:space="preserve"> TOC \o "1-2" \h \z \u </w:instrText>
        <w:fldChar w:fldCharType="end"/>
      </w:r>
    </w:p>
    <w:p>
      <w:r>
        <w:rPr>
          <w:i/>
        </w:rPr>
        <w:t>[Open in Word and right-click &gt; Update Field to build the table of contents and page numbers.]</w:t>
      </w:r>
    </w:p>
    <w:p/>
    <w:p>
      <w:pPr>
        <w:pStyle w:val="Heading1"/>
      </w:pPr>
      <w:r>
        <w:t xml:space="preserve">Executive Summary</w:t>
      </w:r>
    </w:p>
    <w:p>
      <w:pPr>
        <w:pStyle w:val="FirstParagraph"/>
        <w:spacing w:after="240"/>
      </w:pPr>
      <w:r>
        <w:t xml:space="preserve">This document surveys the automation of meta-analysis – its fifty-year history, the crowded 2025-2026 competitive landscape, and where a new pipeline (the meta-analysis module of the Metascience Observatory) can genuinely differentiate itself. Three conclusions organize it.</w:t>
      </w:r>
    </w:p>
    <w:p>
      <w:pPr>
        <w:pStyle w:val="BodyText"/>
        <w:spacing w:after="240"/>
      </w:pPr>
      <w:r>
        <w:t xml:space="preserve">First (Part I), the history is a</w:t>
      </w:r>
      <w:r>
        <w:t xml:space="preserve"> </w:t>
      </w:r>
      <w:r>
        <w:rPr>
          <w:iCs/>
          <w:i/>
        </w:rPr>
        <w:t xml:space="preserve">migrating bottleneck</w:t>
      </w:r>
      <w:r>
        <w:t xml:space="preserve">: each wave of automation – retrieval, screening, extraction, appraisal – solved one step and exposed the next. The irreducible core that has resisted every wave is</w:t>
      </w:r>
      <w:r>
        <w:t xml:space="preserve"> </w:t>
      </w:r>
      <w:r>
        <w:rPr>
          <w:iCs/>
          <w:i/>
        </w:rPr>
        <w:t xml:space="preserve">judgment</w:t>
      </w:r>
      <w:r>
        <w:t xml:space="preserve">: deciding what counts as relevant, trustworthy evidence for a specific question. The 2026 MetaSyn benchmark states it in one number – even with 90.9% retrieval recall, no end-to-end system recovers more than 52.7% of the studies a review should include.</w:t>
      </w:r>
    </w:p>
    <w:p>
      <w:pPr>
        <w:pStyle w:val="BodyText"/>
        <w:spacing w:after="240"/>
      </w:pPr>
      <w:r>
        <w:t xml:space="preserve">Second (Parts II-IV),</w:t>
      </w:r>
      <w:r>
        <w:t xml:space="preserve"> </w:t>
      </w:r>
      <w:r>
        <w:t xml:space="preserve">“</w:t>
      </w:r>
      <w:r>
        <w:t xml:space="preserve">automated end-to-end meta-analysis</w:t>
      </w:r>
      <w:r>
        <w:t xml:space="preserve">”</w:t>
      </w:r>
      <w:r>
        <w:t xml:space="preserve"> </w:t>
      </w:r>
      <w:r>
        <w:t xml:space="preserve">stopped being a differentiator in 2025-2026. A dozen systems now run question-to-forest-plot (meta-pipe, LUMEN, AutoForest, otto-SR, Nested Knowledge), and</w:t>
      </w:r>
      <w:r>
        <w:t xml:space="preserve"> </w:t>
      </w:r>
      <w:r>
        <w:t xml:space="preserve">“</w:t>
      </w:r>
      <w:r>
        <w:t xml:space="preserve">R does the inference</w:t>
      </w:r>
      <w:r>
        <w:t xml:space="preserve">”</w:t>
      </w:r>
      <w:r>
        <w:t xml:space="preserve"> </w:t>
      </w:r>
      <w:r>
        <w:t xml:space="preserve">is universal – table stakes, not novelty. What no one has assembled is the</w:t>
      </w:r>
      <w:r>
        <w:t xml:space="preserve"> </w:t>
      </w:r>
      <w:r>
        <w:rPr>
          <w:iCs/>
          <w:i/>
        </w:rPr>
        <w:t xml:space="preserve">combination</w:t>
      </w:r>
      <w:r>
        <w:t xml:space="preserve">: feasibility-proven preregistration, study/arm-level modeling with per-value provenance, figure-derived data flagged through to a sensitivity analysis, an append-only decision log, and preclinical/cross-species reach – executed with the validated rigor the preprint cohort conspicuously lacks.</w:t>
      </w:r>
    </w:p>
    <w:p>
      <w:pPr>
        <w:pStyle w:val="BodyText"/>
        <w:spacing w:after="240"/>
      </w:pPr>
      <w:r>
        <w:t xml:space="preserve">Third (Part V), the incumbent preclinical figure tool (Graph2Data) turns out to be a manual WebPlotDigitizer wrapper, and the digitizer accuracy ceiling for clean charts is already high and validated (ICC &gt; 0.95). A bespoke ML chart-reader is justified</w:t>
      </w:r>
      <w:r>
        <w:t xml:space="preserve"> </w:t>
      </w:r>
      <w:r>
        <w:rPr>
          <w:iCs/>
          <w:i/>
        </w:rPr>
        <w:t xml:space="preserve">only</w:t>
      </w:r>
      <w:r>
        <w:t xml:space="preserve"> </w:t>
      </w:r>
      <w:r>
        <w:t xml:space="preserve">where those tools require manual point-clicking on hard real panels – multi-panel, log/broken axes, per-animal dot overlays – which is exactly the automation gap the incumbents leave open. Part III catalogs every tool’s published validation and whether it can actually be benchmarked, and proposes three runnable benchmark clusters.</w:t>
      </w:r>
    </w:p>
    <w:bookmarkEnd w:id="20"/>
    <w:bookmarkStart w:id="33" w:name="X36171bfeb22cd1be44d775fd34823ab38c97160"/>
    <w:p>
      <w:pPr>
        <w:pStyle w:val="Heading1"/>
      </w:pPr>
      <w:r>
        <w:t xml:space="preserve">Part I. The History of Automating Meta-Analysis</w:t>
      </w:r>
    </w:p>
    <w:bookmarkStart w:id="21" w:name="introduction"/>
    <w:p>
      <w:pPr>
        <w:pStyle w:val="Heading2"/>
      </w:pPr>
      <w:r>
        <w:t xml:space="preserve">Introduction</w:t>
      </w:r>
    </w:p>
    <w:p>
      <w:pPr>
        <w:pStyle w:val="FirstParagraph"/>
        <w:spacing w:after="240"/>
      </w:pPr>
      <w:r>
        <w:t xml:space="preserve">The systematic review is a paradox of modern science. It is simultaneously the highest tier of the evidence hierarchy – the tool that turns a scattered literature into a defensible answer – and one of the most labor-intensive artifacts a research team can produce. Its entire methodological promise rests on procedures that do not scale: exhaustively searching, screening thousands of records by hand, extracting numbers one study at a time, appraising each for bias, and only then pooling. The history of automating evidence synthesis is best read as a fifty-year argument between that promise and that cost – a sequence of waves in which each new technology arose to relieve the specific bottleneck the previous wave had exposed. This narrative traces that arc from the manual origins of the discipline through the text-mining and machine-learning eras to the current, unsettled turn toward large language models and agentic pipelines, and closes by asking what has actually proven automatable, and why so much has not.</w:t>
      </w:r>
    </w:p>
    <w:bookmarkEnd w:id="21"/>
    <w:bookmarkStart w:id="22" w:name="a-compact-timeline-of-milestones"/>
    <w:p>
      <w:pPr>
        <w:pStyle w:val="Heading2"/>
      </w:pPr>
      <w:r>
        <w:t xml:space="preserve">A Compact Timeline of Milestones</w:t>
      </w:r>
    </w:p>
    <w:p>
      <w:pPr>
        <w:numPr>
          <w:ilvl w:val="0"/>
          <w:numId w:val="1001"/>
        </w:numPr>
        <w:pStyle w:val="Compact"/>
        <w:spacing w:after="240"/>
      </w:pPr>
      <w:r>
        <w:rPr>
          <w:bCs/>
          <w:b/>
        </w:rPr>
        <w:t xml:space="preserve">1972</w:t>
      </w:r>
      <w:r>
        <w:t xml:space="preserve"> </w:t>
      </w:r>
      <w:r>
        <w:t xml:space="preserve">– Archie Cochrane,</w:t>
      </w:r>
      <w:r>
        <w:t xml:space="preserve"> </w:t>
      </w:r>
      <w:r>
        <w:rPr>
          <w:iCs/>
          <w:i/>
        </w:rPr>
        <w:t xml:space="preserve">Effectiveness and Efficiency</w:t>
      </w:r>
      <w:r>
        <w:t xml:space="preserve">, indicts medicine for ignoring accumulated trial evidence.</w:t>
      </w:r>
    </w:p>
    <w:p>
      <w:pPr>
        <w:numPr>
          <w:ilvl w:val="0"/>
          <w:numId w:val="1001"/>
        </w:numPr>
        <w:pStyle w:val="Compact"/>
        <w:spacing w:after="240"/>
      </w:pPr>
      <w:r>
        <w:rPr>
          <w:bCs/>
          <w:b/>
        </w:rPr>
        <w:t xml:space="preserve">1992-1993</w:t>
      </w:r>
      <w:r>
        <w:t xml:space="preserve"> </w:t>
      </w:r>
      <w:r>
        <w:t xml:space="preserve">– UK Cochrane Centre opens in Oxford (1992); the Cochrane Collaboration is founded (1993).</w:t>
      </w:r>
    </w:p>
    <w:p>
      <w:pPr>
        <w:numPr>
          <w:ilvl w:val="0"/>
          <w:numId w:val="1001"/>
        </w:numPr>
        <w:pStyle w:val="Compact"/>
        <w:spacing w:after="240"/>
      </w:pPr>
      <w:r>
        <w:rPr>
          <w:bCs/>
          <w:b/>
        </w:rPr>
        <w:t xml:space="preserve">2005</w:t>
      </w:r>
      <w:r>
        <w:t xml:space="preserve"> </w:t>
      </w:r>
      <w:r>
        <w:t xml:space="preserve">– Ioannidis,</w:t>
      </w:r>
      <w:r>
        <w:t xml:space="preserve"> </w:t>
      </w:r>
      <w:r>
        <w:t xml:space="preserve">“</w:t>
      </w:r>
      <w:r>
        <w:t xml:space="preserve">Why Most Published Research Findings Are False.</w:t>
      </w:r>
      <w:r>
        <w:t xml:space="preserve">”</w:t>
      </w:r>
    </w:p>
    <w:p>
      <w:pPr>
        <w:numPr>
          <w:ilvl w:val="0"/>
          <w:numId w:val="1001"/>
        </w:numPr>
        <w:pStyle w:val="Compact"/>
        <w:spacing w:after="240"/>
      </w:pPr>
      <w:r>
        <w:rPr>
          <w:bCs/>
          <w:b/>
        </w:rPr>
        <w:t xml:space="preserve">2006</w:t>
      </w:r>
      <w:r>
        <w:t xml:space="preserve"> </w:t>
      </w:r>
      <w:r>
        <w:t xml:space="preserve">– Cohen et al. demonstrate machine classification of citations to cut screening workload.</w:t>
      </w:r>
    </w:p>
    <w:p>
      <w:pPr>
        <w:numPr>
          <w:ilvl w:val="0"/>
          <w:numId w:val="1001"/>
        </w:numPr>
        <w:pStyle w:val="Compact"/>
        <w:spacing w:after="240"/>
      </w:pPr>
      <w:r>
        <w:rPr>
          <w:bCs/>
          <w:b/>
        </w:rPr>
        <w:t xml:space="preserve">2009-2021</w:t>
      </w:r>
      <w:r>
        <w:t xml:space="preserve"> </w:t>
      </w:r>
      <w:r>
        <w:t xml:space="preserve">– PRISMA (2009), PRISMA-P (2015), PRISMA 2020 standardize reporting.</w:t>
      </w:r>
    </w:p>
    <w:p>
      <w:pPr>
        <w:numPr>
          <w:ilvl w:val="0"/>
          <w:numId w:val="1001"/>
        </w:numPr>
        <w:pStyle w:val="Compact"/>
        <w:spacing w:after="240"/>
      </w:pPr>
      <w:r>
        <w:rPr>
          <w:bCs/>
          <w:b/>
        </w:rPr>
        <w:t xml:space="preserve">2010</w:t>
      </w:r>
      <w:r>
        <w:t xml:space="preserve"> </w:t>
      </w:r>
      <w:r>
        <w:t xml:space="preserve">– Bastian, Glasziou &amp; Chalmers quantify the scaling crisis (</w:t>
      </w:r>
      <w:r>
        <w:t xml:space="preserve">“</w:t>
      </w:r>
      <w:r>
        <w:t xml:space="preserve">Seventy-five trials and eleven systematic reviews a day</w:t>
      </w:r>
      <w:r>
        <w:t xml:space="preserve">”</w:t>
      </w:r>
      <w:r>
        <w:t xml:space="preserve">).</w:t>
      </w:r>
    </w:p>
    <w:p>
      <w:pPr>
        <w:numPr>
          <w:ilvl w:val="0"/>
          <w:numId w:val="1001"/>
        </w:numPr>
        <w:pStyle w:val="Compact"/>
        <w:spacing w:after="240"/>
      </w:pPr>
      <w:r>
        <w:rPr>
          <w:bCs/>
          <w:b/>
        </w:rPr>
        <w:t xml:space="preserve">2010-2012</w:t>
      </w:r>
      <w:r>
        <w:t xml:space="preserve"> </w:t>
      </w:r>
      <w:r>
        <w:t xml:space="preserve">– metafor R package (2010); ExaCT (2010); Abstrackr (2012); OpenMeta-Analyst (2012).</w:t>
      </w:r>
    </w:p>
    <w:p>
      <w:pPr>
        <w:numPr>
          <w:ilvl w:val="0"/>
          <w:numId w:val="1001"/>
        </w:numPr>
        <w:pStyle w:val="Compact"/>
        <w:spacing w:after="240"/>
      </w:pPr>
      <w:r>
        <w:rPr>
          <w:bCs/>
          <w:b/>
        </w:rPr>
        <w:t xml:space="preserve">2014-2018</w:t>
      </w:r>
      <w:r>
        <w:t xml:space="preserve"> </w:t>
      </w:r>
      <w:r>
        <w:t xml:space="preserve">– Living systematic reviews (2014); SYRCLE RoB tool (2014); RobotReviewer (2016); Rayyan (2016); EBM-NLP and the RCT classifier (2018).</w:t>
      </w:r>
    </w:p>
    <w:p>
      <w:pPr>
        <w:numPr>
          <w:ilvl w:val="0"/>
          <w:numId w:val="1001"/>
        </w:numPr>
        <w:pStyle w:val="Compact"/>
        <w:spacing w:after="240"/>
      </w:pPr>
      <w:r>
        <w:rPr>
          <w:bCs/>
          <w:b/>
        </w:rPr>
        <w:t xml:space="preserve">2019-2021</w:t>
      </w:r>
      <w:r>
        <w:t xml:space="preserve"> </w:t>
      </w:r>
      <w:r>
        <w:t xml:space="preserve">– metaDigitise (2019); Trialstreamer (2020); ASReview in</w:t>
      </w:r>
      <w:r>
        <w:t xml:space="preserve"> </w:t>
      </w:r>
      <w:r>
        <w:rPr>
          <w:iCs/>
          <w:i/>
        </w:rPr>
        <w:t xml:space="preserve">Nature Machine Intelligence</w:t>
      </w:r>
      <w:r>
        <w:t xml:space="preserve"> </w:t>
      </w:r>
      <w:r>
        <w:t xml:space="preserve">(2021).</w:t>
      </w:r>
    </w:p>
    <w:p>
      <w:pPr>
        <w:numPr>
          <w:ilvl w:val="0"/>
          <w:numId w:val="1001"/>
        </w:numPr>
        <w:pStyle w:val="Compact"/>
        <w:spacing w:after="240"/>
      </w:pPr>
      <w:r>
        <w:rPr>
          <w:bCs/>
          <w:b/>
        </w:rPr>
        <w:t xml:space="preserve">2023-2026</w:t>
      </w:r>
      <w:r>
        <w:t xml:space="preserve"> </w:t>
      </w:r>
      <w:r>
        <w:t xml:space="preserve">– GPT-4 evaluated for screening/extraction (2023-2024); end-to-end agentic pipelines and the MedMeta/MetaSyn benchmarks (2025-2026) expose a screening ceiling.</w:t>
      </w:r>
    </w:p>
    <w:bookmarkEnd w:id="22"/>
    <w:bookmarkStart w:id="23" w:name="Xa8a5d920df31949999bdd08b43532cfb0a5f585"/>
    <w:p>
      <w:pPr>
        <w:pStyle w:val="Heading2"/>
      </w:pPr>
      <w:r>
        <w:t xml:space="preserve">1. Manual Origins and the Scaling Bottleneck</w:t>
      </w:r>
    </w:p>
    <w:p>
      <w:pPr>
        <w:pStyle w:val="FirstParagraph"/>
        <w:spacing w:after="240"/>
      </w:pPr>
      <w:r>
        <w:t xml:space="preserve">The intellectual root of evidence synthesis is Archie Cochrane’s 1972 monograph</w:t>
      </w:r>
      <w:r>
        <w:t xml:space="preserve"> </w:t>
      </w:r>
      <w:r>
        <w:rPr>
          <w:iCs/>
          <w:i/>
        </w:rPr>
        <w:t xml:space="preserve">Effectiveness and Efficiency</w:t>
      </w:r>
      <w:r>
        <w:t xml:space="preserve">, which argued that medicine squandered the knowledge already sitting in its randomized trials because no one systematically gathered it (Cochrane, 1972). That challenge was institutionalized two decades later: Iain Chalmers opened the UK Cochrane Centre in Oxford in 1992, and the Cochrane Collaboration was founded in 1993 to produce and maintain systematic reviews of healthcare interventions. Cochrane gave the field a mission; it also gave it a method whose cost grew with the literature it was meant to tame.</w:t>
      </w:r>
    </w:p>
    <w:p>
      <w:pPr>
        <w:pStyle w:val="BodyText"/>
        <w:spacing w:after="240"/>
      </w:pPr>
      <w:r>
        <w:t xml:space="preserve">Standardization followed. The QUOROM statement (1999) matured into PRISMA (Moher, Liberati, Tetzlaff, &amp; Altman, 2009), extended by a protocol guideline, PRISMA-P (Shamseer et al., 2015), and comprehensively revised as PRISMA 2020 (Page et al., 2021). These guidelines codified transparency and reproducibility – but by fixing the steps a</w:t>
      </w:r>
      <w:r>
        <w:t xml:space="preserve"> </w:t>
      </w:r>
      <w:r>
        <w:t xml:space="preserve">“</w:t>
      </w:r>
      <w:r>
        <w:t xml:space="preserve">proper</w:t>
      </w:r>
      <w:r>
        <w:t xml:space="preserve">”</w:t>
      </w:r>
      <w:r>
        <w:t xml:space="preserve"> </w:t>
      </w:r>
      <w:r>
        <w:t xml:space="preserve">review must perform, they also fixed its labor. The bottleneck was named with unusual precision by Bastian, Glasziou, and Chalmers (2010), who estimated that some 75 trials and 11 systematic reviews were being published</w:t>
      </w:r>
      <w:r>
        <w:t xml:space="preserve"> </w:t>
      </w:r>
      <w:r>
        <w:rPr>
          <w:iCs/>
          <w:i/>
        </w:rPr>
        <w:t xml:space="preserve">per day</w:t>
      </w:r>
      <w:r>
        <w:t xml:space="preserve">, and asked how evidence synthesis could ever keep pace. That paper is the pivot of this entire history: it reframed automation from a convenience into a structural necessity. Everything after it is a response to the arithmetic it laid bare.</w:t>
      </w:r>
    </w:p>
    <w:bookmarkEnd w:id="23"/>
    <w:bookmarkStart w:id="24" w:name="X8759184221c02324f47b8c025aa027dc30fe375"/>
    <w:p>
      <w:pPr>
        <w:pStyle w:val="Heading2"/>
      </w:pPr>
      <w:r>
        <w:t xml:space="preserve">2. The First Wave: Text Mining and Machine Classification for Screening (2000s-2010s)</w:t>
      </w:r>
    </w:p>
    <w:p>
      <w:pPr>
        <w:pStyle w:val="FirstParagraph"/>
        <w:spacing w:after="240"/>
      </w:pPr>
      <w:r>
        <w:t xml:space="preserve">If the bottleneck was volume, the obvious first target was the most volume-heavy step: title-and-abstract screening, where reviewers might reject 95-98% of thousands of records. The founding demonstration came from Aaron Cohen and colleagues at Oregon Health &amp; Science University, who built a voting-perceptron classifier over annotated drug-class reviews and showed that automated citation classification could measurably reduce the reviewing burden of keeping reviews up to date (Cohen, Hersh, Peterson, &amp; Yen, 2006). The key methodological move was</w:t>
      </w:r>
      <w:r>
        <w:t xml:space="preserve"> </w:t>
      </w:r>
      <w:r>
        <w:rPr>
          <w:iCs/>
          <w:i/>
        </w:rPr>
        <w:t xml:space="preserve">active learning</w:t>
      </w:r>
      <w:r>
        <w:t xml:space="preserve"> </w:t>
      </w:r>
      <w:r>
        <w:t xml:space="preserve">– letting a model trained on the reviewer’s early decisions prioritize the remaining records so relevant studies surface first.</w:t>
      </w:r>
    </w:p>
    <w:p>
      <w:pPr>
        <w:pStyle w:val="BodyText"/>
        <w:spacing w:after="240"/>
      </w:pPr>
      <w:r>
        <w:t xml:space="preserve">Two centers turned this insight into a research program. At Brown University’s Center for Evidence Synthesis, Byron Wallace and colleagues released Abstrackr, an interactive machine-learning screening system deployed in a working evidence-based practice center (Wallace, Small, Brodley, Lau, &amp; Trikalinos, 2012). At the EPPI-Centre (UCL), Alison O’Mara-Eves, James Thomas, and Sophia Ananiadou produced the field’s canonical stock-taking – a systematic review</w:t>
      </w:r>
      <w:r>
        <w:t xml:space="preserve"> </w:t>
      </w:r>
      <w:r>
        <w:rPr>
          <w:iCs/>
          <w:i/>
        </w:rPr>
        <w:t xml:space="preserve">of</w:t>
      </w:r>
      <w:r>
        <w:t xml:space="preserve"> </w:t>
      </w:r>
      <w:r>
        <w:t xml:space="preserve">text-mining approaches to study identification – which consolidated the evidence that screening could be safely semi-automated and set the evaluation vocabulary of recall, workload saved, and burden (O’Mara-Eves, Thomas, McNaught, Miwa, &amp; Ananiadou, 2015).</w:t>
      </w:r>
    </w:p>
    <w:p>
      <w:pPr>
        <w:pStyle w:val="BodyText"/>
        <w:spacing w:after="240"/>
      </w:pPr>
      <w:r>
        <w:t xml:space="preserve">Automation then climbed the workflow. Wallace, Iain Marshall, and Joel Kuiper built RobotReviewer, which read trial PDFs and assigned Cochrane risk-of-bias judgments while extracting the supporting sentences (Marshall, Kuiper, &amp; Wallace, 2016) – the first credible attempt to automate</w:t>
      </w:r>
      <w:r>
        <w:t xml:space="preserve"> </w:t>
      </w:r>
      <w:r>
        <w:rPr>
          <w:iCs/>
          <w:i/>
        </w:rPr>
        <w:t xml:space="preserve">appraisal</w:t>
      </w:r>
      <w:r>
        <w:t xml:space="preserve">, not just retrieval. A companion effort trained classifiers to identify randomized controlled trials themselves, released as the RobotSearch/RCT-classifier tooling and, crucially, accompanied by a practitioner’s guide to using ML in real reviews (Marshall, Noel-Storr, Kuiper, Thomas, &amp; Wallace, 2018). To help reviewers navigate a proliferating ecosystem, Marshall and Brereton catalogued the emerging software as the Systematic Review Toolbox (2015), later expanded and maintained by Johnson and colleagues (2022). The through-line of this wave: screening was a</w:t>
      </w:r>
      <w:r>
        <w:t xml:space="preserve"> </w:t>
      </w:r>
      <w:r>
        <w:rPr>
          <w:iCs/>
          <w:i/>
        </w:rPr>
        <w:t xml:space="preserve">classification</w:t>
      </w:r>
      <w:r>
        <w:t xml:space="preserve"> </w:t>
      </w:r>
      <w:r>
        <w:t xml:space="preserve">problem, and classification was tractable with the supervised methods of the day.</w:t>
      </w:r>
    </w:p>
    <w:bookmarkEnd w:id="24"/>
    <w:bookmarkStart w:id="25" w:name="X3a43c03ef9506a34e73e5ad87ff3e10f1bf9dca"/>
    <w:p>
      <w:pPr>
        <w:pStyle w:val="Heading2"/>
      </w:pPr>
      <w:r>
        <w:t xml:space="preserve">3. Screening Automation Matures – and Meets Its Evaluation Problem</w:t>
      </w:r>
    </w:p>
    <w:p>
      <w:pPr>
        <w:pStyle w:val="FirstParagraph"/>
        <w:spacing w:after="240"/>
      </w:pPr>
      <w:r>
        <w:t xml:space="preserve">The research prototypes of the 2010s hardened into platforms that ordinary reviewers could adopt. Qatar’s Rayyan put collaborative, ML-assisted screening in a free web-and-mobile app used by hundreds of thousands of reviewers (Ouzzani, Hammady, Fedorowicz, &amp; Elmagarmid, 2016). Commercial products – DistillerSR most prominently – embedded continuous active learning into audited, regulatory-grade workflows. In conservation science, Colandr brought the same machinery to environmental evidence (Cheng et al., 2018). The maturation was capped by Rens van de Schoot and colleagues at Utrecht, whose open-source ASReview framework – published in</w:t>
      </w:r>
      <w:r>
        <w:t xml:space="preserve"> </w:t>
      </w:r>
      <w:r>
        <w:rPr>
          <w:iCs/>
          <w:i/>
        </w:rPr>
        <w:t xml:space="preserve">Nature Machine Intelligence</w:t>
      </w:r>
      <w:r>
        <w:t xml:space="preserve"> </w:t>
      </w:r>
      <w:r>
        <w:t xml:space="preserve">– made transparent, benchmarkable active-learning screening a first-class scientific object rather than a black box (van de Schoot et al., 2021).</w:t>
      </w:r>
    </w:p>
    <w:p>
      <w:pPr>
        <w:pStyle w:val="BodyText"/>
        <w:spacing w:after="240"/>
      </w:pPr>
      <w:r>
        <w:t xml:space="preserve">But maturation exposed a second-order problem: how do you know a screening tool is</w:t>
      </w:r>
      <w:r>
        <w:t xml:space="preserve"> </w:t>
      </w:r>
      <w:r>
        <w:rPr>
          <w:iCs/>
          <w:i/>
        </w:rPr>
        <w:t xml:space="preserve">safe</w:t>
      </w:r>
      <w:r>
        <w:t xml:space="preserve">? Because relevant studies are rare, a classifier can post high accuracy while still discarding the handful of trials that would change a conclusion, and evaluations that rely on chance-inflated agreement or imbalanced datasets flatter the machine. This critique – that the field’s evaluation base was thinner and more optimistic than its adoption – became the recurring theme carried forward into the LLM era by Khraisha et al. (2024) and Gartlehner et al. (2024), discussed below. Screening had been</w:t>
      </w:r>
      <w:r>
        <w:t xml:space="preserve"> </w:t>
      </w:r>
      <w:r>
        <w:rPr>
          <w:iCs/>
          <w:i/>
        </w:rPr>
        <w:t xml:space="preserve">automated</w:t>
      </w:r>
      <w:r>
        <w:t xml:space="preserve">; whether it had been automated</w:t>
      </w:r>
      <w:r>
        <w:t xml:space="preserve"> </w:t>
      </w:r>
      <w:r>
        <w:rPr>
          <w:iCs/>
          <w:i/>
        </w:rPr>
        <w:t xml:space="preserve">reliably enough to trust unsupervised</w:t>
      </w:r>
      <w:r>
        <w:t xml:space="preserve"> </w:t>
      </w:r>
      <w:r>
        <w:t xml:space="preserve">remained contested.</w:t>
      </w:r>
    </w:p>
    <w:bookmarkEnd w:id="25"/>
    <w:bookmarkStart w:id="26" w:name="Xa41307d24f07bbece169b1c9945c0456493120a"/>
    <w:p>
      <w:pPr>
        <w:pStyle w:val="Heading2"/>
      </w:pPr>
      <w:r>
        <w:t xml:space="preserve">4. Automated Data and PICO Extraction, and the</w:t>
      </w:r>
      <w:r>
        <w:t xml:space="preserve"> </w:t>
      </w:r>
      <w:r>
        <w:t xml:space="preserve">“</w:t>
      </w:r>
      <w:r>
        <w:t xml:space="preserve">Living</w:t>
      </w:r>
      <w:r>
        <w:t xml:space="preserve">”</w:t>
      </w:r>
      <w:r>
        <w:t xml:space="preserve"> </w:t>
      </w:r>
      <w:r>
        <w:t xml:space="preserve">Review</w:t>
      </w:r>
    </w:p>
    <w:p>
      <w:pPr>
        <w:pStyle w:val="FirstParagraph"/>
        <w:spacing w:after="240"/>
      </w:pPr>
      <w:r>
        <w:t xml:space="preserve">Screening only decides</w:t>
      </w:r>
      <w:r>
        <w:t xml:space="preserve"> </w:t>
      </w:r>
      <w:r>
        <w:rPr>
          <w:iCs/>
          <w:i/>
        </w:rPr>
        <w:t xml:space="preserve">which</w:t>
      </w:r>
      <w:r>
        <w:t xml:space="preserve"> </w:t>
      </w:r>
      <w:r>
        <w:t xml:space="preserve">papers enter a review; the deeper labor is pulling structured facts out of them. This proved far harder, because the target is not a yes/no label but the semantics of a trial. Early work framed it as information extraction: Kiritchenko and colleagues’ ExaCT located and extracted trial characteristics – eligibility, sample size, dosing, outcomes – from full-text articles for human confirmation (Kiritchenko, de Bruijn, Carini, Martin, &amp; Sim, 2010). The community-building step was a shared corpus: EBM-NLP, nearly 5,000 RCT abstracts annotated at multiple levels for Patients, Interventions, and Outcomes, which gave the field a benchmark for PICO extraction (Nye et al., 2018).</w:t>
      </w:r>
    </w:p>
    <w:p>
      <w:pPr>
        <w:pStyle w:val="BodyText"/>
        <w:spacing w:after="240"/>
      </w:pPr>
      <w:r>
        <w:t xml:space="preserve">These pieces converged in Trialstreamer, which chained RCT identification, PICO extraction, and risk-of-bias assessment to continuously monitor PubMed and trial registries, producing a living, automatically updated database of trial reports (Marshall et al., 2020). That system is the technical embodiment of a conceptual leap made years earlier: the</w:t>
      </w:r>
      <w:r>
        <w:t xml:space="preserve"> </w:t>
      </w:r>
      <w:r>
        <w:rPr>
          <w:iCs/>
          <w:i/>
        </w:rPr>
        <w:t xml:space="preserve">living systematic review</w:t>
      </w:r>
      <w:r>
        <w:t xml:space="preserve">. Julian Elliott, James Thomas, and colleagues argued that if extraction and appraisal could be automated, a review need not be a static snapshot but a continuously refreshed synthesis, narrowing the gap between evidence and practice (Elliott et al., 2014). The intellectual logic of the whole wave is visible here – automating retrieval had only shifted the bottleneck downstream to extraction, and automating extraction in turn dissolved the assumption that a review is a one-time event.</w:t>
      </w:r>
    </w:p>
    <w:bookmarkEnd w:id="26"/>
    <w:bookmarkStart w:id="27" w:name="X57c1f5c4b17cc10d8316c04849a51963981cca5"/>
    <w:p>
      <w:pPr>
        <w:pStyle w:val="Heading2"/>
      </w:pPr>
      <w:r>
        <w:t xml:space="preserve">5. The Parallel Lineage: Digitizing Effect Sizes from Figures</w:t>
      </w:r>
    </w:p>
    <w:p>
      <w:pPr>
        <w:pStyle w:val="FirstParagraph"/>
        <w:spacing w:after="240"/>
      </w:pPr>
      <w:r>
        <w:t xml:space="preserve">Running alongside the NLP story is a quieter, older lineage concerned with a stubborn fact: an enormous fraction of the numbers a meta-analyst needs – means, error bars, correlations, survival probabilities – exists only as ink in a published figure, never reported as text. Extracting them is a</w:t>
      </w:r>
      <w:r>
        <w:t xml:space="preserve"> </w:t>
      </w:r>
      <w:r>
        <w:rPr>
          <w:iCs/>
          <w:i/>
        </w:rPr>
        <w:t xml:space="preserve">computer-vision</w:t>
      </w:r>
      <w:r>
        <w:t xml:space="preserve"> </w:t>
      </w:r>
      <w:r>
        <w:t xml:space="preserve">problem, and its tools evolved largely independently of the screening world.</w:t>
      </w:r>
    </w:p>
    <w:p>
      <w:pPr>
        <w:pStyle w:val="BodyText"/>
        <w:spacing w:after="240"/>
      </w:pPr>
      <w:r>
        <w:t xml:space="preserve">The first generation were manual digitizers – DataThief, Engauge Digitizer, Plot Digitizer, GetData Graph Digitizer – desktop programs that let a user calibrate axes and click points off a scanned chart. The consolidating tool was Ankit Rohatgi’s WebPlotDigitizer, a browser-based digitizer with semi-automatic point detection that became the field standard; its reliability was established by independent validation showing excellent inter-coder agreement and accuracy against known values (Drevon, Fursa, &amp; Malcolm, 2017; Burda, O’Connor, Webber, Redmond, &amp; Perdue, 2017). Ecologists, who meta-analyze figure-borne data constantly, pushed toward reproducibility and throughput: Lajeunesse’s metagear folded figure extraction into a full research-synthesis toolbox in R (Lajeunesse, 2016), and Pick, Nakagawa, and Noble’s metaDigitise made extraction scriptable, auditable, and re-runnable rather than a series of unrecorded mouse clicks (Pick, Nakagawa, &amp; Noble, 2019).</w:t>
      </w:r>
    </w:p>
    <w:p>
      <w:pPr>
        <w:pStyle w:val="BodyText"/>
        <w:spacing w:after="240"/>
      </w:pPr>
      <w:r>
        <w:t xml:space="preserve">Two harder specializations mark the frontier. Reconstructing individual-patient data from Kaplan-Meier survival curves – inverting the step function back into censored event times – was solved algorithmically by Guyot, Ades, Ouwens, and Welton (2012), an outsized contribution because it unlocked survival meta-analyses that were otherwise impossible. And fully</w:t>
      </w:r>
      <w:r>
        <w:t xml:space="preserve"> </w:t>
      </w:r>
      <w:r>
        <w:rPr>
          <w:iCs/>
          <w:i/>
        </w:rPr>
        <w:t xml:space="preserve">automated</w:t>
      </w:r>
      <w:r>
        <w:t xml:space="preserve"> </w:t>
      </w:r>
      <w:r>
        <w:t xml:space="preserve">chart parsing, which removes the human from calibration entirely, emerged from computer vision proper: ChartOCR combined deep detection with rule-based reconstruction to read data straight from chart images (Luo, Li, Wang, &amp; Lin, 2021), the direct ancestor of today’s multimodal figure-extraction systems. This lineage matters to the larger story because it is where automation has been</w:t>
      </w:r>
      <w:r>
        <w:t xml:space="preserve"> </w:t>
      </w:r>
      <w:r>
        <w:rPr>
          <w:iCs/>
          <w:i/>
        </w:rPr>
        <w:t xml:space="preserve">least</w:t>
      </w:r>
      <w:r>
        <w:t xml:space="preserve"> </w:t>
      </w:r>
      <w:r>
        <w:t xml:space="preserve">complete: figures resist language models, and much meta-analytic signal is trapped in them.</w:t>
      </w:r>
    </w:p>
    <w:bookmarkEnd w:id="27"/>
    <w:bookmarkStart w:id="28" w:name="X8e33bdd635e7990ddcd1f76efd38156e398f822"/>
    <w:p>
      <w:pPr>
        <w:pStyle w:val="Heading2"/>
      </w:pPr>
      <w:r>
        <w:t xml:space="preserve">6. The Statistical Engine: The R Synthesis Lineage</w:t>
      </w:r>
    </w:p>
    <w:p>
      <w:pPr>
        <w:pStyle w:val="FirstParagraph"/>
        <w:spacing w:after="240"/>
      </w:pPr>
      <w:r>
        <w:t xml:space="preserve">Automating the front of the pipeline is pointless without a trustworthy back end to pool the results, and here the story is one of open, reproducible statistics displacing point-and-click tools. Cochrane’s own RevMan standardized the mechanics of meta-analysis for a generation of clinical reviewers. But the decisive shift came with Wolfgang Viechtbauer’s metafor package, whose 2010</w:t>
      </w:r>
      <w:r>
        <w:t xml:space="preserve"> </w:t>
      </w:r>
      <w:r>
        <w:rPr>
          <w:iCs/>
          <w:i/>
        </w:rPr>
        <w:t xml:space="preserve">Journal of Statistical Software</w:t>
      </w:r>
      <w:r>
        <w:t xml:space="preserve"> </w:t>
      </w:r>
      <w:r>
        <w:t xml:space="preserve">paper turned R into the lingua franca of meta-analysis and made virtually every model – fixed, random, mixed, meta-regression – scriptable and inspectable (Viechtbauer, 2010). Guido Schwarzer’s meta package broadened access, while Wallace and colleagues bridged methodologists and clinicians with OpenMeta-Analyst, using R as a computational back end behind a graphical interface (Wallace, Dahabreh, Trikalinos, Lau, Trow, &amp; Schmid, 2012), and extended it to ecology and evolution as OpenMEE (Wallace et al., 2017).</w:t>
      </w:r>
    </w:p>
    <w:p>
      <w:pPr>
        <w:pStyle w:val="BodyText"/>
        <w:spacing w:after="240"/>
      </w:pPr>
      <w:r>
        <w:t xml:space="preserve">The methodological center of gravity then moved toward</w:t>
      </w:r>
      <w:r>
        <w:t xml:space="preserve"> </w:t>
      </w:r>
      <w:r>
        <w:rPr>
          <w:iCs/>
          <w:i/>
        </w:rPr>
        <w:t xml:space="preserve">dependence</w:t>
      </w:r>
      <w:r>
        <w:t xml:space="preserve">. Real evidence bases contain multiple effect sizes per study, violating the independence classic models assume. Hedges, Tipton, and Johnson introduced robust variance estimation (RVE) to handle dependent effects without knowing their correlation structure (Hedges, Tipton, &amp; Johnson, 2010), and Pustejovsky and Tipton supplied the small-sample corrections that made RVE trustworthy in the modest samples reviews actually have, released as the clubSandwich package (Pustejovsky &amp; Tipton, 2018). This lineage is the reason the</w:t>
      </w:r>
      <w:r>
        <w:t xml:space="preserve"> </w:t>
      </w:r>
      <w:r>
        <w:rPr>
          <w:iCs/>
          <w:i/>
        </w:rPr>
        <w:t xml:space="preserve">analysis</w:t>
      </w:r>
      <w:r>
        <w:t xml:space="preserve"> </w:t>
      </w:r>
      <w:r>
        <w:t xml:space="preserve">step is the most fully automated part of the entire pipeline: given clean data, pooling is a solved, reproducible, packaged operation. The unsolved problem was always getting to clean data.</w:t>
      </w:r>
    </w:p>
    <w:bookmarkEnd w:id="28"/>
    <w:bookmarkStart w:id="29" w:name="the-preclinical-branch"/>
    <w:p>
      <w:pPr>
        <w:pStyle w:val="Heading2"/>
      </w:pPr>
      <w:r>
        <w:t xml:space="preserve">7. The Preclinical Branch</w:t>
      </w:r>
    </w:p>
    <w:p>
      <w:pPr>
        <w:pStyle w:val="FirstParagraph"/>
        <w:spacing w:after="240"/>
      </w:pPr>
      <w:r>
        <w:t xml:space="preserve">Evidence synthesis in animal research developed its own parallel infrastructure, because preclinical studies pose problems – small samples, high heterogeneity, publication bias, distinctive biases – that clinical tools did not address. The organizing force was CAMARADES (Collaborative Approach to Meta-Analysis and Review of Animal Data from Experimental Studies), founded by Malcolm Macleod and Emily Sena, which built the methods and culture of preclinical meta-analysis. The appraisal gap was filled by Hooijmans and colleagues’ SYRCLE risk-of-bias tool, an animal-specific adaptation of the Cochrane instrument (Hooijmans et al., 2014). Tooling followed: SyRF, the CAMARADES/NC3Rs Systematic Review Facility, provided a free online platform – with machine-learning-assisted screening and extraction – purpose-built for in-vivo reviews (Bahor et al., 2021). Registration extended too, via preclinicaltrials.eu and emerging animal-study registries paralleling PROSPERO. This branch is important to the through-line because it independently reproduced the same sequence – standardize, appraise, tool, automate – confirming that the bottlenecks are intrinsic to synthesis, not artifacts of any one field.</w:t>
      </w:r>
    </w:p>
    <w:bookmarkEnd w:id="29"/>
    <w:bookmarkStart w:id="30" w:name="Xb94dd827c00474b89cce6bbaa2650dcf88d8ac4"/>
    <w:p>
      <w:pPr>
        <w:pStyle w:val="Heading2"/>
      </w:pPr>
      <w:r>
        <w:t xml:space="preserve">8. The Metascience Backdrop: Why Any of This Matters</w:t>
      </w:r>
    </w:p>
    <w:p>
      <w:pPr>
        <w:pStyle w:val="FirstParagraph"/>
        <w:spacing w:after="240"/>
      </w:pPr>
      <w:r>
        <w:t xml:space="preserve">Automation of systematic review is not merely an efficiency project; it is a response to a crisis of trust in the literature it synthesizes. John Ioannidis’s</w:t>
      </w:r>
      <w:r>
        <w:t xml:space="preserve"> </w:t>
      </w:r>
      <w:r>
        <w:t xml:space="preserve">“</w:t>
      </w:r>
      <w:r>
        <w:t xml:space="preserve">Why Most Published Research Findings Are False</w:t>
      </w:r>
      <w:r>
        <w:t xml:space="preserve">”</w:t>
      </w:r>
      <w:r>
        <w:t xml:space="preserve"> </w:t>
      </w:r>
      <w:r>
        <w:t xml:space="preserve">(2005) made the statistical case that a large share of published claims are false positives, and the Open Science Collaboration’s mass replication showed empirically that a majority of psychology findings did not reproduce (Open Science Collaboration, 2015). If the primary literature is noisy and biased, then synthesis becomes</w:t>
      </w:r>
      <w:r>
        <w:t xml:space="preserve"> </w:t>
      </w:r>
      <w:r>
        <w:rPr>
          <w:iCs/>
          <w:i/>
        </w:rPr>
        <w:t xml:space="preserve">more</w:t>
      </w:r>
      <w:r>
        <w:t xml:space="preserve"> </w:t>
      </w:r>
      <w:r>
        <w:t xml:space="preserve">important – and also more dangerous, because a fast, cheap review can launder bias at scale. Ioannidis pressed exactly this point in</w:t>
      </w:r>
      <w:r>
        <w:t xml:space="preserve"> </w:t>
      </w:r>
      <w:r>
        <w:t xml:space="preserve">“</w:t>
      </w:r>
      <w:r>
        <w:t xml:space="preserve">The Mass Production of Redundant, Misleading, and Conflicted Systematic Reviews and Meta-analyses</w:t>
      </w:r>
      <w:r>
        <w:t xml:space="preserve">”</w:t>
      </w:r>
      <w:r>
        <w:t xml:space="preserve"> </w:t>
      </w:r>
      <w:r>
        <w:t xml:space="preserve">(2016), warning that reviews themselves had become a low-quality mass product.</w:t>
      </w:r>
    </w:p>
    <w:p>
      <w:pPr>
        <w:pStyle w:val="BodyText"/>
        <w:spacing w:after="240"/>
      </w:pPr>
      <w:r>
        <w:t xml:space="preserve">The corrective toolkit – preregistration and registered reports – shaped synthesis directly. PROSPERO launched in 2011 as a prospective register for review protocols (Booth et al., 2012), the Open Science Framework generalized preregistration, and Registered Reports moved peer review before results were known (Chambers &amp; Tzavella, 2022). This is the crucial context for the automation story: every tool in this history is being built for a literature that is simultaneously too large to read and too unreliable to trust, which is precisely why</w:t>
      </w:r>
      <w:r>
        <w:t xml:space="preserve"> </w:t>
      </w:r>
      <w:r>
        <w:rPr>
          <w:iCs/>
          <w:i/>
        </w:rPr>
        <w:t xml:space="preserve">speed without rigor</w:t>
      </w:r>
      <w:r>
        <w:t xml:space="preserve"> </w:t>
      </w:r>
      <w:r>
        <w:t xml:space="preserve">is the field’s defining hazard.</w:t>
      </w:r>
    </w:p>
    <w:bookmarkEnd w:id="30"/>
    <w:bookmarkStart w:id="31" w:name="the-llm-and-agentic-turn-2023-2026"/>
    <w:p>
      <w:pPr>
        <w:pStyle w:val="Heading2"/>
      </w:pPr>
      <w:r>
        <w:t xml:space="preserve">9. The LLM and Agentic Turn (2023-2026)</w:t>
      </w:r>
    </w:p>
    <w:p>
      <w:pPr>
        <w:pStyle w:val="FirstParagraph"/>
        <w:spacing w:after="240"/>
      </w:pPr>
      <w:r>
        <w:t xml:space="preserve">The arrival of GPT-4 collapsed distinctions the previous two decades had carefully drawn. Where earlier systems were single-task specialists – one model for screening, another for PICO, another for risk of bias – a general language model could plausibly do all of them from a prompt, with no task-specific training corpus. The first rigorous evaluations were sobering rather than triumphant. Khraisha and colleagues ran a preregistered,</w:t>
      </w:r>
      <w:r>
        <w:t xml:space="preserve"> </w:t>
      </w:r>
      <w:r>
        <w:t xml:space="preserve">“</w:t>
      </w:r>
      <w:r>
        <w:t xml:space="preserve">human-out-of-the-loop</w:t>
      </w:r>
      <w:r>
        <w:t xml:space="preserve">”</w:t>
      </w:r>
      <w:r>
        <w:t xml:space="preserve"> </w:t>
      </w:r>
      <w:r>
        <w:t xml:space="preserve">test of GPT-4 across screening, full-text review, and extraction in multiple languages, and found that apparent parity with humans was inflated by chance agreement and class imbalance, with substantial limitations on many tasks (Khraisha, Put, Kappenberg, Warraitch, &amp; Hadfield, 2024). Gartlehner and colleagues, testing LLM data extraction as proof-of-concept, likewise found promising but error-prone performance requiring human verification (Gartlehner et al., 2024; see also Konet et al., 2024). The pattern from Section 3 recurred: the tool works impressively in aggregate and fails exactly where it is most costly.</w:t>
      </w:r>
    </w:p>
    <w:p>
      <w:pPr>
        <w:pStyle w:val="BodyText"/>
        <w:spacing w:after="240"/>
      </w:pPr>
      <w:r>
        <w:t xml:space="preserve">The deeper shift of 2025-2026 was architectural – from single-task ML toward</w:t>
      </w:r>
      <w:r>
        <w:t xml:space="preserve"> </w:t>
      </w:r>
      <w:r>
        <w:rPr>
          <w:iCs/>
          <w:i/>
        </w:rPr>
        <w:t xml:space="preserve">end-to-end agentic pipelines</w:t>
      </w:r>
      <w:r>
        <w:t xml:space="preserve"> </w:t>
      </w:r>
      <w:r>
        <w:t xml:space="preserve">that attempt the whole review, retrieval through synthesis, as one orchestrated system (e.g., meta-pipe; AutoSynthesis). Two benchmarks defined the moment. MedMeta tested whether an LLM could synthesize a meta-analytic conclusion from the abstracts of the cited studies, and exposed a</w:t>
      </w:r>
      <w:r>
        <w:t xml:space="preserve"> </w:t>
      </w:r>
      <w:r>
        <w:t xml:space="preserve">“</w:t>
      </w:r>
      <w:r>
        <w:t xml:space="preserve">universal RAG vulnerability to faulty evidence</w:t>
      </w:r>
      <w:r>
        <w:t xml:space="preserve">”</w:t>
      </w:r>
      <w:r>
        <w:t xml:space="preserve"> </w:t>
      </w:r>
      <w:r>
        <w:t xml:space="preserve">– models confidently propagate wrong conclusions when fed flawed inputs (MedMeta, 2026). Most tellingly, MetaSyn – 442 expert-curated meta-analyses from Nature Portfolio journals, with verified included studies and deliberately hard, topically similar</w:t>
      </w:r>
      <w:r>
        <w:t xml:space="preserve"> </w:t>
      </w:r>
      <w:r>
        <w:t xml:space="preserve">“</w:t>
      </w:r>
      <w:r>
        <w:t xml:space="preserve">distractor</w:t>
      </w:r>
      <w:r>
        <w:t xml:space="preserve">”</w:t>
      </w:r>
      <w:r>
        <w:t xml:space="preserve"> </w:t>
      </w:r>
      <w:r>
        <w:t xml:space="preserve">negatives – decomposed the pipeline stage by stage and found a decisive</w:t>
      </w:r>
      <w:r>
        <w:t xml:space="preserve"> </w:t>
      </w:r>
      <w:r>
        <w:rPr>
          <w:iCs/>
          <w:i/>
        </w:rPr>
        <w:t xml:space="preserve">screening</w:t>
      </w:r>
      <w:r>
        <w:t xml:space="preserve"> </w:t>
      </w:r>
      <w:r>
        <w:t xml:space="preserve">bottleneck: despite a retrieval ceiling of 90.9% recall,</w:t>
      </w:r>
      <w:r>
        <w:t xml:space="preserve"> </w:t>
      </w:r>
      <w:r>
        <w:rPr>
          <w:bCs/>
          <w:b/>
        </w:rPr>
        <w:t xml:space="preserve">no configuration recovered more than 52.7% of the ground-truth included studies</w:t>
      </w:r>
      <w:r>
        <w:t xml:space="preserve"> </w:t>
      </w:r>
      <w:r>
        <w:t xml:space="preserve">(Xie, Su, Zhou, Liu, &amp; Ai, 2026). The finding is the through-line of this entire history stated in one number. Retrieval – finding candidate papers – is largely solved. Eligibility judgment – deciding which candidates genuinely meet fine-grained PICO criteria against near-miss distractors – is not, because it demands exactly the contextual, contestable reasoning that resists automation.</w:t>
      </w:r>
    </w:p>
    <w:bookmarkEnd w:id="31"/>
    <w:bookmarkStart w:id="32" w:name="X01a3e426ec2a70ec55b5b48d8c4a76543771de9"/>
    <w:p>
      <w:pPr>
        <w:pStyle w:val="Heading2"/>
      </w:pPr>
      <w:r>
        <w:t xml:space="preserve">10. Closing Synthesis: What Has and Hasn’t Been Automatable, and Why</w:t>
      </w:r>
    </w:p>
    <w:p>
      <w:pPr>
        <w:pStyle w:val="FirstParagraph"/>
        <w:spacing w:after="240"/>
      </w:pPr>
      <w:r>
        <w:t xml:space="preserve">Read across fifty years, the pattern is remarkably consistent. Each wave automated a step, and in doing so revealed that the</w:t>
      </w:r>
      <w:r>
        <w:t xml:space="preserve"> </w:t>
      </w:r>
      <w:r>
        <w:rPr>
          <w:iCs/>
          <w:i/>
        </w:rPr>
        <w:t xml:space="preserve">real</w:t>
      </w:r>
      <w:r>
        <w:t xml:space="preserve"> </w:t>
      </w:r>
      <w:r>
        <w:t xml:space="preserve">labor lived one step downstream: automating retrieval exposed screening; automating screening exposed extraction; automating extraction exposed appraisal and eligibility judgment; and the LLM era, promising to dissolve all of these at once, instead relocated the same bottleneck and made it measurable at 52.7%.</w:t>
      </w:r>
    </w:p>
    <w:p>
      <w:pPr>
        <w:pStyle w:val="BodyText"/>
        <w:spacing w:after="240"/>
      </w:pPr>
      <w:r>
        <w:t xml:space="preserve">The steps that automate well share a property: they are</w:t>
      </w:r>
      <w:r>
        <w:t xml:space="preserve"> </w:t>
      </w:r>
      <w:r>
        <w:rPr>
          <w:iCs/>
          <w:i/>
        </w:rPr>
        <w:t xml:space="preserve">closed and verifiable</w:t>
      </w:r>
      <w:r>
        <w:t xml:space="preserve">. Statistical pooling is fully automated and reproducible (metafor, RVE, clubSandwich) because, given clean inputs, it is deterministic. Retrieval and deduplication automate well because recall against a corpus is checkable. Boolean-scale screening prioritization automates well because ranking rare positives is a tractable learning problem. Even figure digitization automates increasingly well where the target is geometrically constrained – axes, points, survival steps (WebPlotDigitizer, Guyot et al., ChartOCR).</w:t>
      </w:r>
    </w:p>
    <w:p>
      <w:pPr>
        <w:pStyle w:val="BodyText"/>
        <w:spacing w:after="240"/>
      </w:pPr>
      <w:r>
        <w:t xml:space="preserve">What has resisted automation shares the opposite property: it is</w:t>
      </w:r>
      <w:r>
        <w:t xml:space="preserve"> </w:t>
      </w:r>
      <w:r>
        <w:rPr>
          <w:iCs/>
          <w:i/>
        </w:rPr>
        <w:t xml:space="preserve">open, contextual, and consequential under rare error</w:t>
      </w:r>
      <w:r>
        <w:t xml:space="preserve">. Fine-grained eligibility screening fails because a single wrongly excluded trial can flip a conclusion and because</w:t>
      </w:r>
      <w:r>
        <w:t xml:space="preserve"> </w:t>
      </w:r>
      <w:r>
        <w:t xml:space="preserve">“</w:t>
      </w:r>
      <w:r>
        <w:t xml:space="preserve">eligible</w:t>
      </w:r>
      <w:r>
        <w:t xml:space="preserve">”</w:t>
      </w:r>
      <w:r>
        <w:t xml:space="preserve"> </w:t>
      </w:r>
      <w:r>
        <w:t xml:space="preserve">is a judgment against criteria that were themselves written in prose. Data extraction fails because meaning is distributed across tables, figures, footnotes, and supplements, and because LLMs hallucinate plausible values. Risk-of-bias appraisal fails because it is interpretive argument, not fact lookup. And synthesis-level reasoning fails most dangerously of all, because a model that propagates faulty evidence with fluent confidence (MedMeta) manufactures exactly the</w:t>
      </w:r>
      <w:r>
        <w:t xml:space="preserve"> </w:t>
      </w:r>
      <w:r>
        <w:t xml:space="preserve">“</w:t>
      </w:r>
      <w:r>
        <w:t xml:space="preserve">redundant, misleading</w:t>
      </w:r>
      <w:r>
        <w:t xml:space="preserve">”</w:t>
      </w:r>
      <w:r>
        <w:t xml:space="preserve"> </w:t>
      </w:r>
      <w:r>
        <w:t xml:space="preserve">reviews Ioannidis (2016) warned against – now at machine speed.</w:t>
      </w:r>
    </w:p>
    <w:p>
      <w:pPr>
        <w:pStyle w:val="BodyText"/>
        <w:spacing w:after="240"/>
      </w:pPr>
      <w:r>
        <w:t xml:space="preserve">The honest conclusion the field has reached is that automation has changed the</w:t>
      </w:r>
      <w:r>
        <w:t xml:space="preserve"> </w:t>
      </w:r>
      <w:r>
        <w:rPr>
          <w:iCs/>
          <w:i/>
        </w:rPr>
        <w:t xml:space="preserve">shape</w:t>
      </w:r>
      <w:r>
        <w:t xml:space="preserve"> </w:t>
      </w:r>
      <w:r>
        <w:t xml:space="preserve">of the human role rather than eliminating it. The reviewer is migrating from executor to verifier: from the person who reads 4,000 abstracts to the person who audits a machine’s borderline decisions, adjudicates its extractions, and vouches for its inclusions. The unsolved center of evidence synthesis – deciding what counts as relevant, trustworthy evidence for a specific question – turns out to be the part that was never really a labor problem at all. It is a judgment problem, and judgment, so far, is the one thing no wave of automation has been able to hand off.</w:t>
      </w:r>
    </w:p>
    <w:bookmarkEnd w:id="32"/>
    <w:bookmarkEnd w:id="33"/>
    <w:bookmarkStart w:id="41" w:name="X7d3cbc7ed57c5d87004d9f72aba22d59ab5a96c"/>
    <w:p>
      <w:pPr>
        <w:pStyle w:val="Heading1"/>
      </w:pPr>
      <w:r>
        <w:t xml:space="preserve">Part II. The Competitive Landscape (Mid-2026)</w:t>
      </w:r>
    </w:p>
    <w:p>
      <w:pPr>
        <w:pStyle w:val="FirstParagraph"/>
        <w:spacing w:after="240"/>
      </w:pPr>
      <w:r>
        <w:rPr>
          <w:bCs/>
          <w:b/>
        </w:rPr>
        <w:t xml:space="preserve">Bottom line.</w:t>
      </w:r>
      <w:r>
        <w:t xml:space="preserve"> </w:t>
      </w:r>
      <w:r>
        <w:t xml:space="preserve">As of mid-2026 the headline</w:t>
      </w:r>
      <w:r>
        <w:t xml:space="preserve"> </w:t>
      </w:r>
      <w:r>
        <w:t xml:space="preserve">“</w:t>
      </w:r>
      <w:r>
        <w:t xml:space="preserve">end-to-end, question → pooled</w:t>
      </w:r>
      <w:r>
        <w:t xml:space="preserve"> </w:t>
      </w:r>
      <w:r>
        <w:rPr>
          <w:rStyle w:val="VerbatimChar"/>
        </w:rPr>
        <w:t xml:space="preserve">metafor</w:t>
      </w:r>
      <w:r>
        <w:t xml:space="preserve"> </w:t>
      </w:r>
      <w:r>
        <w:t xml:space="preserve">estimate → forest plot</w:t>
      </w:r>
      <w:r>
        <w:t xml:space="preserve">”</w:t>
      </w:r>
      <w:r>
        <w:t xml:space="preserve"> </w:t>
      </w:r>
      <w:r>
        <w:t xml:space="preserve">has</w:t>
      </w:r>
      <w:r>
        <w:t xml:space="preserve"> </w:t>
      </w:r>
      <w:r>
        <w:rPr>
          <w:bCs/>
          <w:b/>
        </w:rPr>
        <w:t xml:space="preserve">stopped being a differentiator</w:t>
      </w:r>
      <w:r>
        <w:t xml:space="preserve"> </w:t>
      </w:r>
      <w:r>
        <w:t xml:space="preserve">— it is a crowded research theme (meta-pipe, LUMEN, AutoForest, Manalyzer) plus shipped products (otto-SR, Nested Knowledge). The pooling math is universally delegated to R</w:t>
      </w:r>
      <w:r>
        <w:t xml:space="preserve"> </w:t>
      </w:r>
      <w:r>
        <w:rPr>
          <w:rStyle w:val="VerbatimChar"/>
        </w:rPr>
        <w:t xml:space="preserve">metafor</w:t>
      </w:r>
      <w:r>
        <w:t xml:space="preserve">/</w:t>
      </w:r>
      <w:r>
        <w:rPr>
          <w:rStyle w:val="VerbatimChar"/>
        </w:rPr>
        <w:t xml:space="preserve">meta</w:t>
      </w:r>
      <w:r>
        <w:t xml:space="preserve">, so</w:t>
      </w:r>
      <w:r>
        <w:t xml:space="preserve"> </w:t>
      </w:r>
      <w:r>
        <w:t xml:space="preserve">“</w:t>
      </w:r>
      <w:r>
        <w:t xml:space="preserve">R does the inference</w:t>
      </w:r>
      <w:r>
        <w:t xml:space="preserve">”</w:t>
      </w:r>
      <w:r>
        <w:t xml:space="preserve"> </w:t>
      </w:r>
      <w:r>
        <w:t xml:space="preserve">is</w:t>
      </w:r>
      <w:r>
        <w:t xml:space="preserve"> </w:t>
      </w:r>
      <w:r>
        <w:rPr>
          <w:bCs/>
          <w:b/>
        </w:rPr>
        <w:t xml:space="preserve">table stakes, not novelty</w:t>
      </w:r>
      <w:r>
        <w:t xml:space="preserve">. What no one has assembled is the</w:t>
      </w:r>
      <w:r>
        <w:t xml:space="preserve"> </w:t>
      </w:r>
      <w:r>
        <w:rPr>
          <w:bCs/>
          <w:b/>
        </w:rPr>
        <w:t xml:space="preserve">combination</w:t>
      </w:r>
      <w:r>
        <w:t xml:space="preserve">: figure-derived extraction routed into a study/arm-level multilevel model (</w:t>
      </w:r>
      <w:r>
        <w:rPr>
          <w:rStyle w:val="VerbatimChar"/>
        </w:rPr>
        <w:t xml:space="preserve">rma.mv</w:t>
      </w:r>
      <w:r>
        <w:t xml:space="preserve">) with per-value provenance, a feasibility-proven preregistration gate, an append-only decision log, and preclinical/cross-species reach — in one pipeline. Each piece exists somewhere; together, nowhere. Position as</w:t>
      </w:r>
      <w:r>
        <w:t xml:space="preserve"> </w:t>
      </w:r>
      <w:r>
        <w:t xml:space="preserve">“</w:t>
      </w:r>
      <w:r>
        <w:t xml:space="preserve">executed more reliably, transparently, and on harder data than the 2026 preprint cohort,</w:t>
      </w:r>
      <w:r>
        <w:t xml:space="preserve">”</w:t>
      </w:r>
      <w:r>
        <w:t xml:space="preserve"> </w:t>
      </w:r>
      <w:r>
        <w:t xml:space="preserve">not</w:t>
      </w:r>
      <w:r>
        <w:t xml:space="preserve"> </w:t>
      </w:r>
      <w:r>
        <w:t xml:space="preserve">“</w:t>
      </w:r>
      <w:r>
        <w:t xml:space="preserve">first to do X.</w:t>
      </w:r>
      <w:r>
        <w:t xml:space="preserve">”</w:t>
      </w:r>
    </w:p>
    <w:p>
      <w:pPr>
        <w:spacing w:after="240"/>
      </w:pPr>
      <w:r>
        <w:pict>
          <v:rect style="width:0;height:1.5pt" o:hralign="center" o:hrstd="t" o:hr="t"/>
        </w:pict>
      </w:r>
    </w:p>
    <w:bookmarkStart w:id="34" w:name="Xedbb34856ca78c3611d7bbbcaa0a477366ad67f"/>
    <w:p>
      <w:pPr>
        <w:pStyle w:val="Heading2"/>
      </w:pPr>
      <w:r>
        <w:t xml:space="preserve">1. The frontier: end-to-end agentic MA systems (2025–2026) — the direct analogs</w:t>
      </w:r>
    </w:p>
    <w:p>
      <w:pPr>
        <w:numPr>
          <w:ilvl w:val="0"/>
          <w:numId w:val="1002"/>
        </w:numPr>
        <w:pStyle w:val="Compact"/>
        <w:spacing w:after="240"/>
      </w:pPr>
      <w:r>
        <w:rPr>
          <w:bCs/>
          <w:b/>
        </w:rPr>
        <w:t xml:space="preserve">meta-pipe</w:t>
      </w:r>
      <w:r>
        <w:t xml:space="preserve"> </w:t>
      </w:r>
      <w:r>
        <w:t xml:space="preserve">— the nearest conceptual competitor, and</w:t>
      </w:r>
      <w:r>
        <w:t xml:space="preserve"> </w:t>
      </w:r>
      <w:r>
        <w:rPr>
          <w:bCs/>
          <w:b/>
        </w:rPr>
        <w:t xml:space="preserve">Claude-Code-native like this project</w:t>
      </w:r>
      <w:r>
        <w:t xml:space="preserve"> </w:t>
      </w:r>
      <w:r>
        <w:t xml:space="preserve">(Opus reasoning + Haiku classification) across ~10 stages (PICO/protocol → search/dedup → screening → extraction → R stats → Quarto manuscript → GRADE → PRISMA/QA). Pooling via external R</w:t>
      </w:r>
      <w:r>
        <w:t xml:space="preserve"> </w:t>
      </w:r>
      <w:r>
        <w:rPr>
          <w:rStyle w:val="VerbatimChar"/>
        </w:rPr>
        <w:t xml:space="preserve">meta</w:t>
      </w:r>
      <w:r>
        <w:t xml:space="preserve">/</w:t>
      </w:r>
      <w:r>
        <w:rPr>
          <w:rStyle w:val="VerbatimChar"/>
        </w:rPr>
        <w:t xml:space="preserve">metafor</w:t>
      </w:r>
      <w:r>
        <w:t xml:space="preserve">/</w:t>
      </w:r>
      <w:r>
        <w:rPr>
          <w:rStyle w:val="VerbatimChar"/>
        </w:rPr>
        <w:t xml:space="preserve">gemtc</w:t>
      </w:r>
      <w:r>
        <w:t xml:space="preserve">/</w:t>
      </w:r>
      <w:r>
        <w:rPr>
          <w:rStyle w:val="VerbatimChar"/>
        </w:rPr>
        <w:t xml:space="preserve">netmeta</w:t>
      </w:r>
      <w:r>
        <w:t xml:space="preserve"> </w:t>
      </w:r>
      <w:r>
        <w:t xml:space="preserve">(incl. network MA). Has</w:t>
      </w:r>
      <w:r>
        <w:t xml:space="preserve"> </w:t>
      </w:r>
      <w:r>
        <w:rPr>
          <w:bCs/>
          <w:b/>
        </w:rPr>
        <w:t xml:space="preserve">5 mandatory human gates</w:t>
      </w:r>
      <w:r>
        <w:t xml:space="preserve"> </w:t>
      </w:r>
      <w:r>
        <w:t xml:space="preserve">and</w:t>
      </w:r>
      <w:r>
        <w:t xml:space="preserve"> </w:t>
      </w:r>
      <w:r>
        <w:rPr>
          <w:bCs/>
          <w:b/>
        </w:rPr>
        <w:t xml:space="preserve">reads effect estimates back from R files</w:t>
      </w:r>
      <w:r>
        <w:t xml:space="preserve"> </w:t>
      </w:r>
      <w:r>
        <w:t xml:space="preserve">to prevent manuscript hallucination (two ideas to steal). But:</w:t>
      </w:r>
      <w:r>
        <w:t xml:space="preserve"> </w:t>
      </w:r>
      <w:r>
        <w:rPr>
          <w:bCs/>
          <w:b/>
        </w:rPr>
        <w:t xml:space="preserve">cannot read figures/supplements/complex tables</w:t>
      </w:r>
      <w:r>
        <w:t xml:space="preserve">,</w:t>
      </w:r>
      <w:r>
        <w:t xml:space="preserve"> </w:t>
      </w:r>
      <w:r>
        <w:rPr>
          <w:bCs/>
          <w:b/>
        </w:rPr>
        <w:t xml:space="preserve">article-level only</w:t>
      </w:r>
      <w:r>
        <w:t xml:space="preserve">,</w:t>
      </w:r>
      <w:r>
        <w:t xml:space="preserve"> </w:t>
      </w:r>
      <w:r>
        <w:rPr>
          <w:bCs/>
          <w:b/>
        </w:rPr>
        <w:t xml:space="preserve">no preregistration/feasibility gate</w:t>
      </w:r>
      <w:r>
        <w:t xml:space="preserve">, decision</w:t>
      </w:r>
      <w:r>
        <w:t xml:space="preserve"> </w:t>
      </w:r>
      <w:r>
        <w:t xml:space="preserve">“</w:t>
      </w:r>
      <w:r>
        <w:t xml:space="preserve">log</w:t>
      </w:r>
      <w:r>
        <w:t xml:space="preserve">”</w:t>
      </w:r>
      <w:r>
        <w:t xml:space="preserve"> </w:t>
      </w:r>
      <w:r>
        <w:t xml:space="preserve">is a CSV,</w:t>
      </w:r>
      <w:r>
        <w:t xml:space="preserve"> </w:t>
      </w:r>
      <w:r>
        <w:rPr>
          <w:bCs/>
          <w:b/>
        </w:rPr>
        <w:t xml:space="preserve">no preclinical</w:t>
      </w:r>
      <w:r>
        <w:t xml:space="preserve">, and</w:t>
      </w:r>
      <w:r>
        <w:t xml:space="preserve"> </w:t>
      </w:r>
      <w:r>
        <w:rPr>
          <w:bCs/>
          <w:b/>
        </w:rPr>
        <w:t xml:space="preserve">zero validation</w:t>
      </w:r>
      <w:r>
        <w:t xml:space="preserve"> </w:t>
      </w:r>
      <w:r>
        <w:t xml:space="preserve">(</w:t>
      </w:r>
      <w:r>
        <w:t xml:space="preserve">“</w:t>
      </w:r>
      <w:r>
        <w:t xml:space="preserve">a system description, not a validation study</w:t>
      </w:r>
      <w:r>
        <w:t xml:space="preserve">”</w:t>
      </w:r>
      <w:r>
        <w:t xml:space="preserve">). License contradictory. https://arxiv.org/abs/2606.28363 · https://github.com/htlin222/meta-pipe</w:t>
      </w:r>
    </w:p>
    <w:p>
      <w:pPr>
        <w:numPr>
          <w:ilvl w:val="0"/>
          <w:numId w:val="1002"/>
        </w:numPr>
        <w:pStyle w:val="Compact"/>
        <w:spacing w:after="240"/>
      </w:pPr>
      <w:r>
        <w:rPr>
          <w:bCs/>
          <w:b/>
        </w:rPr>
        <w:t xml:space="preserve">LUMEN</w:t>
      </w:r>
      <w:r>
        <w:t xml:space="preserve"> </w:t>
      </w:r>
      <w:r>
        <w:t xml:space="preserve">— the most validated open pipeline. 11 cost-routed agents;</w:t>
      </w:r>
      <w:r>
        <w:t xml:space="preserve"> </w:t>
      </w:r>
      <w:r>
        <w:rPr>
          <w:bCs/>
          <w:b/>
        </w:rPr>
        <w:t xml:space="preserve">REML + Knapp-Hartung via</w:t>
      </w:r>
      <w:r>
        <w:rPr>
          <w:bCs/>
          <w:b/>
        </w:rPr>
        <w:t xml:space="preserve"> </w:t>
      </w:r>
      <w:r>
        <w:rPr>
          <w:rStyle w:val="VerbatimChar"/>
          <w:bCs/>
          <w:b/>
        </w:rPr>
        <w:t xml:space="preserve">metafor</w:t>
      </w:r>
      <w:r>
        <w:t xml:space="preserve">; novelty is</w:t>
      </w:r>
      <w:r>
        <w:t xml:space="preserve"> </w:t>
      </w:r>
      <w:r>
        <w:rPr>
          <w:bCs/>
          <w:b/>
        </w:rPr>
        <w:t xml:space="preserve">cost transparency</w:t>
      </w:r>
      <w:r>
        <w:t xml:space="preserve"> </w:t>
      </w:r>
      <w:r>
        <w:t xml:space="preserve">(~$22.65/review, full per-call JSON logs) and the finding that</w:t>
      </w:r>
      <w:r>
        <w:t xml:space="preserve"> </w:t>
      </w:r>
      <w:r>
        <w:rPr>
          <w:bCs/>
          <w:b/>
        </w:rPr>
        <w:t xml:space="preserve">multi-pass extraction is essential</w:t>
      </w:r>
      <w:r>
        <w:t xml:space="preserve"> </w:t>
      </w:r>
      <w:r>
        <w:t xml:space="preserve">(5.7× more poolable analyses). 100% directional agreement on 13 outcomes. But</w:t>
      </w:r>
      <w:r>
        <w:t xml:space="preserve"> </w:t>
      </w:r>
      <w:r>
        <w:rPr>
          <w:bCs/>
          <w:b/>
        </w:rPr>
        <w:t xml:space="preserve">plain random-effects (no</w:t>
      </w:r>
      <w:r>
        <w:rPr>
          <w:bCs/>
          <w:b/>
        </w:rPr>
        <w:t xml:space="preserve"> </w:t>
      </w:r>
      <w:r>
        <w:rPr>
          <w:rStyle w:val="VerbatimChar"/>
          <w:bCs/>
          <w:b/>
        </w:rPr>
        <w:t xml:space="preserve">rma.mv</w:t>
      </w:r>
      <w:r>
        <w:rPr>
          <w:bCs/>
          <w:b/>
        </w:rPr>
        <w:t xml:space="preserve">)</w:t>
      </w:r>
      <w:r>
        <w:t xml:space="preserve">, no figures, no prereg, no preclinical, oversight</w:t>
      </w:r>
      <w:r>
        <w:t xml:space="preserve"> </w:t>
      </w:r>
      <w:r>
        <w:rPr>
          <w:bCs/>
          <w:b/>
        </w:rPr>
        <w:t xml:space="preserve">optional</w:t>
      </w:r>
      <w:r>
        <w:t xml:space="preserve"> </w:t>
      </w:r>
      <w:r>
        <w:t xml:space="preserve">(a disagreement queue). MIT. https://arxiv.org/html/2606.28362v1</w:t>
      </w:r>
    </w:p>
    <w:p>
      <w:pPr>
        <w:numPr>
          <w:ilvl w:val="0"/>
          <w:numId w:val="1002"/>
        </w:numPr>
        <w:pStyle w:val="Compact"/>
        <w:spacing w:after="240"/>
      </w:pPr>
      <w:r>
        <w:rPr>
          <w:bCs/>
          <w:b/>
        </w:rPr>
        <w:t xml:space="preserve">otto-SR</w:t>
      </w:r>
      <w:r>
        <w:t xml:space="preserve"> </w:t>
      </w:r>
      <w:r>
        <w:t xml:space="preserve">— strongest</w:t>
      </w:r>
      <w:r>
        <w:t xml:space="preserve"> </w:t>
      </w:r>
      <w:r>
        <w:rPr>
          <w:iCs/>
          <w:i/>
        </w:rPr>
        <w:t xml:space="preserve">deployed</w:t>
      </w:r>
      <w:r>
        <w:t xml:space="preserve"> </w:t>
      </w:r>
      <w:r>
        <w:t xml:space="preserve">system; deliberately stops before pooling.</w:t>
      </w:r>
      <w:r>
        <w:t xml:space="preserve"> </w:t>
      </w:r>
      <w:r>
        <w:rPr>
          <w:bCs/>
          <w:b/>
        </w:rPr>
        <w:t xml:space="preserve">Beat dual-human baselines</w:t>
      </w:r>
      <w:r>
        <w:t xml:space="preserve"> </w:t>
      </w:r>
      <w:r>
        <w:t xml:space="preserve">(screening 96.7%/97.9%; extraction 93.1% vs 79.7% human) and</w:t>
      </w:r>
      <w:r>
        <w:t xml:space="preserve"> </w:t>
      </w:r>
      <w:r>
        <w:rPr>
          <w:bCs/>
          <w:b/>
        </w:rPr>
        <w:t xml:space="preserve">reproduced/updated 12 Cochrane reviews in ~2 days</w:t>
      </w:r>
      <w:r>
        <w:t xml:space="preserve"> </w:t>
      </w:r>
      <w:r>
        <w:t xml:space="preserve">(~12 work-years), finding ~54 missed studies and flipping significance in 3 — but only with dual human verification; humans pool. Commercial. https://www.ottosr.com/ · https://www.medrxiv.org/content/10.1101/2025.06.13.25329541v1</w:t>
      </w:r>
    </w:p>
    <w:p>
      <w:pPr>
        <w:numPr>
          <w:ilvl w:val="0"/>
          <w:numId w:val="1002"/>
        </w:numPr>
        <w:pStyle w:val="Compact"/>
        <w:spacing w:after="240"/>
      </w:pPr>
      <w:r>
        <w:rPr>
          <w:bCs/>
          <w:b/>
        </w:rPr>
        <w:t xml:space="preserve">AutoForest</w:t>
      </w:r>
      <w:r>
        <w:t xml:space="preserve"> </w:t>
      </w:r>
      <w:r>
        <w:t xml:space="preserve">(IBM/UCL) —</w:t>
      </w:r>
      <w:r>
        <w:t xml:space="preserve"> </w:t>
      </w:r>
      <w:r>
        <w:t xml:space="preserve">“</w:t>
      </w:r>
      <w:r>
        <w:t xml:space="preserve">first end-to-end system that generates publication-ready forest plots from papers.</w:t>
      </w:r>
      <w:r>
        <w:t xml:space="preserve">”</w:t>
      </w:r>
      <w:r>
        <w:t xml:space="preserve"> </w:t>
      </w:r>
      <w:r>
        <w:t xml:space="preserve">Docling parsing → Claude extraction →</w:t>
      </w:r>
      <w:r>
        <w:t xml:space="preserve"> </w:t>
      </w:r>
      <w:r>
        <w:rPr>
          <w:bCs/>
          <w:b/>
        </w:rPr>
        <w:t xml:space="preserve">arm-level</w:t>
      </w:r>
      <w:r>
        <w:t xml:space="preserve"> </w:t>
      </w:r>
      <w:r>
        <w:t xml:space="preserve">→ pooled via R</w:t>
      </w:r>
      <w:r>
        <w:t xml:space="preserve"> </w:t>
      </w:r>
      <w:r>
        <w:rPr>
          <w:rStyle w:val="VerbatimChar"/>
        </w:rPr>
        <w:t xml:space="preserve">meta</w:t>
      </w:r>
      <w:r>
        <w:t xml:space="preserve"> </w:t>
      </w:r>
      <w:r>
        <w:t xml:space="preserve">→ forest + RoB. 32 forest plots / 18 Cochrane reviews (extraction ~82–83%; RoB ~63%). Arm-level, but figure handling is table parsing + human validation,</w:t>
      </w:r>
      <w:r>
        <w:t xml:space="preserve"> </w:t>
      </w:r>
      <w:r>
        <w:rPr>
          <w:bCs/>
          <w:b/>
        </w:rPr>
        <w:t xml:space="preserve">not chart digitization</w:t>
      </w:r>
      <w:r>
        <w:t xml:space="preserve">. https://arxiv.org/abs/2606.02403</w:t>
      </w:r>
    </w:p>
    <w:p>
      <w:pPr>
        <w:numPr>
          <w:ilvl w:val="0"/>
          <w:numId w:val="1002"/>
        </w:numPr>
        <w:pStyle w:val="Compact"/>
        <w:spacing w:after="240"/>
      </w:pPr>
      <w:r>
        <w:rPr>
          <w:bCs/>
          <w:b/>
        </w:rPr>
        <w:t xml:space="preserve">Manalyzer</w:t>
      </w:r>
      <w:r>
        <w:t xml:space="preserve"> </w:t>
      </w:r>
      <w:r>
        <w:t xml:space="preserve">— multimodal end-to-end MA that</w:t>
      </w:r>
      <w:r>
        <w:t xml:space="preserve"> </w:t>
      </w:r>
      <w:r>
        <w:rPr>
          <w:bCs/>
          <w:b/>
        </w:rPr>
        <w:t xml:space="preserve">does ingest figures/images and tables</w:t>
      </w:r>
      <w:r>
        <w:t xml:space="preserve"> </w:t>
      </w:r>
      <w:r>
        <w:t xml:space="preserve">(vision models / MinerU), with human checkpoints + decision logging — so</w:t>
      </w:r>
      <w:r>
        <w:t xml:space="preserve"> </w:t>
      </w:r>
      <w:r>
        <w:t xml:space="preserve">“</w:t>
      </w:r>
      <w:r>
        <w:t xml:space="preserve">figures in the pipeline</w:t>
      </w:r>
      <w:r>
        <w:t xml:space="preserve">”</w:t>
      </w:r>
      <w:r>
        <w:t xml:space="preserve"> </w:t>
      </w:r>
      <w:r>
        <w:t xml:space="preserve">is not unheard-of. But non-clinical domains, stops at extraction/analysis (no confirmed random-effects pool), no prereg, no license, calculated fields ~3%. https://arxiv.org/abs/2505.20310 · https://github.com/black-yt/Manalyzer</w:t>
      </w:r>
    </w:p>
    <w:p>
      <w:pPr>
        <w:numPr>
          <w:ilvl w:val="0"/>
          <w:numId w:val="1002"/>
        </w:numPr>
        <w:pStyle w:val="Compact"/>
        <w:spacing w:after="240"/>
      </w:pPr>
      <w:r>
        <w:rPr>
          <w:bCs/>
          <w:b/>
        </w:rPr>
        <w:t xml:space="preserve">AutoMETA</w:t>
      </w:r>
      <w:r>
        <w:t xml:space="preserve"> </w:t>
      </w:r>
      <w:r>
        <w:t xml:space="preserve">(auditable-protocol DL pooling; OpenReview, no code: https://openreview.net/forum?id=81XyW0druM) and</w:t>
      </w:r>
      <w:r>
        <w:t xml:space="preserve"> </w:t>
      </w:r>
      <w:r>
        <w:rPr>
          <w:bCs/>
          <w:b/>
        </w:rPr>
        <w:t xml:space="preserve">MetaMind</w:t>
      </w:r>
      <w:r>
        <w:t xml:space="preserve"> </w:t>
      </w:r>
      <w:r>
        <w:t xml:space="preserve">(end-to-end Bayesian</w:t>
      </w:r>
      <w:r>
        <w:t xml:space="preserve"> </w:t>
      </w:r>
      <w:r>
        <w:rPr>
          <w:bCs/>
          <w:b/>
        </w:rPr>
        <w:t xml:space="preserve">network</w:t>
      </w:r>
      <w:r>
        <w:t xml:space="preserve"> </w:t>
      </w:r>
      <w:r>
        <w:t xml:space="preserve">MA; no code: https://www.ncbi.nlm.nih.gov/pmc/articles/PMC12904386/) — both signal the</w:t>
      </w:r>
      <w:r>
        <w:t xml:space="preserve"> </w:t>
      </w:r>
      <w:r>
        <w:t xml:space="preserve">“</w:t>
      </w:r>
      <w:r>
        <w:t xml:space="preserve">auditable protocol</w:t>
      </w:r>
      <w:r>
        <w:t xml:space="preserve">”</w:t>
      </w:r>
      <w:r>
        <w:t xml:space="preserve"> </w:t>
      </w:r>
      <w:r>
        <w:t xml:space="preserve">idea is in the air.</w:t>
      </w:r>
    </w:p>
    <w:p>
      <w:pPr>
        <w:pStyle w:val="FirstParagraph"/>
        <w:spacing w:after="240"/>
      </w:pPr>
      <w:r>
        <w:rPr>
          <w:bCs/>
          <w:b/>
        </w:rPr>
        <w:t xml:space="preserve">Reality-check benchmarks (use to puncture hype, position on rigor):</w:t>
      </w:r>
      <w:r>
        <w:t xml:space="preserve"> </w:t>
      </w:r>
      <w:r>
        <w:t xml:space="preserve">-</w:t>
      </w:r>
      <w:r>
        <w:t xml:space="preserve"> </w:t>
      </w:r>
      <w:r>
        <w:rPr>
          <w:bCs/>
          <w:b/>
        </w:rPr>
        <w:t xml:space="preserve">MetaSyn</w:t>
      </w:r>
      <w:r>
        <w:t xml:space="preserve"> </w:t>
      </w:r>
      <w:r>
        <w:t xml:space="preserve">— 442 Nature-portfolio MAs: even at 90.9% retrieval recall,</w:t>
      </w:r>
      <w:r>
        <w:t xml:space="preserve"> </w:t>
      </w:r>
      <w:r>
        <w:rPr>
          <w:bCs/>
          <w:b/>
        </w:rPr>
        <w:t xml:space="preserve">no end-to-end system includes &gt;52.7% of eligible studies</w:t>
      </w:r>
      <w:r>
        <w:t xml:space="preserve">. Screening, not retrieval, is the bottleneck. https://arxiv.org/html/2606.17041</w:t>
      </w:r>
      <w:r>
        <w:t xml:space="preserve"> </w:t>
      </w:r>
      <w:r>
        <w:t xml:space="preserve">-</w:t>
      </w:r>
      <w:r>
        <w:t xml:space="preserve"> </w:t>
      </w:r>
      <w:r>
        <w:rPr>
          <w:bCs/>
          <w:b/>
        </w:rPr>
        <w:t xml:space="preserve">MedMeta</w:t>
      </w:r>
      <w:r>
        <w:t xml:space="preserve"> </w:t>
      </w:r>
      <w:r>
        <w:t xml:space="preserve">— models</w:t>
      </w:r>
      <w:r>
        <w:t xml:space="preserve"> </w:t>
      </w:r>
      <w:r>
        <w:rPr>
          <w:bCs/>
          <w:b/>
        </w:rPr>
        <w:t xml:space="preserve">fail to reject factually incorrect evidence</w:t>
      </w:r>
      <w:r>
        <w:t xml:space="preserve">, synthesizing coherent-but-false conclusions. https://arxiv.org/html/2605.09661v1</w:t>
      </w:r>
    </w:p>
    <w:p>
      <w:pPr>
        <w:pStyle w:val="BodyText"/>
        <w:spacing w:after="240"/>
      </w:pPr>
      <w:r>
        <w:t xml:space="preserve">Takeaway: the race is real, fast, and uniformly immature (single-team preprints; one meaningfully validated; none trustworthy autonomously). The gates + decision-log + feasibility discipline are validated</w:t>
      </w:r>
      <w:r>
        <w:t xml:space="preserve"> </w:t>
      </w:r>
      <w:r>
        <w:rPr>
          <w:iCs/>
          <w:i/>
        </w:rPr>
        <w:t xml:space="preserve">by</w:t>
      </w:r>
      <w:r>
        <w:t xml:space="preserve"> </w:t>
      </w:r>
      <w:r>
        <w:t xml:space="preserve">these systems’ failures.</w:t>
      </w:r>
    </w:p>
    <w:p>
      <w:pPr>
        <w:spacing w:after="240"/>
      </w:pPr>
      <w:r>
        <w:pict>
          <v:rect style="width:0;height:1.5pt" o:hralign="center" o:hrstd="t" o:hr="t"/>
        </w:pict>
      </w:r>
    </w:p>
    <w:bookmarkEnd w:id="34"/>
    <w:bookmarkStart w:id="35" w:name="X8fa19db7fff9bb09ec7337b6917a2b20592fa3b"/>
    <w:p>
      <w:pPr>
        <w:pStyle w:val="Heading2"/>
      </w:pPr>
      <w:r>
        <w:t xml:space="preserve">2. Commercial / SaaS (three camps that rarely overlap)</w:t>
      </w:r>
    </w:p>
    <w:p>
      <w:pPr>
        <w:pStyle w:val="FirstParagraph"/>
        <w:spacing w:after="240"/>
      </w:pPr>
      <w:r>
        <w:rPr>
          <w:bCs/>
          <w:b/>
        </w:rPr>
        <w:t xml:space="preserve">(A) AI literature assistants — discovery/extraction, none pool.</w:t>
      </w:r>
      <w:r>
        <w:t xml:space="preserve"> </w:t>
      </w:r>
      <w:r>
        <w:rPr>
          <w:bCs/>
          <w:b/>
        </w:rPr>
        <w:t xml:space="preserve">Elicit</w:t>
      </w:r>
      <w:r>
        <w:t xml:space="preserve"> </w:t>
      </w:r>
      <w:r>
        <w:t xml:space="preserve">(closest to a real SR tool: ~138M papers, T/A + full-text screening, PRISMA flow with auditable exclusions, ~96% self-reported extraction; but</w:t>
      </w:r>
      <w:r>
        <w:t xml:space="preserve"> </w:t>
      </w:r>
      <w:r>
        <w:rPr>
          <w:bCs/>
          <w:b/>
        </w:rPr>
        <w:t xml:space="preserve">article-level, computes no statistics</w:t>
      </w:r>
      <w:r>
        <w:t xml:space="preserve">, independent study found supporting-quote accuracy ~46%; free/$49/$169+, figures gated to Scale — https://elicit.com/solutions/systematic-review, independent https://www.cambridge.org/core/journals/research-synthesis-methods/article/C97DAEC70C3173A260F0B12E729E7250).</w:t>
      </w:r>
      <w:r>
        <w:t xml:space="preserve"> </w:t>
      </w:r>
      <w:r>
        <w:rPr>
          <w:bCs/>
          <w:b/>
        </w:rPr>
        <w:t xml:space="preserve">Consensus</w:t>
      </w:r>
      <w:r>
        <w:t xml:space="preserve"> </w:t>
      </w:r>
      <w:r>
        <w:t xml:space="preserve">(scoping/QA, no ES — https://consensus.app).</w:t>
      </w:r>
      <w:r>
        <w:t xml:space="preserve"> </w:t>
      </w:r>
      <w:r>
        <w:rPr>
          <w:bCs/>
          <w:b/>
        </w:rPr>
        <w:t xml:space="preserve">Scite.ai</w:t>
      </w:r>
      <w:r>
        <w:t xml:space="preserve"> </w:t>
      </w:r>
      <w:r>
        <w:t xml:space="preserve">(citation classification only).</w:t>
      </w:r>
      <w:r>
        <w:t xml:space="preserve"> </w:t>
      </w:r>
      <w:r>
        <w:rPr>
          <w:bCs/>
          <w:b/>
        </w:rPr>
        <w:t xml:space="preserve">LitLLM/LitSuggest</w:t>
      </w:r>
      <w:r>
        <w:t xml:space="preserve"> </w:t>
      </w:r>
      <w:r>
        <w:t xml:space="preserve">(related-work aids; LitLLM Apache-2.0 — https://arxiv.org/abs/2402.01788).</w:t>
      </w:r>
    </w:p>
    <w:p>
      <w:pPr>
        <w:pStyle w:val="BodyText"/>
        <w:spacing w:after="240"/>
      </w:pPr>
      <w:r>
        <w:rPr>
          <w:bCs/>
          <w:b/>
        </w:rPr>
        <w:t xml:space="preserve">(B) Screening/extraction SaaS — carry to extraction, hand off to R/RevMan/CMA.</w:t>
      </w:r>
      <w:r>
        <w:t xml:space="preserve"> </w:t>
      </w:r>
      <w:r>
        <w:rPr>
          <w:bCs/>
          <w:b/>
        </w:rPr>
        <w:t xml:space="preserve">Covidence</w:t>
      </w:r>
      <w:r>
        <w:t xml:space="preserve"> </w:t>
      </w:r>
      <w:r>
        <w:t xml:space="preserve">(best-in-class dual screening + Cochrane RCT classifier;</w:t>
      </w:r>
      <w:r>
        <w:t xml:space="preserve"> </w:t>
      </w:r>
      <w:r>
        <w:rPr>
          <w:bCs/>
          <w:b/>
        </w:rPr>
        <w:t xml:space="preserve">no synthesis</w:t>
      </w:r>
      <w:r>
        <w:t xml:space="preserve">; $339–907/yr).</w:t>
      </w:r>
      <w:r>
        <w:t xml:space="preserve"> </w:t>
      </w:r>
      <w:r>
        <w:rPr>
          <w:bCs/>
          <w:b/>
        </w:rPr>
        <w:t xml:space="preserve">DistillerSR</w:t>
      </w:r>
      <w:r>
        <w:t xml:space="preserve"> </w:t>
      </w:r>
      <w:r>
        <w:t xml:space="preserve">(the doc’s</w:t>
      </w:r>
      <w:r>
        <w:t xml:space="preserve"> </w:t>
      </w:r>
      <w:r>
        <w:t xml:space="preserve">“</w:t>
      </w:r>
      <w:r>
        <w:t xml:space="preserve">DistillSR</w:t>
      </w:r>
      <w:r>
        <w:t xml:space="preserve">”</w:t>
      </w:r>
      <w:r>
        <w:t xml:space="preserve">: active learning ~96.6% recall,</w:t>
      </w:r>
      <w:r>
        <w:t xml:space="preserve"> </w:t>
      </w:r>
      <w:r>
        <w:rPr>
          <w:bCs/>
          <w:b/>
        </w:rPr>
        <w:t xml:space="preserve">Hierarchical Data Extraction</w:t>
      </w:r>
      <w:r>
        <w:t xml:space="preserve"> </w:t>
      </w:r>
      <w:r>
        <w:t xml:space="preserve">article→outcome→arm→timepoint, GenAI</w:t>
      </w:r>
      <w:r>
        <w:t xml:space="preserve"> </w:t>
      </w:r>
      <w:r>
        <w:t xml:space="preserve">“</w:t>
      </w:r>
      <w:r>
        <w:t xml:space="preserve">Smart Evidence Extraction</w:t>
      </w:r>
      <w:r>
        <w:t xml:space="preserve">”</w:t>
      </w:r>
      <w:r>
        <w:t xml:space="preserve"> </w:t>
      </w:r>
      <w:r>
        <w:t xml:space="preserve">for tables+text not figures, strong</w:t>
      </w:r>
      <w:r>
        <w:t xml:space="preserve"> </w:t>
      </w:r>
      <w:r>
        <w:rPr>
          <w:bCs/>
          <w:b/>
        </w:rPr>
        <w:t xml:space="preserve">audit trail /</w:t>
      </w:r>
      <w:r>
        <w:rPr>
          <w:bCs/>
          <w:b/>
        </w:rPr>
        <w:t xml:space="preserve"> </w:t>
      </w:r>
      <w:r>
        <w:rPr>
          <w:bCs/>
          <w:b/>
        </w:rPr>
        <w:t xml:space="preserve">“</w:t>
      </w:r>
      <w:r>
        <w:rPr>
          <w:bCs/>
          <w:b/>
        </w:rPr>
        <w:t xml:space="preserve">100% traceable evidence</w:t>
      </w:r>
      <w:r>
        <w:rPr>
          <w:bCs/>
          <w:b/>
        </w:rPr>
        <w:t xml:space="preserve">”</w:t>
      </w:r>
      <w:r>
        <w:t xml:space="preserve">;</w:t>
      </w:r>
      <w:r>
        <w:t xml:space="preserve"> </w:t>
      </w:r>
      <w:r>
        <w:rPr>
          <w:bCs/>
          <w:b/>
        </w:rPr>
        <w:t xml:space="preserve">no in-platform pooling</w:t>
      </w:r>
      <w:r>
        <w:t xml:space="preserve">; its free Forest Plot Generator only plots supplied numbers — https://www.distillersr.com/products/distillersrai).</w:t>
      </w:r>
      <w:r>
        <w:t xml:space="preserve"> </w:t>
      </w:r>
      <w:r>
        <w:rPr>
          <w:bCs/>
          <w:b/>
        </w:rPr>
        <w:t xml:space="preserve">Rayyan</w:t>
      </w:r>
      <w:r>
        <w:t xml:space="preserve"> </w:t>
      </w:r>
      <w:r>
        <w:t xml:space="preserve">(screening + newer AI extract; article-level; freemium).</w:t>
      </w:r>
      <w:r>
        <w:t xml:space="preserve"> </w:t>
      </w:r>
      <w:r>
        <w:rPr>
          <w:bCs/>
          <w:b/>
        </w:rPr>
        <w:t xml:space="preserve">Silvi.ai</w:t>
      </w:r>
      <w:r>
        <w:t xml:space="preserve"> </w:t>
      </w:r>
      <w:r>
        <w:t xml:space="preserve">(markets</w:t>
      </w:r>
      <w:r>
        <w:t xml:space="preserve"> </w:t>
      </w:r>
      <w:r>
        <w:t xml:space="preserve">“</w:t>
      </w:r>
      <w:r>
        <w:t xml:space="preserve">search → meta-analysis</w:t>
      </w:r>
      <w:r>
        <w:t xml:space="preserve">”</w:t>
      </w:r>
      <w:r>
        <w:t xml:space="preserve"> </w:t>
      </w:r>
      <w:r>
        <w:t xml:space="preserve">but Analysis stage = data table + overview plots; in-tool pooling undocumented; provenance-linked extraction is a genuine strength; €0–59+).</w:t>
      </w:r>
      <w:r>
        <w:t xml:space="preserve"> </w:t>
      </w:r>
      <w:r>
        <w:rPr>
          <w:bCs/>
          <w:b/>
        </w:rPr>
        <w:t xml:space="preserve">Laser AI</w:t>
      </w:r>
      <w:r>
        <w:t xml:space="preserve"> </w:t>
      </w:r>
      <w:r>
        <w:t xml:space="preserve">(screening→extraction with</w:t>
      </w:r>
      <w:r>
        <w:t xml:space="preserve"> </w:t>
      </w:r>
      <w:r>
        <w:t xml:space="preserve">“</w:t>
      </w:r>
      <w:r>
        <w:t xml:space="preserve">Full Traceability</w:t>
      </w:r>
      <w:r>
        <w:t xml:space="preserve">”</w:t>
      </w:r>
      <w:r>
        <w:t xml:space="preserve">; synthesis in sibling GRADEpro).</w:t>
      </w:r>
    </w:p>
    <w:p>
      <w:pPr>
        <w:pStyle w:val="BodyText"/>
        <w:spacing w:after="240"/>
      </w:pPr>
      <w:r>
        <w:rPr>
          <w:bCs/>
          <w:b/>
        </w:rPr>
        <w:t xml:space="preserve">(C) Platforms that DO pool.</w:t>
      </w:r>
      <w:r>
        <w:t xml:space="preserve"> </w:t>
      </w:r>
      <w:r>
        <w:rPr>
          <w:bCs/>
          <w:b/>
        </w:rPr>
        <w:t xml:space="preserve">Nested Knowledge</w:t>
      </w:r>
      <w:r>
        <w:t xml:space="preserve"> </w:t>
      </w:r>
      <w:r>
        <w:t xml:space="preserve">(AutoLit + Synthesis) —</w:t>
      </w:r>
      <w:r>
        <w:t xml:space="preserve"> </w:t>
      </w:r>
      <w:r>
        <w:rPr>
          <w:bCs/>
          <w:b/>
        </w:rPr>
        <w:t xml:space="preserve">the one genuine full-pipeline commercial competitor</w:t>
      </w:r>
      <w:r>
        <w:t xml:space="preserve">: search → screen →</w:t>
      </w:r>
      <w:r>
        <w:t xml:space="preserve"> </w:t>
      </w:r>
      <w:r>
        <w:rPr>
          <w:bCs/>
          <w:b/>
        </w:rPr>
        <w:t xml:space="preserve">arm-level</w:t>
      </w:r>
      <w:r>
        <w:t xml:space="preserve"> </w:t>
      </w:r>
      <w:r>
        <w:t xml:space="preserve">extraction →</w:t>
      </w:r>
      <w:r>
        <w:t xml:space="preserve"> </w:t>
      </w:r>
      <w:r>
        <w:rPr>
          <w:bCs/>
          <w:b/>
        </w:rPr>
        <w:t xml:space="preserve">native pooled effects + network MA + forest plots</w:t>
      </w:r>
      <w:r>
        <w:t xml:space="preserve"> </w:t>
      </w:r>
      <w:r>
        <w:t xml:space="preserve">(via</w:t>
      </w:r>
      <w:r>
        <w:t xml:space="preserve"> </w:t>
      </w:r>
      <w:r>
        <w:rPr>
          <w:rStyle w:val="VerbatimChar"/>
        </w:rPr>
        <w:t xml:space="preserve">shukra</w:t>
      </w:r>
      <w:r>
        <w:t xml:space="preserve">, a JS transcription of</w:t>
      </w:r>
      <w:r>
        <w:t xml:space="preserve"> </w:t>
      </w:r>
      <w:r>
        <w:rPr>
          <w:rStyle w:val="VerbatimChar"/>
        </w:rPr>
        <w:t xml:space="preserve">meta</w:t>
      </w:r>
      <w:r>
        <w:t xml:space="preserve">/</w:t>
      </w:r>
      <w:r>
        <w:rPr>
          <w:rStyle w:val="VerbatimChar"/>
        </w:rPr>
        <w:t xml:space="preserve">metafor</w:t>
      </w:r>
      <w:r>
        <w:t xml:space="preserve">), audit trails + versioning. Gaps to beat:</w:t>
      </w:r>
      <w:r>
        <w:t xml:space="preserve"> </w:t>
      </w:r>
      <w:r>
        <w:rPr>
          <w:bCs/>
          <w:b/>
        </w:rPr>
        <w:t xml:space="preserve">no figure digitizer</w:t>
      </w:r>
      <w:r>
        <w:t xml:space="preserve"> </w:t>
      </w:r>
      <w:r>
        <w:t xml:space="preserve">(points to WebPlotDigitizer),</w:t>
      </w:r>
      <w:r>
        <w:t xml:space="preserve"> </w:t>
      </w:r>
      <w:r>
        <w:rPr>
          <w:bCs/>
          <w:b/>
        </w:rPr>
        <w:t xml:space="preserve">no SYRCLE/preclinical</w:t>
      </w:r>
      <w:r>
        <w:t xml:space="preserve">, MA extraction still manual,</w:t>
      </w:r>
      <w:r>
        <w:t xml:space="preserve"> </w:t>
      </w:r>
      <w:r>
        <w:rPr>
          <w:bCs/>
          <w:b/>
        </w:rPr>
        <w:t xml:space="preserve">no multilevel</w:t>
      </w:r>
      <w:r>
        <w:rPr>
          <w:bCs/>
          <w:b/>
        </w:rPr>
        <w:t xml:space="preserve"> </w:t>
      </w:r>
      <w:r>
        <w:rPr>
          <w:rStyle w:val="VerbatimChar"/>
          <w:bCs/>
          <w:b/>
        </w:rPr>
        <w:t xml:space="preserve">rma.mv</w:t>
      </w:r>
      <w:r>
        <w:rPr>
          <w:bCs/>
          <w:b/>
        </w:rPr>
        <w:t xml:space="preserve"> </w:t>
      </w:r>
      <w:r>
        <w:rPr>
          <w:bCs/>
          <w:b/>
        </w:rPr>
        <w:t xml:space="preserve">depth</w:t>
      </w:r>
      <w:r>
        <w:t xml:space="preserve">, no prereg lock. Flagship validation paper</w:t>
      </w:r>
      <w:r>
        <w:t xml:space="preserve"> </w:t>
      </w:r>
      <w:r>
        <w:rPr>
          <w:bCs/>
          <w:b/>
        </w:rPr>
        <w:t xml:space="preserve">retracted June 2026</w:t>
      </w:r>
      <w:r>
        <w:t xml:space="preserve">. $295–695/user/mo — https://about.nested-knowledge.com/docs/meta-analytical-methods/.</w:t>
      </w:r>
      <w:r>
        <w:t xml:space="preserve"> </w:t>
      </w:r>
      <w:r>
        <w:rPr>
          <w:bCs/>
          <w:b/>
        </w:rPr>
        <w:t xml:space="preserve">EPPI-Reviewer</w:t>
      </w:r>
      <w:r>
        <w:t xml:space="preserve"> </w:t>
      </w:r>
      <w:r>
        <w:t xml:space="preserve">(deepest ML + native MA, but forest plot</w:t>
      </w:r>
      <w:r>
        <w:t xml:space="preserve"> </w:t>
      </w:r>
      <w:r>
        <w:t xml:space="preserve">“</w:t>
      </w:r>
      <w:r>
        <w:t xml:space="preserve">only displays the overall outcome effect… not the different treatment arms</w:t>
      </w:r>
      <w:r>
        <w:t xml:space="preserve">”</w:t>
      </w:r>
      <w:r>
        <w:t xml:space="preserve">).</w:t>
      </w:r>
      <w:r>
        <w:t xml:space="preserve"> </w:t>
      </w:r>
      <w:r>
        <w:rPr>
          <w:bCs/>
          <w:b/>
        </w:rPr>
        <w:t xml:space="preserve">Cochrane RevMan Web</w:t>
      </w:r>
      <w:r>
        <w:t xml:space="preserve"> </w:t>
      </w:r>
      <w:r>
        <w:t xml:space="preserve">(end-to-end for RCT reviews, protocol auto-uploads to</w:t>
      </w:r>
      <w:r>
        <w:t xml:space="preserve"> </w:t>
      </w:r>
      <w:r>
        <w:rPr>
          <w:bCs/>
          <w:b/>
        </w:rPr>
        <w:t xml:space="preserve">PROSPERO</w:t>
      </w:r>
      <w:r>
        <w:t xml:space="preserve">, native FE/RE + forest/funnel;</w:t>
      </w:r>
      <w:r>
        <w:t xml:space="preserve"> </w:t>
      </w:r>
      <w:r>
        <w:rPr>
          <w:bCs/>
          <w:b/>
        </w:rPr>
        <w:t xml:space="preserve">no meta-regression/NMA/multilevel</w:t>
      </w:r>
      <w:r>
        <w:t xml:space="preserve">).</w:t>
      </w:r>
      <w:r>
        <w:t xml:space="preserve"> </w:t>
      </w:r>
      <w:r>
        <w:rPr>
          <w:bCs/>
          <w:b/>
        </w:rPr>
        <w:t xml:space="preserve">JBI SUMARI</w:t>
      </w:r>
      <w:r>
        <w:t xml:space="preserve"> </w:t>
      </w:r>
      <w:r>
        <w:t xml:space="preserve">(true single-product end-to-end, native FE/RE, ~no ML, no multilevel).</w:t>
      </w:r>
      <w:r>
        <w:t xml:space="preserve"> </w:t>
      </w:r>
      <w:r>
        <w:rPr>
          <w:bCs/>
          <w:b/>
        </w:rPr>
        <w:t xml:space="preserve">Stats-only engines</w:t>
      </w:r>
      <w:r>
        <w:t xml:space="preserve">:</w:t>
      </w:r>
      <w:r>
        <w:t xml:space="preserve"> </w:t>
      </w:r>
      <w:r>
        <w:rPr>
          <w:bCs/>
          <w:b/>
        </w:rPr>
        <w:t xml:space="preserve">CMA</w:t>
      </w:r>
      <w:r>
        <w:t xml:space="preserve"> </w:t>
      </w:r>
      <w:r>
        <w:t xml:space="preserve">(no multilevel),</w:t>
      </w:r>
      <w:r>
        <w:t xml:space="preserve"> </w:t>
      </w:r>
      <w:r>
        <w:rPr>
          <w:bCs/>
          <w:b/>
        </w:rPr>
        <w:t xml:space="preserve">JASP/metafor module</w:t>
      </w:r>
      <w:r>
        <w:t xml:space="preserve"> </w:t>
      </w:r>
      <w:r>
        <w:t xml:space="preserve">(free,</w:t>
      </w:r>
      <w:r>
        <w:t xml:space="preserve"> </w:t>
      </w:r>
      <w:r>
        <w:rPr>
          <w:bCs/>
          <w:b/>
        </w:rPr>
        <w:t xml:space="preserve">multilevel + cluster-robust RVE</w:t>
      </w:r>
      <w:r>
        <w:t xml:space="preserve">),</w:t>
      </w:r>
      <w:r>
        <w:t xml:space="preserve"> </w:t>
      </w:r>
      <w:r>
        <w:rPr>
          <w:bCs/>
          <w:b/>
        </w:rPr>
        <w:t xml:space="preserve">Meta-Essentials</w:t>
      </w:r>
      <w:r>
        <w:t xml:space="preserve">,</w:t>
      </w:r>
      <w:r>
        <w:t xml:space="preserve"> </w:t>
      </w:r>
      <w:r>
        <w:rPr>
          <w:bCs/>
          <w:b/>
        </w:rPr>
        <w:t xml:space="preserve">MetaInsight</w:t>
      </w:r>
      <w:r>
        <w:t xml:space="preserve"> </w:t>
      </w:r>
      <w:r>
        <w:t xml:space="preserve">— these</w:t>
      </w:r>
      <w:r>
        <w:t xml:space="preserve"> </w:t>
      </w:r>
      <w:r>
        <w:rPr>
          <w:iCs/>
          <w:i/>
        </w:rPr>
        <w:t xml:space="preserve">own</w:t>
      </w:r>
      <w:r>
        <w:t xml:space="preserve"> </w:t>
      </w:r>
      <w:r>
        <w:t xml:space="preserve">the synthesis math this pipeline delegates to R.</w:t>
      </w:r>
    </w:p>
    <w:p>
      <w:pPr>
        <w:spacing w:after="240"/>
      </w:pPr>
      <w:r>
        <w:pict>
          <v:rect style="width:0;height:1.5pt" o:hralign="center" o:hrstd="t" o:hr="t"/>
        </w:pict>
      </w:r>
    </w:p>
    <w:bookmarkEnd w:id="35"/>
    <w:bookmarkStart w:id="36" w:name="X7991bf7d3ee0c9a49c2dabbd793290a2ef3ed77"/>
    <w:p>
      <w:pPr>
        <w:pStyle w:val="Heading2"/>
      </w:pPr>
      <w:r>
        <w:t xml:space="preserve">3. Open-source / academic — fractured along the pipeline seams</w:t>
      </w:r>
    </w:p>
    <w:p>
      <w:pPr>
        <w:pStyle w:val="FirstParagraph"/>
        <w:spacing w:after="240"/>
      </w:pPr>
      <w:r>
        <w:t xml:space="preserve">The canonical illustration of the fragmentation: the same lab built</w:t>
      </w:r>
      <w:r>
        <w:t xml:space="preserve"> </w:t>
      </w:r>
      <w:r>
        <w:rPr>
          <w:bCs/>
          <w:b/>
        </w:rPr>
        <w:t xml:space="preserve">Abstrackr</w:t>
      </w:r>
      <w:r>
        <w:t xml:space="preserve"> </w:t>
      </w:r>
      <w:r>
        <w:t xml:space="preserve">(screening) and</w:t>
      </w:r>
      <w:r>
        <w:t xml:space="preserve"> </w:t>
      </w:r>
      <w:r>
        <w:rPr>
          <w:bCs/>
          <w:b/>
        </w:rPr>
        <w:t xml:space="preserve">OpenMeta-Analyst/OpenMEE</w:t>
      </w:r>
      <w:r>
        <w:t xml:space="preserve"> </w:t>
      </w:r>
      <w:r>
        <w:t xml:space="preserve">(metafor synthesis) and they</w:t>
      </w:r>
      <w:r>
        <w:t xml:space="preserve"> </w:t>
      </w:r>
      <w:r>
        <w:rPr>
          <w:bCs/>
          <w:b/>
        </w:rPr>
        <w:t xml:space="preserve">never connect</w:t>
      </w:r>
      <w:r>
        <w:t xml:space="preserve"> </w:t>
      </w:r>
      <w:r>
        <w:t xml:space="preserve">— both now abandoned. https://github.com/bwallace/OpenMeta-analyst-</w:t>
      </w:r>
    </w:p>
    <w:p>
      <w:pPr>
        <w:numPr>
          <w:ilvl w:val="0"/>
          <w:numId w:val="1003"/>
        </w:numPr>
        <w:pStyle w:val="Compact"/>
        <w:spacing w:after="240"/>
      </w:pPr>
      <w:r>
        <w:rPr>
          <w:bCs/>
          <w:b/>
        </w:rPr>
        <w:t xml:space="preserve">Screening:</w:t>
      </w:r>
      <w:r>
        <w:t xml:space="preserve"> </w:t>
      </w:r>
      <w:r>
        <w:rPr>
          <w:bCs/>
          <w:b/>
        </w:rPr>
        <w:t xml:space="preserve">ASReview</w:t>
      </w:r>
      <w:r>
        <w:t xml:space="preserve"> </w:t>
      </w:r>
      <w:r>
        <w:t xml:space="preserve">(Utrecht, Apache-2.0) — maintained gold standard, active learning, ~95% workload reduction, Nature Machine Intelligence validation, decisions logged w/ user+timestamp; T/A only, article-level, no synthesis (https://github.com/asreview/asreview). Others: Colandr, CADIMA, FASTREAD, revtools (stale).</w:t>
      </w:r>
    </w:p>
    <w:p>
      <w:pPr>
        <w:numPr>
          <w:ilvl w:val="0"/>
          <w:numId w:val="1003"/>
        </w:numPr>
        <w:pStyle w:val="Compact"/>
        <w:spacing w:after="240"/>
      </w:pPr>
      <w:r>
        <w:rPr>
          <w:bCs/>
          <w:b/>
        </w:rPr>
        <w:t xml:space="preserve">Extraction/classification NLP (Marshall/Wallace):</w:t>
      </w:r>
      <w:r>
        <w:t xml:space="preserve"> </w:t>
      </w:r>
      <w:r>
        <w:rPr>
          <w:bCs/>
          <w:b/>
        </w:rPr>
        <w:t xml:space="preserve">RobotReviewer</w:t>
      </w:r>
      <w:r>
        <w:t xml:space="preserve"> </w:t>
      </w:r>
      <w:r>
        <w:t xml:space="preserve">(GPL-3; full-text RCT → PICO + Cochrane RoB with supporting sentences; no pooling),</w:t>
      </w:r>
      <w:r>
        <w:t xml:space="preserve"> </w:t>
      </w:r>
      <w:r>
        <w:rPr>
          <w:bCs/>
          <w:b/>
        </w:rPr>
        <w:t xml:space="preserve">Trialstreamer</w:t>
      </w:r>
      <w:r>
        <w:t xml:space="preserve"> </w:t>
      </w:r>
      <w:r>
        <w:t xml:space="preserve">(living RCT DB;</w:t>
      </w:r>
      <w:r>
        <w:t xml:space="preserve"> </w:t>
      </w:r>
      <w:r>
        <w:rPr>
          <w:bCs/>
          <w:b/>
        </w:rPr>
        <w:t xml:space="preserve">excludes animals</w:t>
      </w:r>
      <w:r>
        <w:t xml:space="preserve">),</w:t>
      </w:r>
      <w:r>
        <w:t xml:space="preserve"> </w:t>
      </w:r>
      <w:r>
        <w:rPr>
          <w:bCs/>
          <w:b/>
        </w:rPr>
        <w:t xml:space="preserve">robotsearch</w:t>
      </w:r>
      <w:r>
        <w:t xml:space="preserve">, the</w:t>
      </w:r>
      <w:r>
        <w:t xml:space="preserve"> </w:t>
      </w:r>
      <w:r>
        <w:rPr>
          <w:bCs/>
          <w:b/>
        </w:rPr>
        <w:t xml:space="preserve">EBM-NLP</w:t>
      </w:r>
      <w:r>
        <w:t xml:space="preserve"> </w:t>
      </w:r>
      <w:r>
        <w:t xml:space="preserve">PICO-span lineage,</w:t>
      </w:r>
      <w:r>
        <w:t xml:space="preserve"> </w:t>
      </w:r>
      <w:r>
        <w:rPr>
          <w:bCs/>
          <w:b/>
        </w:rPr>
        <w:t xml:space="preserve">ExaCT</w:t>
      </w:r>
      <w:r>
        <w:t xml:space="preserve"> </w:t>
      </w:r>
      <w:r>
        <w:t xml:space="preserve">(21 trial features; not open).</w:t>
      </w:r>
    </w:p>
    <w:p>
      <w:pPr>
        <w:numPr>
          <w:ilvl w:val="0"/>
          <w:numId w:val="1003"/>
        </w:numPr>
        <w:pStyle w:val="Compact"/>
        <w:spacing w:after="240"/>
      </w:pPr>
      <w:r>
        <w:rPr>
          <w:bCs/>
          <w:b/>
        </w:rPr>
        <w:t xml:space="preserve">Closest open thing to this project’s DNA:</w:t>
      </w:r>
      <w:r>
        <w:t xml:space="preserve"> </w:t>
      </w:r>
      <w:r>
        <w:rPr>
          <w:rStyle w:val="VerbatimChar"/>
          <w:bCs/>
          <w:b/>
        </w:rPr>
        <w:t xml:space="preserve">hyesunyun/llm-meta-analysis</w:t>
      </w:r>
      <w:r>
        <w:t xml:space="preserve"> </w:t>
      </w:r>
      <w:r>
        <w:t xml:space="preserve">(Wallace group, Apache-2.0) — LLMs extract</w:t>
      </w:r>
      <w:r>
        <w:t xml:space="preserve"> </w:t>
      </w:r>
      <w:r>
        <w:rPr>
          <w:bCs/>
          <w:b/>
        </w:rPr>
        <w:t xml:space="preserve">arm-level ICO numerics</w:t>
      </w:r>
      <w:r>
        <w:t xml:space="preserve"> </w:t>
      </w:r>
      <w:r>
        <w:t xml:space="preserve">then hand to external metafor/statsmodels (reproduced a remdesivir MA). Good on 2×2, poor on continuous. Related:</w:t>
      </w:r>
      <w:r>
        <w:t xml:space="preserve"> </w:t>
      </w:r>
      <w:r>
        <w:rPr>
          <w:bCs/>
          <w:b/>
        </w:rPr>
        <w:t xml:space="preserve">Tomo-for-lab/automating-DE</w:t>
      </w:r>
      <w:r>
        <w:t xml:space="preserve"> </w:t>
      </w:r>
      <w:r>
        <w:t xml:space="preserve">(GPT-4o, SE→SD/CI→SD conversions),</w:t>
      </w:r>
      <w:r>
        <w:t xml:space="preserve"> </w:t>
      </w:r>
      <w:r>
        <w:rPr>
          <w:bCs/>
          <w:b/>
        </w:rPr>
        <w:t xml:space="preserve">OpenExtract</w:t>
      </w:r>
      <w:r>
        <w:t xml:space="preserve"> </w:t>
      </w:r>
      <w:r>
        <w:t xml:space="preserve">(LUMC; numeric + figure processing + extraction-decision tracking). https://github.com/hyesunyun/llm-meta-analysis · https://arxiv.org/html/2405.01686v2</w:t>
      </w:r>
    </w:p>
    <w:p>
      <w:pPr>
        <w:numPr>
          <w:ilvl w:val="0"/>
          <w:numId w:val="1003"/>
        </w:numPr>
        <w:pStyle w:val="Compact"/>
        <w:spacing w:after="240"/>
      </w:pPr>
      <w:r>
        <w:rPr>
          <w:bCs/>
          <w:b/>
        </w:rPr>
        <w:t xml:space="preserve">The R synthesis ecosystem this pipeline builds on:</w:t>
      </w:r>
      <w:r>
        <w:t xml:space="preserve"> </w:t>
      </w:r>
      <w:r>
        <w:rPr>
          <w:rStyle w:val="VerbatimChar"/>
        </w:rPr>
        <w:t xml:space="preserve">metafor</w:t>
      </w:r>
      <w:r>
        <w:t xml:space="preserve"> </w:t>
      </w:r>
      <w:r>
        <w:t xml:space="preserve">(</w:t>
      </w:r>
      <w:r>
        <w:rPr>
          <w:rStyle w:val="VerbatimChar"/>
        </w:rPr>
        <w:t xml:space="preserve">escalc</w:t>
      </w:r>
      <w:r>
        <w:t xml:space="preserve"> </w:t>
      </w:r>
      <w:r>
        <w:t xml:space="preserve">+</w:t>
      </w:r>
      <w:r>
        <w:t xml:space="preserve"> </w:t>
      </w:r>
      <w:r>
        <w:rPr>
          <w:rStyle w:val="VerbatimChar"/>
        </w:rPr>
        <w:t xml:space="preserve">rma.mv</w:t>
      </w:r>
      <w:r>
        <w:t xml:space="preserve"> </w:t>
      </w:r>
      <w:r>
        <w:t xml:space="preserve">multilevel/multivariate/network — docs literally describe nesting estimates from</w:t>
      </w:r>
      <w:r>
        <w:t xml:space="preserve"> </w:t>
      </w:r>
      <w:r>
        <w:t xml:space="preserve">“</w:t>
      </w:r>
      <w:r>
        <w:t xml:space="preserve">the same paper, lab, research group, or species</w:t>
      </w:r>
      <w:r>
        <w:t xml:space="preserve">”</w:t>
      </w:r>
      <w:r>
        <w:t xml:space="preserve">),</w:t>
      </w:r>
      <w:r>
        <w:t xml:space="preserve"> </w:t>
      </w:r>
      <w:r>
        <w:rPr>
          <w:rStyle w:val="VerbatimChar"/>
        </w:rPr>
        <w:t xml:space="preserve">meta</w:t>
      </w:r>
      <w:r>
        <w:t xml:space="preserve">,</w:t>
      </w:r>
      <w:r>
        <w:t xml:space="preserve"> </w:t>
      </w:r>
      <w:r>
        <w:rPr>
          <w:rStyle w:val="VerbatimChar"/>
        </w:rPr>
        <w:t xml:space="preserve">clubSandwich</w:t>
      </w:r>
      <w:r>
        <w:t xml:space="preserve"> </w:t>
      </w:r>
      <w:r>
        <w:t xml:space="preserve">(CR2 RVE),</w:t>
      </w:r>
      <w:r>
        <w:t xml:space="preserve"> </w:t>
      </w:r>
      <w:r>
        <w:rPr>
          <w:rStyle w:val="VerbatimChar"/>
        </w:rPr>
        <w:t xml:space="preserve">robumeta</w:t>
      </w:r>
      <w:r>
        <w:t xml:space="preserve">,</w:t>
      </w:r>
      <w:r>
        <w:t xml:space="preserve"> </w:t>
      </w:r>
      <w:r>
        <w:rPr>
          <w:rStyle w:val="VerbatimChar"/>
        </w:rPr>
        <w:t xml:space="preserve">metaSEM</w:t>
      </w:r>
      <w:r>
        <w:t xml:space="preserve">,</w:t>
      </w:r>
      <w:r>
        <w:t xml:space="preserve"> </w:t>
      </w:r>
      <w:r>
        <w:rPr>
          <w:rStyle w:val="VerbatimChar"/>
        </w:rPr>
        <w:t xml:space="preserve">dmetar</w:t>
      </w:r>
      <w:r>
        <w:t xml:space="preserve">,</w:t>
      </w:r>
      <w:r>
        <w:t xml:space="preserve"> </w:t>
      </w:r>
      <w:r>
        <w:rPr>
          <w:rStyle w:val="VerbatimChar"/>
        </w:rPr>
        <w:t xml:space="preserve">orchaRd</w:t>
      </w:r>
      <w:r>
        <w:t xml:space="preserve"> </w:t>
      </w:r>
      <w:r>
        <w:t xml:space="preserve">(multilevel-MA viz/marginal means),</w:t>
      </w:r>
      <w:r>
        <w:t xml:space="preserve"> </w:t>
      </w:r>
      <w:r>
        <w:rPr>
          <w:rStyle w:val="VerbatimChar"/>
        </w:rPr>
        <w:t xml:space="preserve">netmeta</w:t>
      </w:r>
      <w:r>
        <w:t xml:space="preserve">,</w:t>
      </w:r>
      <w:r>
        <w:t xml:space="preserve"> </w:t>
      </w:r>
      <w:r>
        <w:rPr>
          <w:rStyle w:val="VerbatimChar"/>
        </w:rPr>
        <w:t xml:space="preserve">PRISMA2020</w:t>
      </w:r>
      <w:r>
        <w:t xml:space="preserve">.</w:t>
      </w:r>
      <w:r>
        <w:t xml:space="preserve"> </w:t>
      </w:r>
      <w:r>
        <w:rPr>
          <w:bCs/>
          <w:b/>
        </w:rPr>
        <w:t xml:space="preserve">The multilevel statistics are a solved, commodity problem here.</w:t>
      </w:r>
      <w:r>
        <w:t xml:space="preserve"> </w:t>
      </w:r>
      <w:r>
        <w:t xml:space="preserve">https://wviechtb.github.io/metafor/reference/rma.mv.html</w:t>
      </w:r>
    </w:p>
    <w:p>
      <w:pPr>
        <w:numPr>
          <w:ilvl w:val="0"/>
          <w:numId w:val="1003"/>
        </w:numPr>
        <w:pStyle w:val="Compact"/>
        <w:spacing w:after="240"/>
      </w:pPr>
      <w:r>
        <w:rPr>
          <w:bCs/>
          <w:b/>
        </w:rPr>
        <w:t xml:space="preserve">Figure digitizers (standalone only):</w:t>
      </w:r>
      <w:r>
        <w:t xml:space="preserve"> </w:t>
      </w:r>
      <w:r>
        <w:rPr>
          <w:bCs/>
          <w:b/>
        </w:rPr>
        <w:t xml:space="preserve">metaDigitise</w:t>
      </w:r>
      <w:r>
        <w:t xml:space="preserve"> </w:t>
      </w:r>
      <w:r>
        <w:t xml:space="preserve">(R, GPL-3) — closest MA-purpose competitor, reproducible interactive extraction, auto-writes calibration to a</w:t>
      </w:r>
      <w:r>
        <w:t xml:space="preserve"> </w:t>
      </w:r>
      <w:r>
        <w:rPr>
          <w:rStyle w:val="VerbatimChar"/>
        </w:rPr>
        <w:t xml:space="preserve">caldat</w:t>
      </w:r>
      <w:r>
        <w:t xml:space="preserve"> </w:t>
      </w:r>
      <w:r>
        <w:t xml:space="preserve">folder, computes mean/SD;</w:t>
      </w:r>
      <w:r>
        <w:t xml:space="preserve"> </w:t>
      </w:r>
      <w:r>
        <w:rPr>
          <w:bCs/>
          <w:b/>
        </w:rPr>
        <w:t xml:space="preserve">metagear</w:t>
      </w:r>
      <w:r>
        <w:t xml:space="preserve"> </w:t>
      </w:r>
      <w:r>
        <w:t xml:space="preserve">(R) — digitization + screening + PRISMA in one;</w:t>
      </w:r>
      <w:r>
        <w:t xml:space="preserve"> </w:t>
      </w:r>
      <w:r>
        <w:rPr>
          <w:bCs/>
          <w:b/>
        </w:rPr>
        <w:t xml:space="preserve">juicr</w:t>
      </w:r>
      <w:r>
        <w:t xml:space="preserve"> </w:t>
      </w:r>
      <w:r>
        <w:t xml:space="preserve">(embeds reproducible HTML records);</w:t>
      </w:r>
      <w:r>
        <w:t xml:space="preserve"> </w:t>
      </w:r>
      <w:r>
        <w:rPr>
          <w:bCs/>
          <w:b/>
        </w:rPr>
        <w:t xml:space="preserve">WebPlotDigitizer</w:t>
      </w:r>
      <w:r>
        <w:t xml:space="preserve"> </w:t>
      </w:r>
      <w:r>
        <w:t xml:space="preserve">(incumbent; cloud</w:t>
      </w:r>
      <w:r>
        <w:t xml:space="preserve"> </w:t>
      </w:r>
      <w:r>
        <w:t xml:space="preserve">“</w:t>
      </w:r>
      <w:r>
        <w:t xml:space="preserve">AI Assist</w:t>
      </w:r>
      <w:r>
        <w:t xml:space="preserve">”</w:t>
      </w:r>
      <w:r>
        <w:t xml:space="preserve"> </w:t>
      </w:r>
      <w:r>
        <w:t xml:space="preserve">closed);</w:t>
      </w:r>
      <w:r>
        <w:t xml:space="preserve"> </w:t>
      </w:r>
      <w:r>
        <w:rPr>
          <w:bCs/>
          <w:b/>
        </w:rPr>
        <w:t xml:space="preserve">Engauge</w:t>
      </w:r>
      <w:r>
        <w:t xml:space="preserve">;</w:t>
      </w:r>
      <w:r>
        <w:t xml:space="preserve"> </w:t>
      </w:r>
      <w:r>
        <w:rPr>
          <w:bCs/>
          <w:b/>
        </w:rPr>
        <w:t xml:space="preserve">PlotExtract</w:t>
      </w:r>
      <w:r>
        <w:t xml:space="preserve"> </w:t>
      </w:r>
      <w:r>
        <w:t xml:space="preserve">(2025; Claude 3.5 vision → plot-code → verify, &gt;90%). Narrow adjacent:</w:t>
      </w:r>
      <w:r>
        <w:t xml:space="preserve"> </w:t>
      </w:r>
      <w:r>
        <w:rPr>
          <w:bCs/>
          <w:b/>
        </w:rPr>
        <w:t xml:space="preserve">KM/IPD reconstruction</w:t>
      </w:r>
      <w:r>
        <w:t xml:space="preserve"> </w:t>
      </w:r>
      <w:r>
        <w:t xml:space="preserve">(IPDfromKM, SurvdigitizeR, KM-GPT).</w:t>
      </w:r>
      <w:r>
        <w:t xml:space="preserve"> </w:t>
      </w:r>
      <w:r>
        <w:rPr>
          <w:bCs/>
          <w:b/>
        </w:rPr>
        <w:t xml:space="preserve">None wired into a pooling pipeline.</w:t>
      </w:r>
      <w:r>
        <w:t xml:space="preserve"> </w:t>
      </w:r>
      <w:r>
        <w:t xml:space="preserve">https://github.com/daniel1noble/metaDigitise · https://arxiv.org/abs/2503.12326</w:t>
      </w:r>
    </w:p>
    <w:p>
      <w:pPr>
        <w:numPr>
          <w:ilvl w:val="0"/>
          <w:numId w:val="1003"/>
        </w:numPr>
        <w:pStyle w:val="Compact"/>
        <w:spacing w:after="240"/>
      </w:pPr>
      <w:r>
        <w:rPr>
          <w:bCs/>
          <w:b/>
        </w:rPr>
        <w:t xml:space="preserve">metaBUS</w:t>
      </w:r>
      <w:r>
        <w:t xml:space="preserve"> </w:t>
      </w:r>
      <w:r>
        <w:t xml:space="preserve">— the study-level exemplar to study: ~1.1M correlations from ~15,000 I-O psychology articles, in-browser</w:t>
      </w:r>
      <w:r>
        <w:t xml:space="preserve"> </w:t>
      </w:r>
      <w:r>
        <w:rPr>
          <w:bCs/>
          <w:b/>
        </w:rPr>
        <w:t xml:space="preserve">three-level random-effects MA</w:t>
      </w:r>
      <w:r>
        <w:t xml:space="preserve"> </w:t>
      </w:r>
      <w:r>
        <w:t xml:space="preserve">(effects nested by sample then article, REML) with</w:t>
      </w:r>
      <w:r>
        <w:t xml:space="preserve"> </w:t>
      </w:r>
      <w:r>
        <w:rPr>
          <w:bCs/>
          <w:b/>
        </w:rPr>
        <w:t xml:space="preserve">per-value provenance</w:t>
      </w:r>
      <w:r>
        <w:t xml:space="preserve"> </w:t>
      </w:r>
      <w:r>
        <w:t xml:space="preserve">(N, reliability, country). Proves one-article→many-effects + provenance + instant pooling works — but closed, scope-locked, no figures, no prereg, no audit log. https://journals.sagepub.com/doi/full/10.1177/2515245919882693</w:t>
      </w:r>
    </w:p>
    <w:p>
      <w:pPr>
        <w:spacing w:after="240"/>
      </w:pPr>
      <w:r>
        <w:pict>
          <v:rect style="width:0;height:1.5pt" o:hralign="center" o:hrstd="t" o:hr="t"/>
        </w:pict>
      </w:r>
    </w:p>
    <w:bookmarkEnd w:id="36"/>
    <w:bookmarkStart w:id="37" w:name="Xe68c1c72c673017c59b7e9e4f6d3a1300cb54b0"/>
    <w:p>
      <w:pPr>
        <w:pStyle w:val="Heading2"/>
      </w:pPr>
      <w:r>
        <w:t xml:space="preserve">4. Preclinical / animal-specific (this pipeline’s home turf)</w:t>
      </w:r>
    </w:p>
    <w:p>
      <w:pPr>
        <w:numPr>
          <w:ilvl w:val="0"/>
          <w:numId w:val="1004"/>
        </w:numPr>
        <w:pStyle w:val="Compact"/>
        <w:spacing w:after="240"/>
      </w:pPr>
      <w:r>
        <w:rPr>
          <w:bCs/>
          <w:b/>
        </w:rPr>
        <w:t xml:space="preserve">SyRF</w:t>
      </w:r>
      <w:r>
        <w:t xml:space="preserve"> </w:t>
      </w:r>
      <w:r>
        <w:t xml:space="preserve">(Systematic Review Facility; CAMARADES/Edinburgh, Macleod/Sena; NC3Rs-funded; RRID:SCR_018907) — the dominant preclinical SR platform. Reference import +</w:t>
      </w:r>
      <w:r>
        <w:t xml:space="preserve"> </w:t>
      </w:r>
      <w:r>
        <w:rPr>
          <w:bCs/>
          <w:b/>
        </w:rPr>
        <w:t xml:space="preserve">blinded dual screening + majority-vote reconciliation</w:t>
      </w:r>
      <w:r>
        <w:t xml:space="preserve">; on-request ML screening; custom annotation at Study→Cohort→Experiment→Outcome (so</w:t>
      </w:r>
      <w:r>
        <w:t xml:space="preserve"> </w:t>
      </w:r>
      <w:r>
        <w:rPr>
          <w:bCs/>
          <w:b/>
        </w:rPr>
        <w:t xml:space="preserve">arm/experiment-level</w:t>
      </w:r>
      <w:r>
        <w:t xml:space="preserve">); outcome-data extraction;</w:t>
      </w:r>
      <w:r>
        <w:t xml:space="preserve"> </w:t>
      </w:r>
      <w:r>
        <w:rPr>
          <w:bCs/>
          <w:b/>
        </w:rPr>
        <w:t xml:space="preserve">figure digitization via Graph2Data</w:t>
      </w:r>
      <w:r>
        <w:t xml:space="preserve"> </w:t>
      </w:r>
      <w:r>
        <w:t xml:space="preserve">(</w:t>
      </w:r>
      <w:r>
        <w:t xml:space="preserve">“</w:t>
      </w:r>
      <w:r>
        <w:t xml:space="preserve">faster, higher inter-rater reliability than manual</w:t>
      </w:r>
      <w:r>
        <w:t xml:space="preserve">”</w:t>
      </w:r>
      <w:r>
        <w:t xml:space="preserve">); a per-reviewer</w:t>
      </w:r>
      <w:r>
        <w:t xml:space="preserve"> </w:t>
      </w:r>
      <w:r>
        <w:rPr>
          <w:bCs/>
          <w:b/>
        </w:rPr>
        <w:t xml:space="preserve">audit trail</w:t>
      </w:r>
      <w:r>
        <w:t xml:space="preserve">.</w:t>
      </w:r>
      <w:r>
        <w:t xml:space="preserve"> </w:t>
      </w:r>
      <w:r>
        <w:rPr>
          <w:bCs/>
          <w:b/>
        </w:rPr>
        <w:t xml:space="preserve">Stops at extraction</w:t>
      </w:r>
      <w:r>
        <w:t xml:space="preserve"> </w:t>
      </w:r>
      <w:r>
        <w:t xml:space="preserve">— hands a table to a</w:t>
      </w:r>
      <w:r>
        <w:t xml:space="preserve"> </w:t>
      </w:r>
      <w:r>
        <w:rPr>
          <w:iCs/>
          <w:i/>
        </w:rPr>
        <w:t xml:space="preserve">separate</w:t>
      </w:r>
      <w:r>
        <w:t xml:space="preserve"> </w:t>
      </w:r>
      <w:r>
        <w:t xml:space="preserve">R/Shiny</w:t>
      </w:r>
      <w:r>
        <w:t xml:space="preserve"> </w:t>
      </w:r>
      <w:r>
        <w:rPr>
          <w:bCs/>
          <w:b/>
        </w:rPr>
        <w:t xml:space="preserve">Meta-Analysis App</w:t>
      </w:r>
      <w:r>
        <w:t xml:space="preserve"> </w:t>
      </w:r>
      <w:r>
        <w:t xml:space="preserve">(last release 2019) or bespoke</w:t>
      </w:r>
      <w:r>
        <w:t xml:space="preserve"> </w:t>
      </w:r>
      <w:r>
        <w:rPr>
          <w:rStyle w:val="VerbatimChar"/>
        </w:rPr>
        <w:t xml:space="preserve">metafor</w:t>
      </w:r>
      <w:r>
        <w:t xml:space="preserve">. Bahor et al. 2021, BMJ Open Science, https://pmc.ncbi.nlm.nih.gov/articles/PMC8647599/ · user guide https://camaradesuk.github.io/syrf_userguide/. As of June 2020: 1,251 researchers, 588 projects, ~2M citations.</w:t>
      </w:r>
    </w:p>
    <w:p>
      <w:pPr>
        <w:numPr>
          <w:ilvl w:val="0"/>
          <w:numId w:val="1004"/>
        </w:numPr>
        <w:pStyle w:val="Compact"/>
        <w:spacing w:after="240"/>
      </w:pPr>
      <w:r>
        <w:rPr>
          <w:bCs/>
          <w:b/>
        </w:rPr>
        <w:t xml:space="preserve">CAMARADES toolchain:</w:t>
      </w:r>
      <w:r>
        <w:t xml:space="preserve"> </w:t>
      </w:r>
      <w:r>
        <w:rPr>
          <w:bCs/>
          <w:b/>
        </w:rPr>
        <w:t xml:space="preserve">ASySD</w:t>
      </w:r>
      <w:r>
        <w:t xml:space="preserve"> </w:t>
      </w:r>
      <w:r>
        <w:t xml:space="preserve">(automated search dedup; R + Shiny),</w:t>
      </w:r>
      <w:r>
        <w:t xml:space="preserve"> </w:t>
      </w:r>
      <w:r>
        <w:rPr>
          <w:bCs/>
          <w:b/>
        </w:rPr>
        <w:t xml:space="preserve">Meta-Analysis App</w:t>
      </w:r>
      <w:r>
        <w:t xml:space="preserve"> </w:t>
      </w:r>
      <w:r>
        <w:t xml:space="preserve">(ES + stratified MA + meta-regression + trim-and-fill + Egger),</w:t>
      </w:r>
      <w:r>
        <w:t xml:space="preserve"> </w:t>
      </w:r>
      <w:r>
        <w:rPr>
          <w:bCs/>
          <w:b/>
        </w:rPr>
        <w:t xml:space="preserve">Graph2Data</w:t>
      </w:r>
      <w:r>
        <w:t xml:space="preserve"> </w:t>
      </w:r>
      <w:r>
        <w:t xml:space="preserve">(figure digitizer). Method (Vesterinen et al. 2014, J Neurosci Methods, https://pubmed.ncbi.nlm.nih.gov/24099992/): R + random-effects DL, NMD/SMD/MD,</w:t>
      </w:r>
      <w:r>
        <w:t xml:space="preserve"> </w:t>
      </w:r>
      <w:r>
        <w:rPr>
          <w:bCs/>
          <w:b/>
        </w:rPr>
        <w:t xml:space="preserve">multiple comparisons handled by nesting outcomes</w:t>
      </w:r>
      <w:r>
        <w:t xml:space="preserve">,</w:t>
      </w:r>
      <w:r>
        <w:t xml:space="preserve"> </w:t>
      </w:r>
      <w:r>
        <w:rPr>
          <w:bCs/>
          <w:b/>
        </w:rPr>
        <w:t xml:space="preserve">shared control handled by the control-splitting rule</w:t>
      </w:r>
      <w:r>
        <w:t xml:space="preserve"> </w:t>
      </w:r>
      <w:r>
        <w:t xml:space="preserve">n′c = nc ÷ (#treatment groups) —</w:t>
      </w:r>
      <w:r>
        <w:t xml:space="preserve"> </w:t>
      </w:r>
      <w:r>
        <w:rPr>
          <w:bCs/>
          <w:b/>
        </w:rPr>
        <w:t xml:space="preserve">manual analyst conventions, not automated</w:t>
      </w:r>
      <w:r>
        <w:t xml:space="preserve">. Full nesting via</w:t>
      </w:r>
      <w:r>
        <w:t xml:space="preserve"> </w:t>
      </w:r>
      <w:r>
        <w:rPr>
          <w:rStyle w:val="VerbatimChar"/>
        </w:rPr>
        <w:t xml:space="preserve">rma.mv</w:t>
      </w:r>
      <w:r>
        <w:t xml:space="preserve">.</w:t>
      </w:r>
    </w:p>
    <w:p>
      <w:pPr>
        <w:numPr>
          <w:ilvl w:val="0"/>
          <w:numId w:val="1004"/>
        </w:numPr>
        <w:pStyle w:val="Compact"/>
        <w:spacing w:after="240"/>
      </w:pPr>
      <w:r>
        <w:rPr>
          <w:bCs/>
          <w:b/>
        </w:rPr>
        <w:t xml:space="preserve">SYRCLE RoB tool</w:t>
      </w:r>
      <w:r>
        <w:t xml:space="preserve"> </w:t>
      </w:r>
      <w:r>
        <w:t xml:space="preserve">(Hooijmans et al. 2014, BMC MRM 14:43 — https://pmc.ncbi.nlm.nih.gov/articles/PMC4230647/) — 10-item low/high/unclear checklist adding animal-specific items (baseline characteristics, random housing, random outcome assessment). A checklist,</w:t>
      </w:r>
      <w:r>
        <w:t xml:space="preserve"> </w:t>
      </w:r>
      <w:r>
        <w:rPr>
          <w:bCs/>
          <w:b/>
        </w:rPr>
        <w:t xml:space="preserve">not software</w:t>
      </w:r>
      <w:r>
        <w:t xml:space="preserve">.</w:t>
      </w:r>
    </w:p>
    <w:p>
      <w:pPr>
        <w:numPr>
          <w:ilvl w:val="0"/>
          <w:numId w:val="1004"/>
        </w:numPr>
        <w:pStyle w:val="Compact"/>
        <w:spacing w:after="240"/>
      </w:pPr>
      <w:r>
        <w:rPr>
          <w:bCs/>
          <w:b/>
        </w:rPr>
        <w:t xml:space="preserve">SYRCLE automation — partial, item-limited, corpus-level, no full 10-item verdict:</w:t>
      </w:r>
      <w:r>
        <w:t xml:space="preserve"> </w:t>
      </w:r>
      <w:r>
        <w:rPr>
          <w:bCs/>
          <w:b/>
        </w:rPr>
        <w:t xml:space="preserve">pre-rob</w:t>
      </w:r>
      <w:r>
        <w:t xml:space="preserve"> </w:t>
      </w:r>
      <w:r>
        <w:t xml:space="preserve">(Wang et al. 2022; 5 items; welfare F1 91.5% but</w:t>
      </w:r>
      <w:r>
        <w:t xml:space="preserve"> </w:t>
      </w:r>
      <w:r>
        <w:rPr>
          <w:bCs/>
          <w:b/>
        </w:rPr>
        <w:t xml:space="preserve">exclusions only 46.6%</w:t>
      </w:r>
      <w:r>
        <w:t xml:space="preserve">; corpus-level, not per-paper — https://onlinelibrary.wiley.com/doi/full/10.1002/jrsm.1533),</w:t>
      </w:r>
      <w:r>
        <w:t xml:space="preserve"> </w:t>
      </w:r>
      <w:r>
        <w:rPr>
          <w:bCs/>
          <w:b/>
        </w:rPr>
        <w:t xml:space="preserve">Auto-STEED</w:t>
      </w:r>
      <w:r>
        <w:t xml:space="preserve"> </w:t>
      </w:r>
      <w:r>
        <w:t xml:space="preserve">(dict+regex species/model/randomization/blinding),</w:t>
      </w:r>
      <w:r>
        <w:t xml:space="preserve"> </w:t>
      </w:r>
      <w:r>
        <w:rPr>
          <w:bCs/>
          <w:b/>
        </w:rPr>
        <w:t xml:space="preserve">SciScore</w:t>
      </w:r>
      <w:r>
        <w:t xml:space="preserve"> </w:t>
      </w:r>
      <w:r>
        <w:t xml:space="preserve">(commercial, journal-facing rigor score; blinding/power weakest),</w:t>
      </w:r>
      <w:r>
        <w:t xml:space="preserve"> </w:t>
      </w:r>
      <w:r>
        <w:rPr>
          <w:bCs/>
          <w:b/>
        </w:rPr>
        <w:t xml:space="preserve">RobotReviewer</w:t>
      </w:r>
      <w:r>
        <w:t xml:space="preserve"> </w:t>
      </w:r>
      <w:r>
        <w:t xml:space="preserve">(RCT-only, no SYRCLE).</w:t>
      </w:r>
    </w:p>
    <w:p>
      <w:pPr>
        <w:numPr>
          <w:ilvl w:val="0"/>
          <w:numId w:val="1004"/>
        </w:numPr>
        <w:pStyle w:val="Compact"/>
        <w:spacing w:after="240"/>
      </w:pPr>
      <w:r>
        <w:rPr>
          <w:bCs/>
          <w:b/>
        </w:rPr>
        <w:t xml:space="preserve">Preclinical screening ML:</w:t>
      </w:r>
      <w:r>
        <w:t xml:space="preserve"> </w:t>
      </w:r>
      <w:r>
        <w:t xml:space="preserve">Bannach-Brown et al. 2019 (Syst Rev 8:23) — the algorithm SyRF exposes; found a share of apparent machine</w:t>
      </w:r>
      <w:r>
        <w:t xml:space="preserve"> </w:t>
      </w:r>
      <w:r>
        <w:t xml:space="preserve">“</w:t>
      </w:r>
      <w:r>
        <w:t xml:space="preserve">errors</w:t>
      </w:r>
      <w:r>
        <w:t xml:space="preserve">”</w:t>
      </w:r>
      <w:r>
        <w:t xml:space="preserve"> </w:t>
      </w:r>
      <w:r>
        <w:t xml:space="preserve">were actually</w:t>
      </w:r>
      <w:r>
        <w:t xml:space="preserve"> </w:t>
      </w:r>
      <w:r>
        <w:rPr>
          <w:bCs/>
          <w:b/>
        </w:rPr>
        <w:t xml:space="preserve">human</w:t>
      </w:r>
      <w:r>
        <w:t xml:space="preserve"> </w:t>
      </w:r>
      <w:r>
        <w:t xml:space="preserve">errors. https://pmc.ncbi.nlm.nih.gov/articles/PMC6334440/</w:t>
      </w:r>
    </w:p>
    <w:p>
      <w:pPr>
        <w:numPr>
          <w:ilvl w:val="0"/>
          <w:numId w:val="1004"/>
        </w:numPr>
        <w:pStyle w:val="Compact"/>
        <w:spacing w:after="240"/>
      </w:pPr>
      <w:r>
        <w:rPr>
          <w:bCs/>
          <w:b/>
        </w:rPr>
        <w:t xml:space="preserve">Preclinical preregistration:</w:t>
      </w:r>
      <w:r>
        <w:t xml:space="preserve"> </w:t>
      </w:r>
      <w:r>
        <w:rPr>
          <w:bCs/>
          <w:b/>
        </w:rPr>
        <w:t xml:space="preserve">PROSPERO4animals</w:t>
      </w:r>
      <w:r>
        <w:t xml:space="preserve"> </w:t>
      </w:r>
      <w:r>
        <w:t xml:space="preserve">(SR protocols for animal studies; Bannach-Brown/Wever et al. 2024 — https://pubmed.ncbi.nlm.nih.gov/38267888/),</w:t>
      </w:r>
      <w:r>
        <w:t xml:space="preserve"> </w:t>
      </w:r>
      <w:r>
        <w:rPr>
          <w:bCs/>
          <w:b/>
        </w:rPr>
        <w:t xml:space="preserve">preclinicaltrials.eu</w:t>
      </w:r>
      <w:r>
        <w:t xml:space="preserve"> </w:t>
      </w:r>
      <w:r>
        <w:t xml:space="preserve">(primary experiments),</w:t>
      </w:r>
      <w:r>
        <w:t xml:space="preserve"> </w:t>
      </w:r>
      <w:r>
        <w:rPr>
          <w:bCs/>
          <w:b/>
        </w:rPr>
        <w:t xml:space="preserve">SyRF Protocol Registry</w:t>
      </w:r>
      <w:r>
        <w:t xml:space="preserve"> </w:t>
      </w:r>
      <w:r>
        <w:t xml:space="preserve">— all</w:t>
      </w:r>
      <w:r>
        <w:t xml:space="preserve"> </w:t>
      </w:r>
      <w:r>
        <w:rPr>
          <w:bCs/>
          <w:b/>
        </w:rPr>
        <w:t xml:space="preserve">static, separate registrations, not linked to the extraction tool</w:t>
      </w:r>
      <w:r>
        <w:t xml:space="preserve"> </w:t>
      </w:r>
      <w:r>
        <w:t xml:space="preserve">with a live decision log.</w:t>
      </w:r>
    </w:p>
    <w:p>
      <w:pPr>
        <w:pStyle w:val="FirstParagraph"/>
        <w:spacing w:after="240"/>
      </w:pPr>
      <w:r>
        <w:t xml:space="preserve">Preclinical whitespace: end-to-end synthesis at arm level +</w:t>
      </w:r>
      <w:r>
        <w:t xml:space="preserve"> </w:t>
      </w:r>
      <w:r>
        <w:rPr>
          <w:iCs/>
          <w:i/>
        </w:rPr>
        <w:t xml:space="preserve">automated</w:t>
      </w:r>
      <w:r>
        <w:t xml:space="preserve"> </w:t>
      </w:r>
      <w:r>
        <w:t xml:space="preserve">shared-control handling + integrated preregistration + an append-only, protocol-linked decision log — unclaimed; and numeric extraction from text/figures is the acknowledged manual bottleneck.</w:t>
      </w:r>
    </w:p>
    <w:p>
      <w:pPr>
        <w:spacing w:after="240"/>
      </w:pPr>
      <w:r>
        <w:pict>
          <v:rect style="width:0;height:1.5pt" o:hralign="center" o:hrstd="t" o:hr="t"/>
        </w:pict>
      </w:r>
    </w:p>
    <w:bookmarkEnd w:id="37"/>
    <w:bookmarkStart w:id="38" w:name="Xcd4bc7bc712084ccae0aa6c5f8ba6fedb0045e8"/>
    <w:p>
      <w:pPr>
        <w:pStyle w:val="Heading2"/>
      </w:pPr>
      <w:r>
        <w:t xml:space="preserve">5. Research threads (evidence for the design choices)</w:t>
      </w:r>
    </w:p>
    <w:p>
      <w:pPr>
        <w:numPr>
          <w:ilvl w:val="0"/>
          <w:numId w:val="1005"/>
        </w:numPr>
        <w:pStyle w:val="Compact"/>
        <w:spacing w:after="240"/>
      </w:pPr>
      <w:r>
        <w:rPr>
          <w:bCs/>
          <w:b/>
        </w:rPr>
        <w:t xml:space="preserve">Screening</w:t>
      </w:r>
      <w:r>
        <w:t xml:space="preserve"> </w:t>
      </w:r>
      <w:r>
        <w:t xml:space="preserve">is mature: pooled sensitivity ~0.80–0.92 (Kim 2025) but high-recall/low-precision with a false-negative tail, and apparent accuracy</w:t>
      </w:r>
      <w:r>
        <w:t xml:space="preserve"> </w:t>
      </w:r>
      <w:r>
        <w:rPr>
          <w:bCs/>
          <w:b/>
        </w:rPr>
        <w:t xml:space="preserve">collapses after chance/imbalance correction</w:t>
      </w:r>
      <w:r>
        <w:t xml:space="preserve"> </w:t>
      </w:r>
      <w:r>
        <w:t xml:space="preserve">(Khraisha 2024, https://onlinelibrary.wiley.com/doi/10.1002/jrsm.1715). No one claims autonomy.</w:t>
      </w:r>
    </w:p>
    <w:p>
      <w:pPr>
        <w:numPr>
          <w:ilvl w:val="0"/>
          <w:numId w:val="1005"/>
        </w:numPr>
        <w:pStyle w:val="Compact"/>
        <w:spacing w:after="240"/>
      </w:pPr>
      <w:r>
        <w:rPr>
          <w:bCs/>
          <w:b/>
        </w:rPr>
        <w:t xml:space="preserve">Numeric extraction — the crux, and the strongest evidence for gates/provenance.</w:t>
      </w:r>
      <w:r>
        <w:t xml:space="preserve"> </w:t>
      </w:r>
      <w:r>
        <w:t xml:space="preserve">Categorical ~96% (Gartlehner/Claude-2), but forest-plot numbers are far worse: GPT-4 exact-match</w:t>
      </w:r>
      <w:r>
        <w:t xml:space="preserve"> </w:t>
      </w:r>
      <w:r>
        <w:rPr>
          <w:bCs/>
          <w:b/>
        </w:rPr>
        <w:t xml:space="preserve">65.5% binary / 48.7% continuous</w:t>
      </w:r>
      <w:r>
        <w:t xml:space="preserve"> </w:t>
      </w:r>
      <w:r>
        <w:t xml:space="preserve">(Yun/Wallace, https://arxiv.org/abs/2405.01686); full 6-field meta-analytic tuples</w:t>
      </w:r>
      <w:r>
        <w:t xml:space="preserve"> </w:t>
      </w:r>
      <w:r>
        <w:rPr>
          <w:bCs/>
          <w:b/>
        </w:rPr>
        <w:t xml:space="preserve">collapse to F1 ≈ 0</w:t>
      </w:r>
      <w:r>
        <w:t xml:space="preserve"> </w:t>
      </w:r>
      <w:r>
        <w:t xml:space="preserve">as arity grows (Tan &amp; D’Souza 2026, https://arxiv.org/abs/2602.10881). Human gold standards themselves err up to 63%.</w:t>
      </w:r>
    </w:p>
    <w:p>
      <w:pPr>
        <w:numPr>
          <w:ilvl w:val="0"/>
          <w:numId w:val="1005"/>
        </w:numPr>
        <w:pStyle w:val="Compact"/>
        <w:spacing w:after="240"/>
      </w:pPr>
      <w:r>
        <w:rPr>
          <w:bCs/>
          <w:b/>
        </w:rPr>
        <w:t xml:space="preserve">Risk of bias</w:t>
      </w:r>
      <w:r>
        <w:t xml:space="preserve"> </w:t>
      </w:r>
      <w:r>
        <w:t xml:space="preserve">under-solved: signaling-question level ~83%, overall verdicts weak (κ ~0.2–0.5).</w:t>
      </w:r>
      <w:r>
        <w:t xml:space="preserve"> </w:t>
      </w:r>
      <w:r>
        <w:rPr>
          <w:bCs/>
          <w:b/>
        </w:rPr>
        <w:t xml:space="preserve">Design lesson: elicit signaling answers, then apply the RoB algorithm deterministically</w:t>
      </w:r>
      <w:r>
        <w:t xml:space="preserve"> </w:t>
      </w:r>
      <w:r>
        <w:t xml:space="preserve">— don’t ask the LLM for the verdict (https://www.jmir.org/2025/1/e70450).</w:t>
      </w:r>
    </w:p>
    <w:p>
      <w:pPr>
        <w:numPr>
          <w:ilvl w:val="0"/>
          <w:numId w:val="1005"/>
        </w:numPr>
        <w:pStyle w:val="Compact"/>
        <w:spacing w:after="240"/>
      </w:pPr>
      <w:r>
        <w:rPr>
          <w:bCs/>
          <w:b/>
        </w:rPr>
        <w:t xml:space="preserve">Living systematic reviews</w:t>
      </w:r>
      <w:r>
        <w:t xml:space="preserve"> </w:t>
      </w:r>
      <w:r>
        <w:t xml:space="preserve">are operational but human-driven; only Trialstreamer runs autonomously, abstract-level only.</w:t>
      </w:r>
    </w:p>
    <w:p>
      <w:pPr>
        <w:numPr>
          <w:ilvl w:val="0"/>
          <w:numId w:val="1005"/>
        </w:numPr>
        <w:pStyle w:val="Compact"/>
        <w:spacing w:after="240"/>
      </w:pPr>
      <w:r>
        <w:rPr>
          <w:bCs/>
          <w:b/>
        </w:rPr>
        <w:t xml:space="preserve">Automated / feasibility-proven preregistration — near-total whitespace.</w:t>
      </w:r>
      <w:r>
        <w:t xml:space="preserve"> </w:t>
      </w:r>
      <w:r>
        <w:t xml:space="preserve">Only</w:t>
      </w:r>
      <w:r>
        <w:t xml:space="preserve"> </w:t>
      </w:r>
      <w:r>
        <w:rPr>
          <w:bCs/>
          <w:b/>
        </w:rPr>
        <w:t xml:space="preserve">Virtuous Machines</w:t>
      </w:r>
      <w:r>
        <w:t xml:space="preserve"> </w:t>
      </w:r>
      <w:r>
        <w:t xml:space="preserve">(2025) demonstrates auto-preregistration + a-priori power, and only for</w:t>
      </w:r>
      <w:r>
        <w:t xml:space="preserve"> </w:t>
      </w:r>
      <w:r>
        <w:rPr>
          <w:iCs/>
          <w:i/>
        </w:rPr>
        <w:t xml:space="preserve">primary</w:t>
      </w:r>
      <w:r>
        <w:t xml:space="preserve"> </w:t>
      </w:r>
      <w:r>
        <w:t xml:space="preserve">psychology studies (https://arxiv.org/abs/2508.13421).</w:t>
      </w:r>
      <w:r>
        <w:t xml:space="preserve"> </w:t>
      </w:r>
      <w:r>
        <w:rPr>
          <w:bCs/>
          <w:b/>
        </w:rPr>
        <w:t xml:space="preserve">RegCheck</w:t>
      </w:r>
      <w:r>
        <w:t xml:space="preserve"> </w:t>
      </w:r>
      <w:r>
        <w:t xml:space="preserve">is post-hoc deviation detection. MA power sims exist only as manual R tooling (POMADE, metapower, dmetar).</w:t>
      </w:r>
      <w:r>
        <w:t xml:space="preserve"> </w:t>
      </w:r>
      <w:r>
        <w:rPr>
          <w:bCs/>
          <w:b/>
        </w:rPr>
        <w:t xml:space="preserve">No system couples an auto-drafted MA protocol to a simulated feasibility/power go/no-go gate before locking.</w:t>
      </w:r>
    </w:p>
    <w:p>
      <w:pPr>
        <w:spacing w:after="240"/>
      </w:pPr>
      <w:r>
        <w:pict>
          <v:rect style="width:0;height:1.5pt" o:hralign="center" o:hrstd="t" o:hr="t"/>
        </w:pict>
      </w:r>
    </w:p>
    <w:bookmarkEnd w:id="38"/>
    <w:bookmarkStart w:id="39" w:name="scorecard-who-covers-each-differentiator"/>
    <w:p>
      <w:pPr>
        <w:pStyle w:val="Heading2"/>
      </w:pPr>
      <w:r>
        <w:t xml:space="preserve">6. Scorecard: who covers each differentiator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Differentiator</w:t>
            </w:r>
          </w:p>
        </w:tc>
        <w:tc>
          <w:tcPr/>
          <w:p>
            <w:pPr>
              <w:pStyle w:val="Compact"/>
              <w:jc w:val="left"/>
            </w:pPr>
            <w:r>
              <w:t xml:space="preserve">State of the art</w:t>
            </w:r>
          </w:p>
        </w:tc>
        <w:tc>
          <w:tcPr/>
          <w:p>
            <w:pPr>
              <w:pStyle w:val="Compact"/>
              <w:jc w:val="left"/>
            </w:pPr>
            <w:r>
              <w:t xml:space="preserve">Verdict</w:t>
            </w:r>
          </w:p>
        </w:tc>
      </w:tr>
      <w:tr>
        <w:tc>
          <w:tcPr/>
          <w:p>
            <w:pPr>
              <w:pStyle w:val="Compact"/>
              <w:jc w:val="left"/>
            </w:pPr>
            <w:r>
              <w:t xml:space="preserve">End-to-end →</w:t>
            </w:r>
            <w:r>
              <w:t xml:space="preserve"> </w:t>
            </w:r>
            <w:r>
              <w:rPr>
                <w:rStyle w:val="VerbatimChar"/>
              </w:rPr>
              <w:t xml:space="preserve">metafor</w:t>
            </w:r>
            <w:r>
              <w:t xml:space="preserve"> </w:t>
            </w:r>
            <w:r>
              <w:t xml:space="preserve">pooling</w:t>
            </w:r>
          </w:p>
        </w:tc>
        <w:tc>
          <w:tcPr/>
          <w:p>
            <w:pPr>
              <w:pStyle w:val="Compact"/>
              <w:jc w:val="left"/>
            </w:pPr>
            <w:r>
              <w:t xml:space="preserve">meta-pipe, LUMEN, AutoForest, otto-SR, Nested Knowledge, EPPI-R, RevMan, SUMARI</w:t>
            </w:r>
          </w:p>
        </w:tc>
        <w:tc>
          <w:tcPr/>
          <w:p>
            <w:pPr>
              <w:pStyle w:val="Compact"/>
              <w:jc w:val="left"/>
            </w:pPr>
            <w:r>
              <w:rPr>
                <w:bCs/>
                <w:b/>
              </w:rPr>
              <w:t xml:space="preserve">Occupied.</w:t>
            </w:r>
            <w:r>
              <w:t xml:space="preserve"> </w:t>
            </w:r>
            <w:r>
              <w:t xml:space="preserve">Table stakes.</w:t>
            </w:r>
          </w:p>
        </w:tc>
      </w:tr>
      <w:tr>
        <w:tc>
          <w:tcPr/>
          <w:p>
            <w:pPr>
              <w:pStyle w:val="Compact"/>
              <w:jc w:val="left"/>
            </w:pPr>
            <w:r>
              <w:t xml:space="preserve">R does inference; tools don’t compute ES</w:t>
            </w:r>
          </w:p>
        </w:tc>
        <w:tc>
          <w:tcPr/>
          <w:p>
            <w:pPr>
              <w:pStyle w:val="Compact"/>
              <w:jc w:val="left"/>
            </w:pPr>
            <w:r>
              <w:t xml:space="preserve">LUMEN, meta-pipe, AutoForest, llm-meta-analysis</w:t>
            </w:r>
          </w:p>
        </w:tc>
        <w:tc>
          <w:tcPr/>
          <w:p>
            <w:pPr>
              <w:pStyle w:val="Compact"/>
              <w:jc w:val="left"/>
            </w:pPr>
            <w:r>
              <w:rPr>
                <w:bCs/>
                <w:b/>
              </w:rPr>
              <w:t xml:space="preserve">Standard.</w:t>
            </w:r>
            <w:r>
              <w:t xml:space="preserve"> </w:t>
            </w:r>
            <w:r>
              <w:t xml:space="preserve">Everyone delegates to R.</w:t>
            </w:r>
          </w:p>
        </w:tc>
      </w:tr>
      <w:tr>
        <w:tc>
          <w:tcPr/>
          <w:p>
            <w:pPr>
              <w:pStyle w:val="Compact"/>
              <w:jc w:val="left"/>
            </w:pPr>
            <w:r>
              <w:t xml:space="preserve">Staged human-in-the-loop gates</w:t>
            </w:r>
          </w:p>
        </w:tc>
        <w:tc>
          <w:tcPr/>
          <w:p>
            <w:pPr>
              <w:pStyle w:val="Compact"/>
              <w:jc w:val="left"/>
            </w:pPr>
            <w:r>
              <w:t xml:space="preserve">meta-pipe (5 mandatory), otto-SR (dual human), LUMEN (optional queue)</w:t>
            </w:r>
          </w:p>
        </w:tc>
        <w:tc>
          <w:tcPr/>
          <w:p>
            <w:pPr>
              <w:pStyle w:val="Compact"/>
              <w:jc w:val="left"/>
            </w:pPr>
            <w:r>
              <w:rPr>
                <w:bCs/>
                <w:b/>
              </w:rPr>
              <w:t xml:space="preserve">Partly occupied.</w:t>
            </w:r>
            <w:r>
              <w:t xml:space="preserve"> </w:t>
            </w:r>
            <w:r>
              <w:t xml:space="preserve">Mandatory gates bound to specific risks are stronger than queues.</w:t>
            </w:r>
          </w:p>
        </w:tc>
      </w:tr>
      <w:tr>
        <w:tc>
          <w:tcPr/>
          <w:p>
            <w:pPr>
              <w:pStyle w:val="Compact"/>
              <w:jc w:val="left"/>
            </w:pPr>
            <w:r>
              <w:t xml:space="preserve">Append-only decision-log auditability</w:t>
            </w:r>
          </w:p>
        </w:tc>
        <w:tc>
          <w:tcPr/>
          <w:p>
            <w:pPr>
              <w:pStyle w:val="Compact"/>
              <w:jc w:val="left"/>
            </w:pPr>
            <w:r>
              <w:t xml:space="preserve">Real audit logs live in tools that</w:t>
            </w:r>
            <w:r>
              <w:t xml:space="preserve"> </w:t>
            </w:r>
            <w:r>
              <w:rPr>
                <w:iCs/>
                <w:i/>
              </w:rPr>
              <w:t xml:space="preserve">don’t</w:t>
            </w:r>
            <w:r>
              <w:t xml:space="preserve"> </w:t>
            </w:r>
            <w:r>
              <w:t xml:space="preserve">pool (Elicit, DistillerSR, SyRF); poolers have partial CSV/JSON</w:t>
            </w:r>
          </w:p>
        </w:tc>
        <w:tc>
          <w:tcPr/>
          <w:p>
            <w:pPr>
              <w:pStyle w:val="Compact"/>
              <w:jc w:val="left"/>
            </w:pPr>
            <w:r>
              <w:rPr>
                <w:bCs/>
                <w:b/>
              </w:rPr>
              <w:t xml:space="preserve">Thin where it counts.</w:t>
            </w:r>
            <w:r>
              <w:t xml:space="preserve"> </w:t>
            </w:r>
            <w:r>
              <w:t xml:space="preserve">Append-only ledger</w:t>
            </w:r>
            <w:r>
              <w:t xml:space="preserve"> </w:t>
            </w:r>
            <w:r>
              <w:rPr>
                <w:iCs/>
                <w:i/>
              </w:rPr>
              <w:t xml:space="preserve">paired with pooling</w:t>
            </w:r>
            <w:r>
              <w:t xml:space="preserve"> </w:t>
            </w:r>
            <w:r>
              <w:t xml:space="preserve">is ~unclaimed.</w:t>
            </w:r>
          </w:p>
        </w:tc>
      </w:tr>
      <w:tr>
        <w:tc>
          <w:tcPr/>
          <w:p>
            <w:pPr>
              <w:pStyle w:val="Compact"/>
              <w:jc w:val="left"/>
            </w:pPr>
            <w:r>
              <w:t xml:space="preserve">Study/arm-level multilevel (</w:t>
            </w:r>
            <w:r>
              <w:rPr>
                <w:rStyle w:val="VerbatimChar"/>
              </w:rPr>
              <w:t xml:space="preserve">rma.mv</w:t>
            </w:r>
            <w:r>
              <w:t xml:space="preserve">) with provenance</w:t>
            </w:r>
          </w:p>
        </w:tc>
        <w:tc>
          <w:tcPr/>
          <w:p>
            <w:pPr>
              <w:pStyle w:val="Compact"/>
              <w:jc w:val="left"/>
            </w:pPr>
            <w:r>
              <w:t xml:space="preserve">Stats solved; end-to-end only metaBUS (closed) &amp; SyRF (external pooling); AutoForest arm-level but plain pooling</w:t>
            </w:r>
          </w:p>
        </w:tc>
        <w:tc>
          <w:tcPr/>
          <w:p>
            <w:pPr>
              <w:pStyle w:val="Compact"/>
              <w:jc w:val="left"/>
            </w:pPr>
            <w:r>
              <w:rPr>
                <w:bCs/>
                <w:b/>
              </w:rPr>
              <w:t xml:space="preserve">Genuine whitespace + hard.</w:t>
            </w:r>
            <w:r>
              <w:t xml:space="preserve"> </w:t>
            </w:r>
            <w:r>
              <w:t xml:space="preserve">No open LLM pipeline outputs</w:t>
            </w:r>
            <w:r>
              <w:t xml:space="preserve"> </w:t>
            </w:r>
            <w:r>
              <w:rPr>
                <w:rStyle w:val="VerbatimChar"/>
              </w:rPr>
              <w:t xml:space="preserve">rma.mv</w:t>
            </w:r>
            <w:r>
              <w:t xml:space="preserve"> </w:t>
            </w:r>
            <w:r>
              <w:t xml:space="preserve">with arm/study provenance.</w:t>
            </w:r>
          </w:p>
        </w:tc>
      </w:tr>
      <w:tr>
        <w:tc>
          <w:tcPr/>
          <w:p>
            <w:pPr>
              <w:pStyle w:val="Compact"/>
              <w:jc w:val="left"/>
            </w:pPr>
            <w:r>
              <w:t xml:space="preserve">Figure-extraction-as-flagged-fallback</w:t>
            </w:r>
          </w:p>
        </w:tc>
        <w:tc>
          <w:tcPr/>
          <w:p>
            <w:pPr>
              <w:pStyle w:val="Compact"/>
              <w:jc w:val="left"/>
            </w:pPr>
            <w:r>
              <w:t xml:space="preserve">Digitizers standalone; Manalyzer ingests figures but doesn’t flag/pool cleanly</w:t>
            </w:r>
          </w:p>
        </w:tc>
        <w:tc>
          <w:tcPr/>
          <w:p>
            <w:pPr>
              <w:pStyle w:val="Compact"/>
              <w:jc w:val="left"/>
            </w:pPr>
            <w:r>
              <w:rPr>
                <w:bCs/>
                <w:b/>
              </w:rPr>
              <w:t xml:space="preserve">Largely open.</w:t>
            </w:r>
            <w:r>
              <w:t xml:space="preserve"> </w:t>
            </w:r>
            <w:r>
              <w:t xml:space="preserve">Figure-derived</w:t>
            </w:r>
            <w:r>
              <w:t xml:space="preserve"> </w:t>
            </w:r>
            <w:r>
              <w:rPr>
                <w:iCs/>
                <w:i/>
              </w:rPr>
              <w:t xml:space="preserve">permanently flagged → sensitivity analysis</w:t>
            </w:r>
            <w:r>
              <w:t xml:space="preserve"> </w:t>
            </w:r>
            <w:r>
              <w:t xml:space="preserve">is unclaimed.</w:t>
            </w:r>
          </w:p>
        </w:tc>
      </w:tr>
      <w:tr>
        <w:tc>
          <w:tcPr/>
          <w:p>
            <w:pPr>
              <w:pStyle w:val="Compact"/>
              <w:jc w:val="left"/>
            </w:pPr>
            <w:r>
              <w:t xml:space="preserve">Feasibility-proven preregistration</w:t>
            </w:r>
          </w:p>
        </w:tc>
        <w:tc>
          <w:tcPr/>
          <w:p>
            <w:pPr>
              <w:pStyle w:val="Compact"/>
              <w:jc w:val="left"/>
            </w:pPr>
            <w:r>
              <w:t xml:space="preserve">Nobody for MA; Virtuous Machines (primary studies) adjacent; RegCheck post-hoc</w:t>
            </w:r>
          </w:p>
        </w:tc>
        <w:tc>
          <w:tcPr/>
          <w:p>
            <w:pPr>
              <w:pStyle w:val="Compact"/>
              <w:jc w:val="left"/>
            </w:pPr>
            <w:r>
              <w:rPr>
                <w:bCs/>
                <w:b/>
              </w:rPr>
              <w:t xml:space="preserve">Cleanest whitespace.</w:t>
            </w:r>
            <w:r>
              <w:t xml:space="preserve"> </w:t>
            </w:r>
            <w:r>
              <w:t xml:space="preserve">Genuinely novel for MA.</w:t>
            </w:r>
          </w:p>
        </w:tc>
      </w:tr>
      <w:tr>
        <w:tc>
          <w:tcPr/>
          <w:p>
            <w:pPr>
              <w:pStyle w:val="Compact"/>
              <w:jc w:val="left"/>
            </w:pPr>
            <w:r>
              <w:t xml:space="preserve">Preclinical / cross-species MA</w:t>
            </w:r>
          </w:p>
        </w:tc>
        <w:tc>
          <w:tcPr/>
          <w:p>
            <w:pPr>
              <w:pStyle w:val="Compact"/>
              <w:jc w:val="left"/>
            </w:pPr>
            <w:r>
              <w:t xml:space="preserve">SyRF (non-LLM, external pooling) + SYRCLE; every LLM pooler is clinical-RCT-only</w:t>
            </w:r>
          </w:p>
        </w:tc>
        <w:tc>
          <w:tcPr/>
          <w:p>
            <w:pPr>
              <w:pStyle w:val="Compact"/>
              <w:jc w:val="left"/>
            </w:pPr>
            <w:r>
              <w:rPr>
                <w:bCs/>
                <w:b/>
              </w:rPr>
              <w:t xml:space="preserve">Whitespace for automation.</w:t>
            </w:r>
          </w:p>
        </w:tc>
      </w:tr>
    </w:tbl>
    <w:p>
      <w:pPr>
        <w:spacing w:after="240"/>
      </w:pPr>
      <w:r>
        <w:pict>
          <v:rect style="width:0;height:1.5pt" o:hralign="center" o:hrstd="t" o:hr="t"/>
        </w:pict>
      </w:r>
    </w:p>
    <w:bookmarkEnd w:id="39"/>
    <w:bookmarkStart w:id="40" w:name="best-ideas-worth-adapting"/>
    <w:p>
      <w:pPr>
        <w:pStyle w:val="Heading2"/>
      </w:pPr>
      <w:r>
        <w:t xml:space="preserve">7. Best ideas worth adapting</w:t>
      </w:r>
    </w:p>
    <w:p>
      <w:pPr>
        <w:numPr>
          <w:ilvl w:val="0"/>
          <w:numId w:val="1006"/>
        </w:numPr>
        <w:pStyle w:val="Compact"/>
        <w:spacing w:after="240"/>
      </w:pPr>
      <w:r>
        <w:rPr>
          <w:bCs/>
          <w:b/>
        </w:rPr>
        <w:t xml:space="preserve">Read effect estimates back from R output files into the report/manuscript</w:t>
      </w:r>
      <w:r>
        <w:t xml:space="preserve"> </w:t>
      </w:r>
      <w:r>
        <w:t xml:space="preserve">(meta-pipe) — an anti-hallucination guarantee that fits</w:t>
      </w:r>
      <w:r>
        <w:t xml:space="preserve"> </w:t>
      </w:r>
      <w:r>
        <w:t xml:space="preserve">“</w:t>
      </w:r>
      <w:r>
        <w:t xml:space="preserve">R is authoritative.</w:t>
      </w:r>
      <w:r>
        <w:t xml:space="preserve">”</w:t>
      </w:r>
    </w:p>
    <w:p>
      <w:pPr>
        <w:numPr>
          <w:ilvl w:val="0"/>
          <w:numId w:val="1006"/>
        </w:numPr>
        <w:pStyle w:val="Compact"/>
        <w:spacing w:after="240"/>
      </w:pPr>
      <w:r>
        <w:rPr>
          <w:bCs/>
          <w:b/>
        </w:rPr>
        <w:t xml:space="preserve">Elicit signaling-question answers, then apply the RoB/SYRCLE algorithm deterministically</w:t>
      </w:r>
      <w:r>
        <w:t xml:space="preserve"> </w:t>
      </w:r>
      <w:r>
        <w:t xml:space="preserve">(Claude 3.5 RoB2 study) — don’t ask the model for a domain verdict.</w:t>
      </w:r>
    </w:p>
    <w:p>
      <w:pPr>
        <w:numPr>
          <w:ilvl w:val="0"/>
          <w:numId w:val="1006"/>
        </w:numPr>
        <w:pStyle w:val="Compact"/>
        <w:spacing w:after="240"/>
      </w:pPr>
      <w:r>
        <w:rPr>
          <w:bCs/>
          <w:b/>
        </w:rPr>
        <w:t xml:space="preserve">Multi-pass / dual-model extraction with an arbiter + per-phase cost logging</w:t>
      </w:r>
      <w:r>
        <w:t xml:space="preserve"> </w:t>
      </w:r>
      <w:r>
        <w:t xml:space="preserve">(LUMEN) — single-pass yielded ~6 poolable analyses vs ~34 for multi-pass; show a budget before committing at 10k–30k records.</w:t>
      </w:r>
    </w:p>
    <w:p>
      <w:pPr>
        <w:numPr>
          <w:ilvl w:val="0"/>
          <w:numId w:val="1006"/>
        </w:numPr>
        <w:pStyle w:val="Compact"/>
        <w:spacing w:after="240"/>
      </w:pPr>
      <w:r>
        <w:rPr>
          <w:bCs/>
          <w:b/>
        </w:rPr>
        <w:t xml:space="preserve">Reproducible calibration artifacts for figure extraction</w:t>
      </w:r>
      <w:r>
        <w:t xml:space="preserve"> </w:t>
      </w:r>
      <w:r>
        <w:t xml:space="preserve">(metaDigitise</w:t>
      </w:r>
      <w:r>
        <w:t xml:space="preserve"> </w:t>
      </w:r>
      <w:r>
        <w:rPr>
          <w:rStyle w:val="VerbatimChar"/>
        </w:rPr>
        <w:t xml:space="preserve">caldat</w:t>
      </w:r>
      <w:r>
        <w:t xml:space="preserve">; juicr HTML records) — persist axis calibration + clicked points so a human can re-verify a figure-derived value. Operationalizes</w:t>
      </w:r>
      <w:r>
        <w:t xml:space="preserve"> </w:t>
      </w:r>
      <w:r>
        <w:t xml:space="preserve">“</w:t>
      </w:r>
      <w:r>
        <w:t xml:space="preserve">verified, not laundered.</w:t>
      </w:r>
      <w:r>
        <w:t xml:space="preserve">”</w:t>
      </w:r>
    </w:p>
    <w:p>
      <w:pPr>
        <w:numPr>
          <w:ilvl w:val="0"/>
          <w:numId w:val="1006"/>
        </w:numPr>
        <w:pStyle w:val="Compact"/>
        <w:spacing w:after="240"/>
      </w:pPr>
      <w:r>
        <w:rPr>
          <w:bCs/>
          <w:b/>
        </w:rPr>
        <w:t xml:space="preserve">Disagreement-ranked review queue</w:t>
      </w:r>
      <w:r>
        <w:t xml:space="preserve"> </w:t>
      </w:r>
      <w:r>
        <w:t xml:space="preserve">(LUMEN) +</w:t>
      </w:r>
      <w:r>
        <w:t xml:space="preserve"> </w:t>
      </w:r>
      <w:r>
        <w:rPr>
          <w:bCs/>
          <w:b/>
        </w:rPr>
        <w:t xml:space="preserve">dual-human-verify-before-pooling</w:t>
      </w:r>
      <w:r>
        <w:t xml:space="preserve"> </w:t>
      </w:r>
      <w:r>
        <w:t xml:space="preserve">(otto-SR) — prioritize human attention by model disagreement so gates scale.</w:t>
      </w:r>
    </w:p>
    <w:p>
      <w:pPr>
        <w:numPr>
          <w:ilvl w:val="0"/>
          <w:numId w:val="1006"/>
        </w:numPr>
        <w:pStyle w:val="Compact"/>
        <w:spacing w:after="240"/>
      </w:pPr>
      <w:r>
        <w:rPr>
          <w:bCs/>
          <w:b/>
        </w:rPr>
        <w:t xml:space="preserve">Prior-MA seed set as a recall/accuracy oracle</w:t>
      </w:r>
      <w:r>
        <w:t xml:space="preserve"> </w:t>
      </w:r>
      <w:r>
        <w:t xml:space="preserve">(matches §17b) — the metaBUS-style validation target the preprint cohort lacks.</w:t>
      </w:r>
    </w:p>
    <w:p>
      <w:pPr>
        <w:numPr>
          <w:ilvl w:val="0"/>
          <w:numId w:val="1006"/>
        </w:numPr>
        <w:pStyle w:val="Compact"/>
        <w:spacing w:after="240"/>
      </w:pPr>
      <w:r>
        <w:rPr>
          <w:bCs/>
          <w:b/>
        </w:rPr>
        <w:t xml:space="preserve">Publish honest cost + accuracy numbers</w:t>
      </w:r>
      <w:r>
        <w:t xml:space="preserve"> </w:t>
      </w:r>
      <w:r>
        <w:t xml:space="preserve">(LUMEN’s whole contribution) — the field is starved for validated, transparent metrics; providing them is itself a differentiator.</w:t>
      </w:r>
    </w:p>
    <w:p>
      <w:pPr>
        <w:spacing w:after="240"/>
      </w:pPr>
      <w:r>
        <w:pict>
          <v:rect style="width:0;height:1.5pt" o:hralign="center" o:hrstd="t" o:hr="t"/>
        </w:pict>
      </w:r>
    </w:p>
    <w:bookmarkEnd w:id="40"/>
    <w:bookmarkEnd w:id="41"/>
    <w:bookmarkStart w:id="47" w:name="Xab32fb623d64c11f8fdc4ac8376a7e7d06bd1cf"/>
    <w:p>
      <w:pPr>
        <w:pStyle w:val="Heading1"/>
      </w:pPr>
      <w:r>
        <w:t xml:space="preserve">Part III. Tool Validation and What Is Actually Testable</w:t>
      </w:r>
    </w:p>
    <w:p>
      <w:pPr>
        <w:pStyle w:val="FirstParagraph"/>
        <w:spacing w:after="240"/>
      </w:pPr>
      <w:r>
        <w:t xml:space="preserve">Verdict legend:</w:t>
      </w:r>
      <w:r>
        <w:t xml:space="preserve"> </w:t>
      </w:r>
      <w:r>
        <w:rPr>
          <w:rStyle w:val="VerbatimChar"/>
        </w:rPr>
        <w:t xml:space="preserve">YES</w:t>
      </w:r>
      <w:r>
        <w:t xml:space="preserve"> </w:t>
      </w:r>
      <w:r>
        <w:t xml:space="preserve">runs here ·</w:t>
      </w:r>
      <w:r>
        <w:t xml:space="preserve"> </w:t>
      </w:r>
      <w:r>
        <w:rPr>
          <w:rStyle w:val="VerbatimChar"/>
        </w:rPr>
        <w:t xml:space="preserve">NEEDS-GPU</w:t>
      </w:r>
      <w:r>
        <w:t xml:space="preserve"> </w:t>
      </w:r>
      <w:r>
        <w:t xml:space="preserve">·</w:t>
      </w:r>
      <w:r>
        <w:t xml:space="preserve"> </w:t>
      </w:r>
      <w:r>
        <w:rPr>
          <w:rStyle w:val="VerbatimChar"/>
        </w:rPr>
        <w:t xml:space="preserve">NEEDS-API-KEY</w:t>
      </w:r>
      <w:r>
        <w:t xml:space="preserve"> </w:t>
      </w:r>
      <w:r>
        <w:t xml:space="preserve">·</w:t>
      </w:r>
      <w:r>
        <w:t xml:space="preserve"> </w:t>
      </w:r>
      <w:r>
        <w:rPr>
          <w:rStyle w:val="VerbatimChar"/>
        </w:rPr>
        <w:t xml:space="preserve">WINDOWS-ONLY</w:t>
      </w:r>
      <w:r>
        <w:t xml:space="preserve"> </w:t>
      </w:r>
      <w:r>
        <w:t xml:space="preserve">·</w:t>
      </w:r>
      <w:r>
        <w:t xml:space="preserve"> </w:t>
      </w:r>
      <w:r>
        <w:rPr>
          <w:rStyle w:val="VerbatimChar"/>
        </w:rPr>
        <w:t xml:space="preserve">COMMERCIAL-NO-CODE</w:t>
      </w:r>
      <w:r>
        <w:t xml:space="preserve"> </w:t>
      </w:r>
      <w:r>
        <w:t xml:space="preserve">·</w:t>
      </w:r>
      <w:r>
        <w:t xml:space="preserve"> </w:t>
      </w:r>
      <w:r>
        <w:rPr>
          <w:rStyle w:val="VerbatimChar"/>
        </w:rPr>
        <w:t xml:space="preserve">HEAVY-MODELS</w:t>
      </w:r>
      <w:r>
        <w:t xml:space="preserve"> </w:t>
      </w:r>
      <w:r>
        <w:t xml:space="preserve">(large download / legacy stack).</w:t>
      </w:r>
    </w:p>
    <w:bookmarkStart w:id="42" w:name="Xfcc55727593cbd53499293e1cf885fa7e0c6a69"/>
    <w:p>
      <w:pPr>
        <w:pStyle w:val="Heading2"/>
      </w:pPr>
      <w:r>
        <w:t xml:space="preserve">Part 1 — Figure/chart digitizers (the build-vs-buy decision)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Validation (best evidence)</w:t>
            </w:r>
          </w:p>
        </w:tc>
        <w:tc>
          <w:tcPr/>
          <w:p>
            <w:pPr>
              <w:pStyle w:val="Compact"/>
              <w:jc w:val="left"/>
            </w:pPr>
            <w:r>
              <w:t xml:space="preserve">Verdict</w:t>
            </w:r>
          </w:p>
        </w:tc>
        <w:tc>
          <w:tcPr/>
          <w:p>
            <w:pPr>
              <w:pStyle w:val="Compact"/>
              <w:jc w:val="left"/>
            </w:pPr>
            <w:r>
              <w:t xml:space="preserve">Repo</w:t>
            </w:r>
          </w:p>
        </w:tc>
      </w:tr>
      <w:tr>
        <w:tc>
          <w:tcPr/>
          <w:p>
            <w:pPr>
              <w:pStyle w:val="Compact"/>
              <w:jc w:val="left"/>
            </w:pPr>
            <w:r>
              <w:rPr>
                <w:bCs/>
                <w:b/>
              </w:rPr>
              <w:t xml:space="preserve">WebPlotDigitizer</w:t>
            </w:r>
          </w:p>
        </w:tc>
        <w:tc>
          <w:tcPr/>
          <w:p>
            <w:pPr>
              <w:pStyle w:val="Compact"/>
              <w:jc w:val="left"/>
            </w:pPr>
            <w:r>
              <w:t xml:space="preserve">Most-validated. Drevon 2017 (3,596 pts/168 series, high ICR &amp; validity, DOI 10.1177/0145445516673998); Burda 2017 (ICC&gt;0.95, % err 0.23–30%, 10.1002/jrsm.1232); Kadić 2016 (faster + higher IRR than manual, 10.1016/j.jclinepi.2016.08.002)</w:t>
            </w:r>
          </w:p>
        </w:tc>
        <w:tc>
          <w:tcPr/>
          <w:p>
            <w:pPr>
              <w:pStyle w:val="Compact"/>
              <w:jc w:val="left"/>
            </w:pPr>
            <w:r>
              <w:rPr>
                <w:bCs/>
                <w:b/>
              </w:rPr>
              <w:t xml:space="preserve">YES</w:t>
            </w:r>
            <w:r>
              <w:t xml:space="preserve"> </w:t>
            </w:r>
            <w:r>
              <w:t xml:space="preserve">(offline web/Electron; manual GUI)</w:t>
            </w:r>
          </w:p>
        </w:tc>
        <w:tc>
          <w:tcPr/>
          <w:p>
            <w:pPr>
              <w:pStyle w:val="Compact"/>
              <w:jc w:val="left"/>
            </w:pPr>
            <w:r>
              <w:t xml:space="preserve">automeris-io/WebPlotDigitizer</w:t>
            </w:r>
          </w:p>
        </w:tc>
      </w:tr>
      <w:tr>
        <w:tc>
          <w:tcPr/>
          <w:p>
            <w:pPr>
              <w:pStyle w:val="Compact"/>
              <w:jc w:val="left"/>
            </w:pPr>
            <w:r>
              <w:rPr>
                <w:bCs/>
                <w:b/>
              </w:rPr>
              <w:t xml:space="preserve">Graph2Data</w:t>
            </w:r>
          </w:p>
        </w:tc>
        <w:tc>
          <w:tcPr/>
          <w:p>
            <w:pPr>
              <w:pStyle w:val="Compact"/>
              <w:jc w:val="left"/>
            </w:pPr>
            <w:r>
              <w:t xml:space="preserve">No standalone study; only SyRF trial Bahor 2021 (~5:52 faster,</w:t>
            </w:r>
            <w:r>
              <w:t xml:space="preserve"> </w:t>
            </w:r>
            <w:r>
              <w:rPr>
                <w:bCs/>
                <w:b/>
              </w:rPr>
              <w:t xml:space="preserve">29% more accurate than manual</w:t>
            </w:r>
            <w:r>
              <w:t xml:space="preserve">, 10.1136/bmjos-2020-100103). Architecturally a .NET wrapper around pdf.js + WebPlotDigitizer → accuracy ≈ WPD</w:t>
            </w:r>
          </w:p>
        </w:tc>
        <w:tc>
          <w:tcPr/>
          <w:p>
            <w:pPr>
              <w:pStyle w:val="Compact"/>
              <w:jc w:val="left"/>
            </w:pPr>
            <w:r>
              <w:rPr>
                <w:bCs/>
                <w:b/>
              </w:rPr>
              <w:t xml:space="preserve">WINDOWS-ONLY</w:t>
            </w:r>
            <w:r>
              <w:t xml:space="preserve"> </w:t>
            </w:r>
            <w:r>
              <w:t xml:space="preserve">(.NET; not runnable here)</w:t>
            </w:r>
          </w:p>
        </w:tc>
        <w:tc>
          <w:tcPr/>
          <w:p>
            <w:pPr>
              <w:pStyle w:val="Compact"/>
              <w:jc w:val="left"/>
            </w:pPr>
            <w:r>
              <w:t xml:space="preserve">EPPI-Centre/Graph2Data</w:t>
            </w:r>
          </w:p>
        </w:tc>
      </w:tr>
      <w:tr>
        <w:tc>
          <w:tcPr/>
          <w:p>
            <w:pPr>
              <w:pStyle w:val="Compact"/>
              <w:jc w:val="left"/>
            </w:pPr>
            <w:r>
              <w:rPr>
                <w:bCs/>
                <w:b/>
              </w:rPr>
              <w:t xml:space="preserve">metaDigitise</w:t>
            </w:r>
          </w:p>
        </w:tc>
        <w:tc>
          <w:tcPr/>
          <w:p>
            <w:pPr>
              <w:pStyle w:val="Compact"/>
              <w:jc w:val="left"/>
            </w:pPr>
            <w:r>
              <w:t xml:space="preserve">Pick 2019 (software/reproducibility paper, 10.1111/2041-210X.13118); auto mean/SD/n; reproducible</w:t>
            </w:r>
            <w:r>
              <w:t xml:space="preserve"> </w:t>
            </w:r>
            <w:r>
              <w:rPr>
                <w:rStyle w:val="VerbatimChar"/>
              </w:rPr>
              <w:t xml:space="preserve">caldat</w:t>
            </w:r>
            <w:r>
              <w:t xml:space="preserve"> </w:t>
            </w:r>
            <w:r>
              <w:t xml:space="preserve">record</w:t>
            </w:r>
          </w:p>
        </w:tc>
        <w:tc>
          <w:tcPr/>
          <w:p>
            <w:pPr>
              <w:pStyle w:val="Compact"/>
              <w:jc w:val="left"/>
            </w:pPr>
            <w:r>
              <w:rPr>
                <w:bCs/>
                <w:b/>
              </w:rPr>
              <w:t xml:space="preserve">YES</w:t>
            </w:r>
            <w:r>
              <w:t xml:space="preserve"> </w:t>
            </w:r>
            <w:r>
              <w:t xml:space="preserve">(R; interactive, needs display)</w:t>
            </w:r>
          </w:p>
        </w:tc>
        <w:tc>
          <w:tcPr/>
          <w:p>
            <w:pPr>
              <w:pStyle w:val="Compact"/>
              <w:jc w:val="left"/>
            </w:pPr>
            <w:r>
              <w:t xml:space="preserve">daniel1noble/metaDigitise</w:t>
            </w:r>
          </w:p>
        </w:tc>
      </w:tr>
      <w:tr>
        <w:tc>
          <w:tcPr/>
          <w:p>
            <w:pPr>
              <w:pStyle w:val="Compact"/>
              <w:jc w:val="left"/>
            </w:pPr>
            <w:r>
              <w:rPr>
                <w:bCs/>
                <w:b/>
              </w:rPr>
              <w:t xml:space="preserve">metagear</w:t>
            </w:r>
          </w:p>
        </w:tc>
        <w:tc>
          <w:tcPr/>
          <w:p>
            <w:pPr>
              <w:pStyle w:val="Compact"/>
              <w:jc w:val="left"/>
            </w:pPr>
            <w:r>
              <w:t xml:space="preserve">Lajeunesse 2016 (10.1111/2041-210X.12472); screening + figure extraction + ES prep</w:t>
            </w:r>
          </w:p>
        </w:tc>
        <w:tc>
          <w:tcPr/>
          <w:p>
            <w:pPr>
              <w:pStyle w:val="Compact"/>
              <w:jc w:val="left"/>
            </w:pPr>
            <w:r>
              <w:rPr>
                <w:bCs/>
                <w:b/>
              </w:rPr>
              <w:t xml:space="preserve">YES</w:t>
            </w:r>
            <w:r>
              <w:t xml:space="preserve"> </w:t>
            </w:r>
            <w:r>
              <w:t xml:space="preserve">(R + Tcl/Tk + Bioconductor EBImage)</w:t>
            </w:r>
          </w:p>
        </w:tc>
        <w:tc>
          <w:tcPr/>
          <w:p>
            <w:pPr>
              <w:pStyle w:val="Compact"/>
              <w:jc w:val="left"/>
            </w:pPr>
            <w:r>
              <w:t xml:space="preserve">cran/metagear</w:t>
            </w:r>
          </w:p>
        </w:tc>
      </w:tr>
      <w:tr>
        <w:tc>
          <w:tcPr/>
          <w:p>
            <w:pPr>
              <w:pStyle w:val="Compact"/>
              <w:jc w:val="left"/>
            </w:pPr>
            <w:r>
              <w:rPr>
                <w:bCs/>
                <w:b/>
              </w:rPr>
              <w:t xml:space="preserve">juicr</w:t>
            </w:r>
          </w:p>
        </w:tc>
        <w:tc>
          <w:tcPr/>
          <w:p>
            <w:pPr>
              <w:pStyle w:val="Compact"/>
              <w:jc w:val="left"/>
            </w:pPr>
            <w:r>
              <w:t xml:space="preserve">metagear successor; embeds HTML record of every clicked point (reproducibility)</w:t>
            </w:r>
          </w:p>
        </w:tc>
        <w:tc>
          <w:tcPr/>
          <w:p>
            <w:pPr>
              <w:pStyle w:val="Compact"/>
              <w:jc w:val="left"/>
            </w:pPr>
            <w:r>
              <w:rPr>
                <w:bCs/>
                <w:b/>
              </w:rPr>
              <w:t xml:space="preserve">YES</w:t>
            </w:r>
            <w:r>
              <w:t xml:space="preserve"> </w:t>
            </w:r>
            <w:r>
              <w:t xml:space="preserve">(R + EBImage + Tcl/Tk)</w:t>
            </w:r>
          </w:p>
        </w:tc>
        <w:tc>
          <w:tcPr/>
          <w:p>
            <w:pPr>
              <w:pStyle w:val="Compact"/>
              <w:jc w:val="left"/>
            </w:pPr>
            <w:r>
              <w:t xml:space="preserve">mjlajeunesse/juicr</w:t>
            </w:r>
          </w:p>
        </w:tc>
      </w:tr>
      <w:tr>
        <w:tc>
          <w:tcPr/>
          <w:p>
            <w:pPr>
              <w:pStyle w:val="Compact"/>
              <w:jc w:val="left"/>
            </w:pPr>
            <w:r>
              <w:rPr>
                <w:bCs/>
                <w:b/>
              </w:rPr>
              <w:t xml:space="preserve">Engauge</w:t>
            </w:r>
          </w:p>
        </w:tc>
        <w:tc>
          <w:tcPr/>
          <w:p>
            <w:pPr>
              <w:pStyle w:val="Compact"/>
              <w:jc w:val="left"/>
            </w:pPr>
            <w:r>
              <w:t xml:space="preserve">Long-standing baseline; no formal accuracy paper</w:t>
            </w:r>
          </w:p>
        </w:tc>
        <w:tc>
          <w:tcPr/>
          <w:p>
            <w:pPr>
              <w:pStyle w:val="Compact"/>
              <w:jc w:val="left"/>
            </w:pPr>
            <w:r>
              <w:rPr>
                <w:bCs/>
                <w:b/>
              </w:rPr>
              <w:t xml:space="preserve">YES</w:t>
            </w:r>
            <w:r>
              <w:t xml:space="preserve"> </w:t>
            </w:r>
            <w:r>
              <w:t xml:space="preserve">(Qt GUI, needs display)</w:t>
            </w:r>
          </w:p>
        </w:tc>
        <w:tc>
          <w:tcPr/>
          <w:p>
            <w:pPr>
              <w:pStyle w:val="Compact"/>
              <w:jc w:val="left"/>
            </w:pPr>
            <w:r>
              <w:t xml:space="preserve">markummitchell/engauge-digitizer</w:t>
            </w:r>
          </w:p>
        </w:tc>
      </w:tr>
      <w:tr>
        <w:tc>
          <w:tcPr/>
          <w:p>
            <w:pPr>
              <w:pStyle w:val="Compact"/>
              <w:jc w:val="left"/>
            </w:pPr>
            <w:r>
              <w:rPr>
                <w:bCs/>
                <w:b/>
              </w:rPr>
              <w:t xml:space="preserve">PlotExtract</w:t>
            </w:r>
          </w:p>
        </w:tc>
        <w:tc>
          <w:tcPr/>
          <w:p>
            <w:pPr>
              <w:pStyle w:val="Compact"/>
              <w:jc w:val="left"/>
            </w:pPr>
            <w:r>
              <w:t xml:space="preserve">Polak &amp; Morgan 2025 (arXiv 2503.12326): &gt;90% precision, ~90% recall, ~5% pos error</w:t>
            </w:r>
            <w:r>
              <w:t xml:space="preserve"> </w:t>
            </w:r>
            <w:r>
              <w:rPr>
                <w:bCs/>
                <w:b/>
              </w:rPr>
              <w:t xml:space="preserve">on extractable plots</w:t>
            </w:r>
            <w:r>
              <w:t xml:space="preserve"> </w:t>
            </w:r>
            <w:r>
              <w:t xml:space="preserve">(multimodal LLM, zero-shot). The ready-made</w:t>
            </w:r>
            <w:r>
              <w:t xml:space="preserve"> </w:t>
            </w:r>
            <w:r>
              <w:t xml:space="preserve">“</w:t>
            </w:r>
            <w:r>
              <w:t xml:space="preserve">LLM chart reader</w:t>
            </w:r>
            <w:r>
              <w:t xml:space="preserve">”</w:t>
            </w:r>
            <w:r>
              <w:t xml:space="preserve"> </w:t>
            </w:r>
            <w:r>
              <w:t xml:space="preserve">comparator</w:t>
            </w:r>
          </w:p>
        </w:tc>
        <w:tc>
          <w:tcPr/>
          <w:p>
            <w:pPr>
              <w:pStyle w:val="Compact"/>
              <w:jc w:val="left"/>
            </w:pPr>
            <w:r>
              <w:rPr>
                <w:bCs/>
                <w:b/>
              </w:rPr>
              <w:t xml:space="preserve">NEEDS-API-KEY</w:t>
            </w:r>
          </w:p>
        </w:tc>
        <w:tc>
          <w:tcPr/>
          <w:p>
            <w:pPr>
              <w:pStyle w:val="Compact"/>
              <w:jc w:val="left"/>
            </w:pPr>
            <w:r>
              <w:t xml:space="preserve">none (figshare data)</w:t>
            </w:r>
          </w:p>
        </w:tc>
      </w:tr>
      <w:tr>
        <w:tc>
          <w:tcPr/>
          <w:p>
            <w:pPr>
              <w:pStyle w:val="Compact"/>
              <w:jc w:val="left"/>
            </w:pPr>
            <w:r>
              <w:rPr>
                <w:bCs/>
                <w:b/>
              </w:rPr>
              <w:t xml:space="preserve">ChartOCR / DeepRule</w:t>
            </w:r>
          </w:p>
        </w:tc>
        <w:tc>
          <w:tcPr/>
          <w:p>
            <w:pPr>
              <w:pStyle w:val="Compact"/>
              <w:jc w:val="left"/>
            </w:pPr>
            <w:r>
              <w:t xml:space="preserve">Luo 2021 WACV (10.1109/WACV48630.2021.00196); strong on clean synthetic, weak on real multi-panel (the transfer gap)</w:t>
            </w:r>
          </w:p>
        </w:tc>
        <w:tc>
          <w:tcPr/>
          <w:p>
            <w:pPr>
              <w:pStyle w:val="Compact"/>
              <w:jc w:val="left"/>
            </w:pPr>
            <w:r>
              <w:rPr>
                <w:bCs/>
                <w:b/>
              </w:rPr>
              <w:t xml:space="preserve">NEEDS-GPU</w:t>
            </w:r>
            <w:r>
              <w:t xml:space="preserve"> </w:t>
            </w:r>
            <w:r>
              <w:t xml:space="preserve">+ HEAVY-MODELS</w:t>
            </w:r>
          </w:p>
        </w:tc>
        <w:tc>
          <w:tcPr/>
          <w:p>
            <w:pPr>
              <w:pStyle w:val="Compact"/>
              <w:jc w:val="left"/>
            </w:pPr>
            <w:r>
              <w:t xml:space="preserve">soap117/DeepRule</w:t>
            </w:r>
          </w:p>
        </w:tc>
      </w:tr>
      <w:tr>
        <w:tc>
          <w:tcPr/>
          <w:p>
            <w:pPr>
              <w:pStyle w:val="Compact"/>
              <w:jc w:val="left"/>
            </w:pPr>
            <w:r>
              <w:rPr>
                <w:bCs/>
                <w:b/>
              </w:rPr>
              <w:t xml:space="preserve">IPDfromKM</w:t>
            </w:r>
          </w:p>
        </w:tc>
        <w:tc>
          <w:tcPr/>
          <w:p>
            <w:pPr>
              <w:pStyle w:val="Compact"/>
              <w:jc w:val="left"/>
            </w:pPr>
            <w:r>
              <w:t xml:space="preserve">Guyot 2012 (no material systematic error, 10.1186/1471-2288-12-9); Liu 2021 R pkg (10.1186/s12874-021-01308-8)</w:t>
            </w:r>
          </w:p>
        </w:tc>
        <w:tc>
          <w:tcPr/>
          <w:p>
            <w:pPr>
              <w:pStyle w:val="Compact"/>
              <w:jc w:val="left"/>
            </w:pPr>
            <w:r>
              <w:rPr>
                <w:bCs/>
                <w:b/>
              </w:rPr>
              <w:t xml:space="preserve">YES</w:t>
            </w:r>
            <w:r>
              <w:t xml:space="preserve"> </w:t>
            </w:r>
            <w:r>
              <w:t xml:space="preserve">(R, CRAN)</w:t>
            </w:r>
          </w:p>
        </w:tc>
        <w:tc>
          <w:tcPr/>
          <w:p>
            <w:pPr>
              <w:pStyle w:val="Compact"/>
              <w:jc w:val="left"/>
            </w:pPr>
            <w:r>
              <w:t xml:space="preserve">CRAN</w:t>
            </w:r>
          </w:p>
        </w:tc>
      </w:tr>
    </w:tbl>
    <w:p>
      <w:pPr>
        <w:pStyle w:val="BodyText"/>
        <w:spacing w:after="240"/>
      </w:pPr>
      <w:r>
        <w:rPr>
          <w:bCs/>
          <w:b/>
        </w:rPr>
        <w:t xml:space="preserve">Build-vs-buy takeaway:</w:t>
      </w:r>
      <w:r>
        <w:t xml:space="preserve"> </w:t>
      </w:r>
      <w:r>
        <w:t xml:space="preserve">the digitizer accuracy ceiling for</w:t>
      </w:r>
      <w:r>
        <w:t xml:space="preserve"> </w:t>
      </w:r>
      <w:r>
        <w:rPr>
          <w:iCs/>
          <w:i/>
        </w:rPr>
        <w:t xml:space="preserve">clean</w:t>
      </w:r>
      <w:r>
        <w:t xml:space="preserve"> </w:t>
      </w:r>
      <w:r>
        <w:t xml:space="preserve">charts is already high and validated (WPD ICC&gt;0.95), and metaDigitise/juicr already give the reproducible-calibration provenance you want.</w:t>
      </w:r>
      <w:r>
        <w:t xml:space="preserve"> </w:t>
      </w:r>
      <w:r>
        <w:rPr>
          <w:bCs/>
          <w:b/>
        </w:rPr>
        <w:t xml:space="preserve">A bespoke ML reader is justified only where those tools require manual clicking on</w:t>
      </w:r>
      <w:r>
        <w:rPr>
          <w:bCs/>
          <w:b/>
        </w:rPr>
        <w:t xml:space="preserve"> </w:t>
      </w:r>
      <w:r>
        <w:rPr>
          <w:iCs/>
          <w:i/>
          <w:bCs/>
          <w:b/>
        </w:rPr>
        <w:t xml:space="preserve">hard</w:t>
      </w:r>
      <w:r>
        <w:rPr>
          <w:bCs/>
          <w:b/>
        </w:rPr>
        <w:t xml:space="preserve"> </w:t>
      </w:r>
      <w:r>
        <w:rPr>
          <w:bCs/>
          <w:b/>
        </w:rPr>
        <w:t xml:space="preserve">real panels</w:t>
      </w:r>
      <w:r>
        <w:t xml:space="preserve"> </w:t>
      </w:r>
      <w:r>
        <w:t xml:space="preserve">(multi-panel, log/broken axes, dot overlays). PlotExtract (&gt;90% on extractable plots) is the exact comparator to test that gap. Graph2Data is a dead end to run and adds no accuracy over WPD.</w:t>
      </w:r>
    </w:p>
    <w:bookmarkEnd w:id="42"/>
    <w:bookmarkStart w:id="43" w:name="part-2-end-to-end-agentic-pipelines"/>
    <w:p>
      <w:pPr>
        <w:pStyle w:val="Heading2"/>
      </w:pPr>
      <w:r>
        <w:t xml:space="preserve">Part 2 — End-to-end agentic pipelines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Validation</w:t>
            </w:r>
          </w:p>
        </w:tc>
        <w:tc>
          <w:tcPr/>
          <w:p>
            <w:pPr>
              <w:pStyle w:val="Compact"/>
              <w:jc w:val="left"/>
            </w:pPr>
            <w:r>
              <w:t xml:space="preserve">Verdict</w:t>
            </w:r>
          </w:p>
        </w:tc>
        <w:tc>
          <w:tcPr/>
          <w:p>
            <w:pPr>
              <w:pStyle w:val="Compact"/>
              <w:jc w:val="left"/>
            </w:pPr>
            <w:r>
              <w:t xml:space="preserve">Repo</w:t>
            </w:r>
          </w:p>
        </w:tc>
      </w:tr>
      <w:tr>
        <w:tc>
          <w:tcPr/>
          <w:p>
            <w:pPr>
              <w:pStyle w:val="Compact"/>
              <w:jc w:val="left"/>
            </w:pPr>
            <w:r>
              <w:rPr>
                <w:bCs/>
                <w:b/>
              </w:rPr>
              <w:t xml:space="preserve">meta-pipe</w:t>
            </w:r>
          </w:p>
        </w:tc>
        <w:tc>
          <w:tcPr/>
          <w:p>
            <w:pPr>
              <w:pStyle w:val="Compact"/>
              <w:jc w:val="left"/>
            </w:pPr>
            <w:r>
              <w:t xml:space="preserve">None (arXiv 2606.28363, system description). Steal: 5 mandatory gates; read estimates back from R</w:t>
            </w:r>
          </w:p>
        </w:tc>
        <w:tc>
          <w:tcPr/>
          <w:p>
            <w:pPr>
              <w:pStyle w:val="Compact"/>
              <w:jc w:val="left"/>
            </w:pPr>
            <w:r>
              <w:rPr>
                <w:bCs/>
                <w:b/>
              </w:rPr>
              <w:t xml:space="preserve">NEEDS-API-KEY</w:t>
            </w:r>
            <w:r>
              <w:t xml:space="preserve"> </w:t>
            </w:r>
            <w:r>
              <w:t xml:space="preserve">(uv Py3.12 + R 4.2 + Quarto)</w:t>
            </w:r>
          </w:p>
        </w:tc>
        <w:tc>
          <w:tcPr/>
          <w:p>
            <w:pPr>
              <w:pStyle w:val="Compact"/>
              <w:jc w:val="left"/>
            </w:pPr>
            <w:r>
              <w:t xml:space="preserve">htlin222/meta-pipe</w:t>
            </w:r>
          </w:p>
        </w:tc>
      </w:tr>
      <w:tr>
        <w:tc>
          <w:tcPr/>
          <w:p>
            <w:pPr>
              <w:pStyle w:val="Compact"/>
              <w:jc w:val="left"/>
            </w:pPr>
            <w:r>
              <w:rPr>
                <w:bCs/>
                <w:b/>
              </w:rPr>
              <w:t xml:space="preserve">LUMEN</w:t>
            </w:r>
          </w:p>
        </w:tc>
        <w:tc>
          <w:tcPr/>
          <w:p>
            <w:pPr>
              <w:pStyle w:val="Compact"/>
              <w:jc w:val="left"/>
            </w:pPr>
            <w:r>
              <w:t xml:space="preserve">Most-validated open (arXiv 2606.28362): 100% directional agreement/13 outcomes; $22.65/review; multi-pass = 5.7× more poolable; metafor REML+HK</w:t>
            </w:r>
          </w:p>
        </w:tc>
        <w:tc>
          <w:tcPr/>
          <w:p>
            <w:pPr>
              <w:pStyle w:val="Compact"/>
              <w:jc w:val="left"/>
            </w:pPr>
            <w:r>
              <w:rPr>
                <w:bCs/>
                <w:b/>
              </w:rPr>
              <w:t xml:space="preserve">NEEDS-API-KEY</w:t>
            </w:r>
            <w:r>
              <w:t xml:space="preserve"> </w:t>
            </w:r>
            <w:r>
              <w:t xml:space="preserve">(worth running as reference)</w:t>
            </w:r>
          </w:p>
        </w:tc>
        <w:tc>
          <w:tcPr/>
          <w:p>
            <w:pPr>
              <w:pStyle w:val="Compact"/>
              <w:jc w:val="left"/>
            </w:pPr>
            <w:r>
              <w:t xml:space="preserve">YHHuan/LUMEN</w:t>
            </w:r>
          </w:p>
        </w:tc>
      </w:tr>
      <w:tr>
        <w:tc>
          <w:tcPr/>
          <w:p>
            <w:pPr>
              <w:pStyle w:val="Compact"/>
              <w:jc w:val="left"/>
            </w:pPr>
            <w:r>
              <w:rPr>
                <w:bCs/>
                <w:b/>
              </w:rPr>
              <w:t xml:space="preserve">AutoForest</w:t>
            </w:r>
          </w:p>
        </w:tc>
        <w:tc>
          <w:tcPr/>
          <w:p>
            <w:pPr>
              <w:pStyle w:val="Compact"/>
              <w:jc w:val="left"/>
            </w:pPr>
            <w:r>
              <w:t xml:space="preserve">arXiv 2606.02403; 32 forest plots/18 Cochrane; ~82–83% extraction, ~63% RoB; arm-level; pools via R meta; table-parsing not chart digitizing</w:t>
            </w:r>
          </w:p>
        </w:tc>
        <w:tc>
          <w:tcPr/>
          <w:p>
            <w:pPr>
              <w:pStyle w:val="Compact"/>
              <w:jc w:val="left"/>
            </w:pPr>
            <w:r>
              <w:rPr>
                <w:bCs/>
                <w:b/>
              </w:rPr>
              <w:t xml:space="preserve">NEEDS-API-KEY / no public repo</w:t>
            </w:r>
          </w:p>
        </w:tc>
        <w:tc>
          <w:tcPr/>
          <w:p>
            <w:pPr>
              <w:pStyle w:val="Compact"/>
              <w:jc w:val="left"/>
            </w:pPr>
            <w:r>
              <w:t xml:space="preserve">none</w:t>
            </w:r>
          </w:p>
        </w:tc>
      </w:tr>
      <w:tr>
        <w:tc>
          <w:tcPr/>
          <w:p>
            <w:pPr>
              <w:pStyle w:val="Compact"/>
              <w:jc w:val="left"/>
            </w:pPr>
            <w:r>
              <w:rPr>
                <w:bCs/>
                <w:b/>
              </w:rPr>
              <w:t xml:space="preserve">Manalyzer</w:t>
            </w:r>
          </w:p>
        </w:tc>
        <w:tc>
          <w:tcPr/>
          <w:p>
            <w:pPr>
              <w:pStyle w:val="Compact"/>
              <w:jc w:val="left"/>
            </w:pPr>
            <w:r>
              <w:t xml:space="preserve">arXiv 2505.20310; multimodal (parses figures+tables); non-clinical; calculated fields ~3%</w:t>
            </w:r>
          </w:p>
        </w:tc>
        <w:tc>
          <w:tcPr/>
          <w:p>
            <w:pPr>
              <w:pStyle w:val="Compact"/>
              <w:jc w:val="left"/>
            </w:pPr>
            <w:r>
              <w:rPr>
                <w:bCs/>
                <w:b/>
              </w:rPr>
              <w:t xml:space="preserve">NEEDS-API-KEY</w:t>
            </w:r>
          </w:p>
        </w:tc>
        <w:tc>
          <w:tcPr/>
          <w:p>
            <w:pPr>
              <w:pStyle w:val="Compact"/>
              <w:jc w:val="left"/>
            </w:pPr>
            <w:r>
              <w:t xml:space="preserve">black-yt/Manalyzer</w:t>
            </w:r>
          </w:p>
        </w:tc>
      </w:tr>
      <w:tr>
        <w:tc>
          <w:tcPr/>
          <w:p>
            <w:pPr>
              <w:pStyle w:val="Compact"/>
              <w:jc w:val="left"/>
            </w:pPr>
            <w:r>
              <w:rPr>
                <w:bCs/>
                <w:b/>
              </w:rPr>
              <w:t xml:space="preserve">otto-SR</w:t>
            </w:r>
          </w:p>
        </w:tc>
        <w:tc>
          <w:tcPr/>
          <w:p>
            <w:pPr>
              <w:pStyle w:val="Compact"/>
              <w:jc w:val="left"/>
            </w:pPr>
            <w:r>
              <w:t xml:space="preserve">Best deployed: screening 96.7%/97.9%, extraction 93.1% vs 79.7% human; 12 Cochrane reviews in ~2 days (10.1101/2025.06.13.25329541)</w:t>
            </w:r>
          </w:p>
        </w:tc>
        <w:tc>
          <w:tcPr/>
          <w:p>
            <w:pPr>
              <w:pStyle w:val="Compact"/>
              <w:jc w:val="left"/>
            </w:pPr>
            <w:r>
              <w:rPr>
                <w:bCs/>
                <w:b/>
              </w:rPr>
              <w:t xml:space="preserve">COMMERCIAL-NO-CODE</w:t>
            </w:r>
          </w:p>
        </w:tc>
        <w:tc>
          <w:tcPr/>
          <w:p>
            <w:pPr>
              <w:pStyle w:val="Compact"/>
              <w:jc w:val="left"/>
            </w:pPr>
            <w:r>
              <w:t xml:space="preserve">none</w:t>
            </w:r>
          </w:p>
        </w:tc>
      </w:tr>
      <w:tr>
        <w:tc>
          <w:tcPr/>
          <w:p>
            <w:pPr>
              <w:pStyle w:val="Compact"/>
              <w:jc w:val="left"/>
            </w:pPr>
            <w:r>
              <w:rPr>
                <w:bCs/>
                <w:b/>
              </w:rPr>
              <w:t xml:space="preserve">AutoMETA</w:t>
            </w:r>
          </w:p>
        </w:tc>
        <w:tc>
          <w:tcPr/>
          <w:p>
            <w:pPr>
              <w:pStyle w:val="Compact"/>
              <w:jc w:val="left"/>
            </w:pPr>
            <w:r>
              <w:t xml:space="preserve">Auditable-protocol DL pooling; OpenReview 81XyW0druM; no code</w:t>
            </w:r>
          </w:p>
        </w:tc>
        <w:tc>
          <w:tcPr/>
          <w:p>
            <w:pPr>
              <w:pStyle w:val="Compact"/>
              <w:jc w:val="left"/>
            </w:pPr>
            <w:r>
              <w:rPr>
                <w:bCs/>
                <w:b/>
              </w:rPr>
              <w:t xml:space="preserve">COMMERCIAL-NO-CODE</w:t>
            </w:r>
          </w:p>
        </w:tc>
        <w:tc>
          <w:tcPr/>
          <w:p>
            <w:pPr>
              <w:pStyle w:val="Compact"/>
              <w:jc w:val="left"/>
            </w:pPr>
            <w:r>
              <w:t xml:space="preserve">none</w:t>
            </w:r>
          </w:p>
        </w:tc>
      </w:tr>
      <w:tr>
        <w:tc>
          <w:tcPr/>
          <w:p>
            <w:pPr>
              <w:pStyle w:val="Compact"/>
              <w:jc w:val="left"/>
            </w:pPr>
            <w:r>
              <w:rPr>
                <w:bCs/>
                <w:b/>
              </w:rPr>
              <w:t xml:space="preserve">MetaMind</w:t>
            </w:r>
          </w:p>
        </w:tc>
        <w:tc>
          <w:tcPr/>
          <w:p>
            <w:pPr>
              <w:pStyle w:val="Compact"/>
              <w:jc w:val="left"/>
            </w:pPr>
            <w:r>
              <w:t xml:space="preserve">Multi-agent Bayesian NMA; 100% on limited PICO set (10.1371/journal.pone.0342895)</w:t>
            </w:r>
          </w:p>
        </w:tc>
        <w:tc>
          <w:tcPr/>
          <w:p>
            <w:pPr>
              <w:pStyle w:val="Compact"/>
              <w:jc w:val="left"/>
            </w:pPr>
            <w:r>
              <w:rPr>
                <w:bCs/>
                <w:b/>
              </w:rPr>
              <w:t xml:space="preserve">NEEDS-API-KEY / no repo</w:t>
            </w:r>
          </w:p>
        </w:tc>
        <w:tc>
          <w:tcPr/>
          <w:p>
            <w:pPr>
              <w:pStyle w:val="Compact"/>
              <w:jc w:val="left"/>
            </w:pPr>
            <w:r>
              <w:t xml:space="preserve">none</w:t>
            </w:r>
          </w:p>
        </w:tc>
      </w:tr>
    </w:tbl>
    <w:bookmarkEnd w:id="43"/>
    <w:bookmarkStart w:id="44" w:name="part-3-screening-extraction"/>
    <w:p>
      <w:pPr>
        <w:pStyle w:val="Heading2"/>
      </w:pPr>
      <w:r>
        <w:t xml:space="preserve">Part 3 — Screening / extraction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Validation</w:t>
            </w:r>
          </w:p>
        </w:tc>
        <w:tc>
          <w:tcPr/>
          <w:p>
            <w:pPr>
              <w:pStyle w:val="Compact"/>
              <w:jc w:val="left"/>
            </w:pPr>
            <w:r>
              <w:t xml:space="preserve">Verdict</w:t>
            </w:r>
          </w:p>
        </w:tc>
        <w:tc>
          <w:tcPr/>
          <w:p>
            <w:pPr>
              <w:pStyle w:val="Compact"/>
              <w:jc w:val="left"/>
            </w:pPr>
            <w:r>
              <w:t xml:space="preserve">Repo</w:t>
            </w:r>
          </w:p>
        </w:tc>
      </w:tr>
      <w:tr>
        <w:tc>
          <w:tcPr/>
          <w:p>
            <w:pPr>
              <w:pStyle w:val="Compact"/>
              <w:jc w:val="left"/>
            </w:pPr>
            <w:r>
              <w:rPr>
                <w:bCs/>
                <w:b/>
              </w:rPr>
              <w:t xml:space="preserve">ASReview</w:t>
            </w:r>
          </w:p>
        </w:tc>
        <w:tc>
          <w:tcPr/>
          <w:p>
            <w:pPr>
              <w:pStyle w:val="Compact"/>
              <w:jc w:val="left"/>
            </w:pPr>
            <w:r>
              <w:t xml:space="preserve">van de Schoot 2021, Nat Mach Intell (~95% workload reduction; 10.1038/s42256-020-00287-7)</w:t>
            </w:r>
          </w:p>
        </w:tc>
        <w:tc>
          <w:tcPr/>
          <w:p>
            <w:pPr>
              <w:pStyle w:val="Compact"/>
              <w:jc w:val="left"/>
            </w:pPr>
            <w:r>
              <w:rPr>
                <w:bCs/>
                <w:b/>
              </w:rPr>
              <w:t xml:space="preserve">YES</w:t>
            </w:r>
            <w:r>
              <w:t xml:space="preserve"> </w:t>
            </w:r>
            <w:r>
              <w:t xml:space="preserve">(pip, CPU)</w:t>
            </w:r>
          </w:p>
        </w:tc>
        <w:tc>
          <w:tcPr/>
          <w:p>
            <w:pPr>
              <w:pStyle w:val="Compact"/>
              <w:jc w:val="left"/>
            </w:pPr>
            <w:r>
              <w:t xml:space="preserve">asreview/asreview</w:t>
            </w:r>
          </w:p>
        </w:tc>
      </w:tr>
      <w:tr>
        <w:tc>
          <w:tcPr/>
          <w:p>
            <w:pPr>
              <w:pStyle w:val="Compact"/>
              <w:jc w:val="left"/>
            </w:pPr>
            <w:r>
              <w:rPr>
                <w:bCs/>
                <w:b/>
              </w:rPr>
              <w:t xml:space="preserve">Auto-STEED</w:t>
            </w:r>
          </w:p>
        </w:tc>
        <w:tc>
          <w:tcPr/>
          <w:p>
            <w:pPr>
              <w:pStyle w:val="Compact"/>
              <w:jc w:val="left"/>
            </w:pPr>
            <w:r>
              <w:t xml:space="preserve">Wang/Ineichen 2024 (sens&gt;85%, spec&gt;80%, F&gt;0.9; 10.1371/journal.pone.0311358); pure R dict+regex</w:t>
            </w:r>
          </w:p>
        </w:tc>
        <w:tc>
          <w:tcPr/>
          <w:p>
            <w:pPr>
              <w:pStyle w:val="Compact"/>
              <w:jc w:val="left"/>
            </w:pPr>
            <w:r>
              <w:rPr>
                <w:bCs/>
                <w:b/>
              </w:rPr>
              <w:t xml:space="preserve">YES</w:t>
            </w:r>
            <w:r>
              <w:t xml:space="preserve"> </w:t>
            </w:r>
            <w:r>
              <w:t xml:space="preserve">(R, light)</w:t>
            </w:r>
          </w:p>
        </w:tc>
        <w:tc>
          <w:tcPr/>
          <w:p>
            <w:pPr>
              <w:pStyle w:val="Compact"/>
              <w:jc w:val="left"/>
            </w:pPr>
            <w:r>
              <w:t xml:space="preserve">Ineichen-Group/Auto-STEED</w:t>
            </w:r>
          </w:p>
        </w:tc>
      </w:tr>
      <w:tr>
        <w:tc>
          <w:tcPr/>
          <w:p>
            <w:pPr>
              <w:pStyle w:val="Compact"/>
              <w:jc w:val="left"/>
            </w:pPr>
            <w:r>
              <w:rPr>
                <w:bCs/>
                <w:b/>
              </w:rPr>
              <w:t xml:space="preserve">ASySD</w:t>
            </w:r>
          </w:p>
        </w:tc>
        <w:tc>
          <w:tcPr/>
          <w:p>
            <w:pPr>
              <w:pStyle w:val="Compact"/>
              <w:jc w:val="left"/>
            </w:pPr>
            <w:r>
              <w:t xml:space="preserve">Hair 2023 BMC Biology (10.1186/s12915-023-01686-z); dedup</w:t>
            </w:r>
          </w:p>
        </w:tc>
        <w:tc>
          <w:tcPr/>
          <w:p>
            <w:pPr>
              <w:pStyle w:val="Compact"/>
              <w:jc w:val="left"/>
            </w:pPr>
            <w:r>
              <w:rPr>
                <w:bCs/>
                <w:b/>
              </w:rPr>
              <w:t xml:space="preserve">YES</w:t>
            </w:r>
            <w:r>
              <w:t xml:space="preserve"> </w:t>
            </w:r>
            <w:r>
              <w:t xml:space="preserve">(R + Shiny)</w:t>
            </w:r>
          </w:p>
        </w:tc>
        <w:tc>
          <w:tcPr/>
          <w:p>
            <w:pPr>
              <w:pStyle w:val="Compact"/>
              <w:jc w:val="left"/>
            </w:pPr>
            <w:r>
              <w:t xml:space="preserve">camaradesuk/ASySD</w:t>
            </w:r>
          </w:p>
        </w:tc>
      </w:tr>
      <w:tr>
        <w:tc>
          <w:tcPr/>
          <w:p>
            <w:pPr>
              <w:pStyle w:val="Compact"/>
              <w:jc w:val="left"/>
            </w:pPr>
            <w:r>
              <w:rPr>
                <w:bCs/>
                <w:b/>
              </w:rPr>
              <w:t xml:space="preserve">pre-rob</w:t>
            </w:r>
          </w:p>
        </w:tc>
        <w:tc>
          <w:tcPr/>
          <w:p>
            <w:pPr>
              <w:pStyle w:val="Compact"/>
              <w:jc w:val="left"/>
            </w:pPr>
            <w:r>
              <w:t xml:space="preserve">Wang 2022 (welfare F1 91.5%, exclusions 46.6%; 10.1002/jrsm.1533); BERT</w:t>
            </w:r>
          </w:p>
        </w:tc>
        <w:tc>
          <w:tcPr/>
          <w:p>
            <w:pPr>
              <w:pStyle w:val="Compact"/>
              <w:jc w:val="left"/>
            </w:pPr>
            <w:r>
              <w:rPr>
                <w:bCs/>
                <w:b/>
              </w:rPr>
              <w:t xml:space="preserve">HEAVY-MODELS</w:t>
            </w:r>
            <w:r>
              <w:t xml:space="preserve"> </w:t>
            </w:r>
            <w:r>
              <w:t xml:space="preserve">(GPU rec.)</w:t>
            </w:r>
          </w:p>
        </w:tc>
        <w:tc>
          <w:tcPr/>
          <w:p>
            <w:pPr>
              <w:pStyle w:val="Compact"/>
              <w:jc w:val="left"/>
            </w:pPr>
            <w:r>
              <w:t xml:space="preserve">qianyingw/pre-rob</w:t>
            </w:r>
          </w:p>
        </w:tc>
      </w:tr>
      <w:tr>
        <w:tc>
          <w:tcPr/>
          <w:p>
            <w:pPr>
              <w:pStyle w:val="Compact"/>
              <w:jc w:val="left"/>
            </w:pPr>
            <w:r>
              <w:rPr>
                <w:bCs/>
                <w:b/>
              </w:rPr>
              <w:t xml:space="preserve">RobotReviewer</w:t>
            </w:r>
          </w:p>
        </w:tc>
        <w:tc>
          <w:tcPr/>
          <w:p>
            <w:pPr>
              <w:pStyle w:val="Compact"/>
              <w:jc w:val="left"/>
            </w:pPr>
            <w:r>
              <w:t xml:space="preserve">Marshall 2016 JAMIA (10.1093/jamia/ocv044); RoB1 + PICO</w:t>
            </w:r>
          </w:p>
        </w:tc>
        <w:tc>
          <w:tcPr/>
          <w:p>
            <w:pPr>
              <w:pStyle w:val="Compact"/>
              <w:jc w:val="left"/>
            </w:pPr>
            <w:r>
              <w:rPr>
                <w:bCs/>
                <w:b/>
              </w:rPr>
              <w:t xml:space="preserve">HEAVY-MODELS</w:t>
            </w:r>
            <w:r>
              <w:t xml:space="preserve"> </w:t>
            </w:r>
            <w:r>
              <w:t xml:space="preserve">(Py3.6+TF1.12+Grobid+SciBERT; Docker)</w:t>
            </w:r>
          </w:p>
        </w:tc>
        <w:tc>
          <w:tcPr/>
          <w:p>
            <w:pPr>
              <w:pStyle w:val="Compact"/>
              <w:jc w:val="left"/>
            </w:pPr>
            <w:r>
              <w:t xml:space="preserve">ijmarshall/robotreviewer</w:t>
            </w:r>
          </w:p>
        </w:tc>
      </w:tr>
      <w:tr>
        <w:tc>
          <w:tcPr/>
          <w:p>
            <w:pPr>
              <w:pStyle w:val="Compact"/>
              <w:jc w:val="left"/>
            </w:pPr>
            <w:r>
              <w:rPr>
                <w:bCs/>
                <w:b/>
              </w:rPr>
              <w:t xml:space="preserve">Trialstreamer</w:t>
            </w:r>
          </w:p>
        </w:tc>
        <w:tc>
          <w:tcPr/>
          <w:p>
            <w:pPr>
              <w:pStyle w:val="Compact"/>
              <w:jc w:val="left"/>
            </w:pPr>
            <w:r>
              <w:t xml:space="preserve">Marshall 2020 JAMIA (10.1093/jamia/ocaa163); excludes animals</w:t>
            </w:r>
          </w:p>
        </w:tc>
        <w:tc>
          <w:tcPr/>
          <w:p>
            <w:pPr>
              <w:pStyle w:val="Compact"/>
              <w:jc w:val="left"/>
            </w:pPr>
            <w:r>
              <w:rPr>
                <w:bCs/>
                <w:b/>
              </w:rPr>
              <w:t xml:space="preserve">HEAVY-MODELS</w:t>
            </w:r>
            <w:r>
              <w:t xml:space="preserve"> </w:t>
            </w:r>
            <w:r>
              <w:t xml:space="preserve">(server/DB)</w:t>
            </w:r>
          </w:p>
        </w:tc>
        <w:tc>
          <w:tcPr/>
          <w:p>
            <w:pPr>
              <w:pStyle w:val="Compact"/>
              <w:jc w:val="left"/>
            </w:pPr>
            <w:r>
              <w:t xml:space="preserve">ijmarshall/trialstreamer</w:t>
            </w:r>
          </w:p>
        </w:tc>
      </w:tr>
      <w:tr>
        <w:tc>
          <w:tcPr/>
          <w:p>
            <w:pPr>
              <w:pStyle w:val="Compact"/>
              <w:jc w:val="left"/>
            </w:pPr>
            <w:r>
              <w:rPr>
                <w:bCs/>
                <w:b/>
              </w:rPr>
              <w:t xml:space="preserve">llm-meta-analysis</w:t>
            </w:r>
          </w:p>
        </w:tc>
        <w:tc>
          <w:tcPr/>
          <w:p>
            <w:pPr>
              <w:pStyle w:val="Compact"/>
              <w:jc w:val="left"/>
            </w:pPr>
            <w:r>
              <w:t xml:space="preserve">Yun 2024 MLHC (arXiv 2405.01686); binary ~65.5%, continuous ~48.7%</w:t>
            </w:r>
          </w:p>
        </w:tc>
        <w:tc>
          <w:tcPr/>
          <w:p>
            <w:pPr>
              <w:pStyle w:val="Compact"/>
              <w:jc w:val="left"/>
            </w:pPr>
            <w:r>
              <w:rPr>
                <w:bCs/>
                <w:b/>
              </w:rPr>
              <w:t xml:space="preserve">NEEDS-API-KEY</w:t>
            </w:r>
          </w:p>
        </w:tc>
        <w:tc>
          <w:tcPr/>
          <w:p>
            <w:pPr>
              <w:pStyle w:val="Compact"/>
              <w:jc w:val="left"/>
            </w:pPr>
            <w:r>
              <w:t xml:space="preserve">hyesunyun/llm-meta-analysis</w:t>
            </w:r>
          </w:p>
        </w:tc>
      </w:tr>
      <w:tr>
        <w:tc>
          <w:tcPr/>
          <w:p>
            <w:pPr>
              <w:pStyle w:val="Compact"/>
              <w:jc w:val="left"/>
            </w:pPr>
            <w:r>
              <w:rPr>
                <w:bCs/>
                <w:b/>
              </w:rPr>
              <w:t xml:space="preserve">OpenMeta-Analyst</w:t>
            </w:r>
          </w:p>
        </w:tc>
        <w:tc>
          <w:tcPr/>
          <w:p>
            <w:pPr>
              <w:pStyle w:val="Compact"/>
              <w:jc w:val="left"/>
            </w:pPr>
            <w:r>
              <w:t xml:space="preserve">Wallace 2012 JSS (10.18637/jss.v049.i05); R-backed GUI</w:t>
            </w:r>
          </w:p>
        </w:tc>
        <w:tc>
          <w:tcPr/>
          <w:p>
            <w:pPr>
              <w:pStyle w:val="Compact"/>
              <w:jc w:val="left"/>
            </w:pPr>
            <w:r>
              <w:t xml:space="preserve">legacy (Py2.7+GUI) →</w:t>
            </w:r>
            <w:r>
              <w:t xml:space="preserve"> </w:t>
            </w:r>
            <w:r>
              <w:rPr>
                <w:bCs/>
                <w:b/>
              </w:rPr>
              <w:t xml:space="preserve">skip</w:t>
            </w:r>
            <w:r>
              <w:t xml:space="preserve">; use metafor</w:t>
            </w:r>
          </w:p>
        </w:tc>
        <w:tc>
          <w:tcPr/>
          <w:p>
            <w:pPr>
              <w:pStyle w:val="Compact"/>
              <w:jc w:val="left"/>
            </w:pPr>
            <w:r>
              <w:t xml:space="preserve">bwallace/OpenMeta-analyst-</w:t>
            </w:r>
          </w:p>
        </w:tc>
      </w:tr>
    </w:tbl>
    <w:bookmarkEnd w:id="44"/>
    <w:bookmarkStart w:id="45" w:name="X190df169a95fa826ff84663095ce2187d5d5a07"/>
    <w:p>
      <w:pPr>
        <w:pStyle w:val="Heading2"/>
      </w:pPr>
      <w:r>
        <w:t xml:space="preserve">Part 4 — Synthesis (reference implementations = the ground truth)</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Reference</w:t>
            </w:r>
          </w:p>
        </w:tc>
        <w:tc>
          <w:tcPr/>
          <w:p>
            <w:pPr>
              <w:pStyle w:val="Compact"/>
              <w:jc w:val="left"/>
            </w:pPr>
            <w:r>
              <w:t xml:space="preserve">Verdict</w:t>
            </w:r>
          </w:p>
        </w:tc>
      </w:tr>
      <w:tr>
        <w:tc>
          <w:tcPr/>
          <w:p>
            <w:pPr>
              <w:pStyle w:val="Compact"/>
              <w:jc w:val="left"/>
            </w:pPr>
            <w:r>
              <w:rPr>
                <w:bCs/>
                <w:b/>
              </w:rPr>
              <w:t xml:space="preserve">metafor</w:t>
            </w:r>
          </w:p>
        </w:tc>
        <w:tc>
          <w:tcPr/>
          <w:p>
            <w:pPr>
              <w:pStyle w:val="Compact"/>
              <w:jc w:val="left"/>
            </w:pPr>
            <w:r>
              <w:t xml:space="preserve">Viechtbauer 2010 JSS (10.18637/jss.v036.i03); escalc + rma.mv</w:t>
            </w:r>
          </w:p>
        </w:tc>
        <w:tc>
          <w:tcPr/>
          <w:p>
            <w:pPr>
              <w:pStyle w:val="Compact"/>
              <w:jc w:val="left"/>
            </w:pPr>
            <w:r>
              <w:rPr>
                <w:bCs/>
                <w:b/>
              </w:rPr>
              <w:t xml:space="preserve">YES</w:t>
            </w:r>
            <w:r>
              <w:t xml:space="preserve"> </w:t>
            </w:r>
            <w:r>
              <w:t xml:space="preserve">(R)</w:t>
            </w:r>
          </w:p>
        </w:tc>
      </w:tr>
      <w:tr>
        <w:tc>
          <w:tcPr/>
          <w:p>
            <w:pPr>
              <w:pStyle w:val="Compact"/>
              <w:jc w:val="left"/>
            </w:pPr>
            <w:r>
              <w:rPr>
                <w:bCs/>
                <w:b/>
              </w:rPr>
              <w:t xml:space="preserve">meta</w:t>
            </w:r>
          </w:p>
        </w:tc>
        <w:tc>
          <w:tcPr/>
          <w:p>
            <w:pPr>
              <w:pStyle w:val="Compact"/>
              <w:jc w:val="left"/>
            </w:pPr>
            <w:r>
              <w:t xml:space="preserve">Balduzzi/Schwarzer 2019 (10.1136/ebmental-2019-300117); engine behind LUMEN/AutoForest</w:t>
            </w:r>
          </w:p>
        </w:tc>
        <w:tc>
          <w:tcPr/>
          <w:p>
            <w:pPr>
              <w:pStyle w:val="Compact"/>
              <w:jc w:val="left"/>
            </w:pPr>
            <w:r>
              <w:rPr>
                <w:bCs/>
                <w:b/>
              </w:rPr>
              <w:t xml:space="preserve">YES</w:t>
            </w:r>
            <w:r>
              <w:t xml:space="preserve"> </w:t>
            </w:r>
            <w:r>
              <w:t xml:space="preserve">(R)</w:t>
            </w:r>
          </w:p>
        </w:tc>
      </w:tr>
      <w:tr>
        <w:tc>
          <w:tcPr/>
          <w:p>
            <w:pPr>
              <w:pStyle w:val="Compact"/>
              <w:jc w:val="left"/>
            </w:pPr>
            <w:r>
              <w:rPr>
                <w:bCs/>
                <w:b/>
              </w:rPr>
              <w:t xml:space="preserve">clubSandwich</w:t>
            </w:r>
          </w:p>
        </w:tc>
        <w:tc>
          <w:tcPr/>
          <w:p>
            <w:pPr>
              <w:pStyle w:val="Compact"/>
              <w:jc w:val="left"/>
            </w:pPr>
            <w:r>
              <w:t xml:space="preserve">Pustejovsky &amp; Tipton 2018 (10.1080/07350015.2016.1247004); CR2 RVE</w:t>
            </w:r>
          </w:p>
        </w:tc>
        <w:tc>
          <w:tcPr/>
          <w:p>
            <w:pPr>
              <w:pStyle w:val="Compact"/>
              <w:jc w:val="left"/>
            </w:pPr>
            <w:r>
              <w:rPr>
                <w:bCs/>
                <w:b/>
              </w:rPr>
              <w:t xml:space="preserve">YES</w:t>
            </w:r>
            <w:r>
              <w:t xml:space="preserve"> </w:t>
            </w:r>
            <w:r>
              <w:t xml:space="preserve">(R)</w:t>
            </w:r>
          </w:p>
        </w:tc>
      </w:tr>
    </w:tbl>
    <w:bookmarkEnd w:id="45"/>
    <w:bookmarkStart w:id="46" w:name="benchmark-plan-three-runnable-clusters"/>
    <w:p>
      <w:pPr>
        <w:pStyle w:val="Heading2"/>
      </w:pPr>
      <w:r>
        <w:t xml:space="preserve">Benchmark plan — three runnable clusters</w:t>
      </w:r>
    </w:p>
    <w:p>
      <w:pPr>
        <w:pStyle w:val="FirstParagraph"/>
        <w:spacing w:after="240"/>
      </w:pPr>
      <w:r>
        <w:rPr>
          <w:bCs/>
          <w:b/>
        </w:rPr>
        <w:t xml:space="preserve">Cluster 1 — Figure digitizers (the build/buy call).</w:t>
      </w:r>
      <w:r>
        <w:t xml:space="preserve"> </w:t>
      </w:r>
      <w:r>
        <w:t xml:space="preserve">Shared task: ~30–50 synthetic bar/box/scatter/line charts with known GT + the panels from the 8 golden-diff articles; feed the</w:t>
      </w:r>
      <w:r>
        <w:t xml:space="preserve"> </w:t>
      </w:r>
      <w:r>
        <w:rPr>
          <w:iCs/>
          <w:i/>
        </w:rPr>
        <w:t xml:space="preserve">same</w:t>
      </w:r>
      <w:r>
        <w:t xml:space="preserve"> </w:t>
      </w:r>
      <w:r>
        <w:t xml:space="preserve">images to each. Metric: per-point % error + ICC vs true mean/SD; time-per-figure. Runnable: WPD, metaDigitise, metagear/juicr, Engauge, IPDfromKM(+KM), and a PlotExtract-style LLM reader (NEEDS-API-KEY) as the</w:t>
      </w:r>
      <w:r>
        <w:t xml:space="preserve"> </w:t>
      </w:r>
      <w:r>
        <w:rPr>
          <w:bCs/>
          <w:b/>
        </w:rPr>
        <w:t xml:space="preserve">comparator that answers</w:t>
      </w:r>
      <w:r>
        <w:rPr>
          <w:bCs/>
          <w:b/>
        </w:rPr>
        <w:t xml:space="preserve"> </w:t>
      </w:r>
      <w:r>
        <w:rPr>
          <w:bCs/>
          <w:b/>
        </w:rPr>
        <w:t xml:space="preserve">“</w:t>
      </w:r>
      <w:r>
        <w:rPr>
          <w:bCs/>
          <w:b/>
        </w:rPr>
        <w:t xml:space="preserve">should I build an ML reader?</w:t>
      </w:r>
      <w:r>
        <w:rPr>
          <w:bCs/>
          <w:b/>
        </w:rPr>
        <w:t xml:space="preserve">”</w:t>
      </w:r>
      <w:r>
        <w:t xml:space="preserve"> </w:t>
      </w:r>
      <w:r>
        <w:t xml:space="preserve">ChartOCR/Graph2Data: cite published numbers only.</w:t>
      </w:r>
      <w:r>
        <w:t xml:space="preserve"> </w:t>
      </w:r>
      <w:r>
        <w:rPr>
          <w:iCs/>
          <w:i/>
        </w:rPr>
        <w:t xml:space="preserve">Decision: if an LLM-vision reader can’t beat WPD’s ICC&gt;0.95 on clean charts but wins on the hard real panels where WPD needs manual clicks, that’s the build case.</w:t>
      </w:r>
    </w:p>
    <w:p>
      <w:pPr>
        <w:pStyle w:val="BodyText"/>
        <w:spacing w:after="240"/>
      </w:pPr>
      <w:r>
        <w:rPr>
          <w:bCs/>
          <w:b/>
        </w:rPr>
        <w:t xml:space="preserve">Cluster 2 — Screening/dedup/extraction.</w:t>
      </w:r>
      <w:r>
        <w:t xml:space="preserve"> </w:t>
      </w:r>
      <w:r>
        <w:t xml:space="preserve">Shared task: a labeled screening corpus (your dissertation’s include/exclude set, or a public SYNERGY/CAMARADES set). Metric: WSS@95%, recall, κ. Runnable: ASReview (primary), Auto-STEED (preclinical params), ASySD (dedup). pre-rob/RobotReviewer only with a GPU/Docker box.</w:t>
      </w:r>
    </w:p>
    <w:p>
      <w:pPr>
        <w:pStyle w:val="BodyText"/>
        <w:spacing w:after="240"/>
      </w:pPr>
      <w:r>
        <w:rPr>
          <w:bCs/>
          <w:b/>
        </w:rPr>
        <w:t xml:space="preserve">Cluster 3 — Synthesis correctness.</w:t>
      </w:r>
      <w:r>
        <w:t xml:space="preserve"> </w:t>
      </w:r>
      <w:r>
        <w:t xml:space="preserve">Shared task: regenerate a slice of</w:t>
      </w:r>
      <w:r>
        <w:t xml:space="preserve"> </w:t>
      </w:r>
      <w:r>
        <w:rPr>
          <w:rStyle w:val="VerbatimChar"/>
        </w:rPr>
        <w:t xml:space="preserve">rodent_main.rds</w:t>
      </w:r>
      <w:r>
        <w:t xml:space="preserve"> </w:t>
      </w:r>
      <w:r>
        <w:t xml:space="preserve">/ a known Cochrane forest. Metric: agreement of pooled estimate/CI/τ²/I². Runnable: metafor+clubSandwich (ground truth), meta (cross-check).</w:t>
      </w:r>
    </w:p>
    <w:p>
      <w:pPr>
        <w:pStyle w:val="BodyText"/>
        <w:spacing w:after="240"/>
      </w:pPr>
      <w:r>
        <w:rPr>
          <w:bCs/>
          <w:b/>
        </w:rPr>
        <w:t xml:space="preserve">Compare-on-paper-only:</w:t>
      </w:r>
      <w:r>
        <w:t xml:space="preserve"> </w:t>
      </w:r>
      <w:r>
        <w:t xml:space="preserve">meta-pipe, LUMEN, AutoForest, Manalyzer, MetaMind, llm-meta-analysis (NEEDS-API-KEY); otto-SR, AutoMETA (COMMERCIAL); ChartOCR (GPU).</w:t>
      </w:r>
      <w:r>
        <w:t xml:space="preserve"> </w:t>
      </w:r>
      <w:r>
        <w:rPr>
          <w:bCs/>
          <w:b/>
        </w:rPr>
        <w:t xml:space="preserve">LUMEN is the one end-to-end pipeline worth an actual reference run</w:t>
      </w:r>
      <w:r>
        <w:t xml:space="preserve"> </w:t>
      </w:r>
      <w:r>
        <w:t xml:space="preserve">if API keys are supplied.</w:t>
      </w:r>
    </w:p>
    <w:bookmarkEnd w:id="46"/>
    <w:bookmarkEnd w:id="47"/>
    <w:bookmarkStart w:id="54" w:name="part-iv.-differentiation-and-positioning"/>
    <w:p>
      <w:pPr>
        <w:pStyle w:val="Heading1"/>
      </w:pPr>
      <w:r>
        <w:t xml:space="preserve">Part IV. Differentiation and Positioning</w:t>
      </w:r>
    </w:p>
    <w:p>
      <w:pPr>
        <w:pStyle w:val="FirstParagraph"/>
        <w:spacing w:after="240"/>
      </w:pPr>
      <w:r>
        <w:t xml:space="preserve">The competitive survey (Part II) and the tool dossier (Part III) converge on a single strategic reality: the obvious pitch is occupied, and the defensible one is narrower and harder. This part states where the ground is already taken, where genuine whitespace remains, and how to position accordingly.</w:t>
      </w:r>
    </w:p>
    <w:bookmarkStart w:id="48" w:name="Xb53921243a3a64828fb2e6f46cf2be79d30b835"/>
    <w:p>
      <w:pPr>
        <w:pStyle w:val="Heading2"/>
      </w:pPr>
      <w:r>
        <w:t xml:space="preserve">The scorecard: who covers each claimed differentiator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Differentiator</w:t>
            </w:r>
          </w:p>
        </w:tc>
        <w:tc>
          <w:tcPr/>
          <w:p>
            <w:pPr>
              <w:pStyle w:val="Compact"/>
              <w:jc w:val="left"/>
            </w:pPr>
            <w:r>
              <w:t xml:space="preserve">State of the art</w:t>
            </w:r>
          </w:p>
        </w:tc>
        <w:tc>
          <w:tcPr/>
          <w:p>
            <w:pPr>
              <w:pStyle w:val="Compact"/>
              <w:jc w:val="left"/>
            </w:pPr>
            <w:r>
              <w:t xml:space="preserve">Verdict</w:t>
            </w:r>
          </w:p>
        </w:tc>
      </w:tr>
      <w:tr>
        <w:tc>
          <w:tcPr/>
          <w:p>
            <w:pPr>
              <w:pStyle w:val="Compact"/>
              <w:jc w:val="left"/>
            </w:pPr>
            <w:r>
              <w:t xml:space="preserve">End-to-end to a pooled metafor estimate</w:t>
            </w:r>
          </w:p>
        </w:tc>
        <w:tc>
          <w:tcPr/>
          <w:p>
            <w:pPr>
              <w:pStyle w:val="Compact"/>
              <w:jc w:val="left"/>
            </w:pPr>
            <w:r>
              <w:t xml:space="preserve">meta-pipe, LUMEN, AutoForest, otto-SR, Nested Knowledge, EPPI-Reviewer, RevMan</w:t>
            </w:r>
          </w:p>
        </w:tc>
        <w:tc>
          <w:tcPr/>
          <w:p>
            <w:pPr>
              <w:pStyle w:val="Compact"/>
              <w:jc w:val="left"/>
            </w:pPr>
            <w:r>
              <w:t xml:space="preserve">Occupied – table stakes</w:t>
            </w:r>
          </w:p>
        </w:tc>
      </w:tr>
      <w:tr>
        <w:tc>
          <w:tcPr/>
          <w:p>
            <w:pPr>
              <w:pStyle w:val="Compact"/>
              <w:jc w:val="left"/>
            </w:pPr>
            <w:r>
              <w:t xml:space="preserve">R does the inference; tools do not compute effect sizes</w:t>
            </w:r>
          </w:p>
        </w:tc>
        <w:tc>
          <w:tcPr/>
          <w:p>
            <w:pPr>
              <w:pStyle w:val="Compact"/>
              <w:jc w:val="left"/>
            </w:pPr>
            <w:r>
              <w:t xml:space="preserve">LUMEN, meta-pipe, AutoForest, llm-meta-analysis all delegate to R</w:t>
            </w:r>
          </w:p>
        </w:tc>
        <w:tc>
          <w:tcPr/>
          <w:p>
            <w:pPr>
              <w:pStyle w:val="Compact"/>
              <w:jc w:val="left"/>
            </w:pPr>
            <w:r>
              <w:t xml:space="preserve">Universal – not a distinction</w:t>
            </w:r>
          </w:p>
        </w:tc>
      </w:tr>
      <w:tr>
        <w:tc>
          <w:tcPr/>
          <w:p>
            <w:pPr>
              <w:pStyle w:val="Compact"/>
              <w:jc w:val="left"/>
            </w:pPr>
            <w:r>
              <w:t xml:space="preserve">Staged human-in-the-loop gates</w:t>
            </w:r>
          </w:p>
        </w:tc>
        <w:tc>
          <w:tcPr/>
          <w:p>
            <w:pPr>
              <w:pStyle w:val="Compact"/>
              <w:jc w:val="left"/>
            </w:pPr>
            <w:r>
              <w:t xml:space="preserve">meta-pipe (5 mandatory), otto-SR (dual human), LUMEN (optional queue)</w:t>
            </w:r>
          </w:p>
        </w:tc>
        <w:tc>
          <w:tcPr/>
          <w:p>
            <w:pPr>
              <w:pStyle w:val="Compact"/>
              <w:jc w:val="left"/>
            </w:pPr>
            <w:r>
              <w:t xml:space="preserve">Partly occupied – ours (bound to specific epistemic risks) is stronger than a queue</w:t>
            </w:r>
          </w:p>
        </w:tc>
      </w:tr>
      <w:tr>
        <w:tc>
          <w:tcPr/>
          <w:p>
            <w:pPr>
              <w:pStyle w:val="Compact"/>
              <w:jc w:val="left"/>
            </w:pPr>
            <w:r>
              <w:t xml:space="preserve">Append-only decision log paired with pooling</w:t>
            </w:r>
          </w:p>
        </w:tc>
        <w:tc>
          <w:tcPr/>
          <w:p>
            <w:pPr>
              <w:pStyle w:val="Compact"/>
              <w:jc w:val="left"/>
            </w:pPr>
            <w:r>
              <w:t xml:space="preserve">Real audit logs live in tools that do NOT pool (Elicit, DistillerSR, SyRF)</w:t>
            </w:r>
          </w:p>
        </w:tc>
        <w:tc>
          <w:tcPr/>
          <w:p>
            <w:pPr>
              <w:pStyle w:val="Compact"/>
              <w:jc w:val="left"/>
            </w:pPr>
            <w:r>
              <w:t xml:space="preserve">Thin where it counts – unclaimed together</w:t>
            </w:r>
          </w:p>
        </w:tc>
      </w:tr>
      <w:tr>
        <w:tc>
          <w:tcPr/>
          <w:p>
            <w:pPr>
              <w:pStyle w:val="Compact"/>
              <w:jc w:val="left"/>
            </w:pPr>
            <w:r>
              <w:t xml:space="preserve">Study/arm-level rma.mv with per-value provenance</w:t>
            </w:r>
          </w:p>
        </w:tc>
        <w:tc>
          <w:tcPr/>
          <w:p>
            <w:pPr>
              <w:pStyle w:val="Compact"/>
              <w:jc w:val="left"/>
            </w:pPr>
            <w:r>
              <w:t xml:space="preserve">Only metaBUS (closed) and SyRF (external pooling); no LLM pipeline does it</w:t>
            </w:r>
          </w:p>
        </w:tc>
        <w:tc>
          <w:tcPr/>
          <w:p>
            <w:pPr>
              <w:pStyle w:val="Compact"/>
              <w:jc w:val="left"/>
            </w:pPr>
            <w:r>
              <w:t xml:space="preserve">Genuine whitespace + hard</w:t>
            </w:r>
          </w:p>
        </w:tc>
      </w:tr>
      <w:tr>
        <w:tc>
          <w:tcPr/>
          <w:p>
            <w:pPr>
              <w:pStyle w:val="Compact"/>
              <w:jc w:val="left"/>
            </w:pPr>
            <w:r>
              <w:t xml:space="preserve">Figure-derived data, permanently flagged to a sensitivity analysis</w:t>
            </w:r>
          </w:p>
        </w:tc>
        <w:tc>
          <w:tcPr/>
          <w:p>
            <w:pPr>
              <w:pStyle w:val="Compact"/>
              <w:jc w:val="left"/>
            </w:pPr>
            <w:r>
              <w:t xml:space="preserve">Manalyzer ingests figures but does not flag/pool cleanly; digitizers are standalone</w:t>
            </w:r>
          </w:p>
        </w:tc>
        <w:tc>
          <w:tcPr/>
          <w:p>
            <w:pPr>
              <w:pStyle w:val="Compact"/>
              <w:jc w:val="left"/>
            </w:pPr>
            <w:r>
              <w:t xml:space="preserve">Largely open</w:t>
            </w:r>
          </w:p>
        </w:tc>
      </w:tr>
      <w:tr>
        <w:tc>
          <w:tcPr/>
          <w:p>
            <w:pPr>
              <w:pStyle w:val="Compact"/>
              <w:jc w:val="left"/>
            </w:pPr>
            <w:r>
              <w:t xml:space="preserve">Feasibility-proven preregistration</w:t>
            </w:r>
          </w:p>
        </w:tc>
        <w:tc>
          <w:tcPr/>
          <w:p>
            <w:pPr>
              <w:pStyle w:val="Compact"/>
              <w:jc w:val="left"/>
            </w:pPr>
            <w:r>
              <w:t xml:space="preserve">Nobody for meta-analysis (Virtuous Machines is primary-studies only; RegCheck is post-hoc)</w:t>
            </w:r>
          </w:p>
        </w:tc>
        <w:tc>
          <w:tcPr/>
          <w:p>
            <w:pPr>
              <w:pStyle w:val="Compact"/>
              <w:jc w:val="left"/>
            </w:pPr>
            <w:r>
              <w:t xml:space="preserve">Cleanest whitespace</w:t>
            </w:r>
          </w:p>
        </w:tc>
      </w:tr>
      <w:tr>
        <w:tc>
          <w:tcPr/>
          <w:p>
            <w:pPr>
              <w:pStyle w:val="Compact"/>
              <w:jc w:val="left"/>
            </w:pPr>
            <w:r>
              <w:t xml:space="preserve">Preclinical / cross-species meta-analysis</w:t>
            </w:r>
          </w:p>
        </w:tc>
        <w:tc>
          <w:tcPr/>
          <w:p>
            <w:pPr>
              <w:pStyle w:val="Compact"/>
              <w:jc w:val="left"/>
            </w:pPr>
            <w:r>
              <w:t xml:space="preserve">SyRF (non-LLM, external pooling) + SYRCLE; every LLM pooler is clinical-RCT-only</w:t>
            </w:r>
          </w:p>
        </w:tc>
        <w:tc>
          <w:tcPr/>
          <w:p>
            <w:pPr>
              <w:pStyle w:val="Compact"/>
              <w:jc w:val="left"/>
            </w:pPr>
            <w:r>
              <w:t xml:space="preserve">Whitespace for automation</w:t>
            </w:r>
          </w:p>
        </w:tc>
      </w:tr>
    </w:tbl>
    <w:bookmarkEnd w:id="48"/>
    <w:bookmarkStart w:id="49" w:name="what-not-to-lead-with"/>
    <w:p>
      <w:pPr>
        <w:pStyle w:val="Heading2"/>
      </w:pPr>
      <w:r>
        <w:t xml:space="preserve">What not to lead with</w:t>
      </w:r>
    </w:p>
    <w:p>
      <w:pPr>
        <w:pStyle w:val="FirstParagraph"/>
        <w:spacing w:after="240"/>
      </w:pPr>
      <w:r>
        <w:t xml:space="preserve">Four claims are already crowded and should never headline the pitch.</w:t>
      </w:r>
      <w:r>
        <w:t xml:space="preserve"> </w:t>
      </w:r>
      <w:r>
        <w:t xml:space="preserve">“</w:t>
      </w:r>
      <w:r>
        <w:t xml:space="preserve">Automated end-to-end meta-analysis</w:t>
      </w:r>
      <w:r>
        <w:t xml:space="preserve">”</w:t>
      </w:r>
      <w:r>
        <w:t xml:space="preserve"> </w:t>
      </w:r>
      <w:r>
        <w:t xml:space="preserve">invites the fatal question – meta-pipe is also Claude-Code-native, so</w:t>
      </w:r>
      <w:r>
        <w:t xml:space="preserve"> </w:t>
      </w:r>
      <w:r>
        <w:t xml:space="preserve">“</w:t>
      </w:r>
      <w:r>
        <w:t xml:space="preserve">how are you different from meta-pipe?</w:t>
      </w:r>
      <w:r>
        <w:t xml:space="preserve">”</w:t>
      </w:r>
      <w:r>
        <w:t xml:space="preserve"> </w:t>
      </w:r>
      <w:r>
        <w:t xml:space="preserve">must have a one-sentence answer.</w:t>
      </w:r>
      <w:r>
        <w:t xml:space="preserve"> </w:t>
      </w:r>
      <w:r>
        <w:t xml:space="preserve">“</w:t>
      </w:r>
      <w:r>
        <w:t xml:space="preserve">R/metafor does the inference</w:t>
      </w:r>
      <w:r>
        <w:t xml:space="preserve">”</w:t>
      </w:r>
      <w:r>
        <w:t xml:space="preserve"> </w:t>
      </w:r>
      <w:r>
        <w:t xml:space="preserve">is the universal architecture. Bare</w:t>
      </w:r>
      <w:r>
        <w:t xml:space="preserve"> </w:t>
      </w:r>
      <w:r>
        <w:t xml:space="preserve">“</w:t>
      </w:r>
      <w:r>
        <w:t xml:space="preserve">human-in-the-loop</w:t>
      </w:r>
      <w:r>
        <w:t xml:space="preserve">”</w:t>
      </w:r>
      <w:r>
        <w:t xml:space="preserve"> </w:t>
      </w:r>
      <w:r>
        <w:t xml:space="preserve">is said by everyone. And</w:t>
      </w:r>
      <w:r>
        <w:t xml:space="preserve"> </w:t>
      </w:r>
      <w:r>
        <w:t xml:space="preserve">“</w:t>
      </w:r>
      <w:r>
        <w:t xml:space="preserve">decision log / auditability,</w:t>
      </w:r>
      <w:r>
        <w:t xml:space="preserve">”</w:t>
      </w:r>
      <w:r>
        <w:t xml:space="preserve"> </w:t>
      </w:r>
      <w:r>
        <w:t xml:space="preserve">advertised by Elicit, DistillerSR, Silvi, and ASReview, differentiates only when it is</w:t>
      </w:r>
      <w:r>
        <w:t xml:space="preserve"> </w:t>
      </w:r>
      <w:r>
        <w:rPr>
          <w:iCs/>
          <w:i/>
        </w:rPr>
        <w:t xml:space="preserve">append-only</w:t>
      </w:r>
      <w:r>
        <w:t xml:space="preserve">,</w:t>
      </w:r>
      <w:r>
        <w:t xml:space="preserve"> </w:t>
      </w:r>
      <w:r>
        <w:rPr>
          <w:iCs/>
          <w:i/>
        </w:rPr>
        <w:t xml:space="preserve">paired with the pooling step</w:t>
      </w:r>
      <w:r>
        <w:t xml:space="preserve">, and</w:t>
      </w:r>
      <w:r>
        <w:t xml:space="preserve"> </w:t>
      </w:r>
      <w:r>
        <w:rPr>
          <w:iCs/>
          <w:i/>
        </w:rPr>
        <w:t xml:space="preserve">carrying per-value provenance</w:t>
      </w:r>
      <w:r>
        <w:t xml:space="preserve"> </w:t>
      </w:r>
      <w:r>
        <w:t xml:space="preserve">into the final model.</w:t>
      </w:r>
    </w:p>
    <w:bookmarkEnd w:id="49"/>
    <w:bookmarkStart w:id="50" w:name="where-the-project-is-genuinely-novel"/>
    <w:p>
      <w:pPr>
        <w:pStyle w:val="Heading2"/>
      </w:pPr>
      <w:r>
        <w:t xml:space="preserve">Where the project is genuinely novel</w:t>
      </w:r>
    </w:p>
    <w:p>
      <w:pPr>
        <w:numPr>
          <w:ilvl w:val="0"/>
          <w:numId w:val="1007"/>
        </w:numPr>
        <w:pStyle w:val="Compact"/>
        <w:spacing w:after="240"/>
      </w:pPr>
      <w:r>
        <w:rPr>
          <w:bCs/>
          <w:b/>
        </w:rPr>
        <w:t xml:space="preserve">Feasibility-proven preregistration</w:t>
      </w:r>
      <w:r>
        <w:t xml:space="preserve"> </w:t>
      </w:r>
      <w:r>
        <w:t xml:space="preserve">is the single strongest, cleanest wedge. No meta-analysis system makes the user run real searches, recover positive controls, prove the data schema on real extractions, and simulate power on the actual moderator models before it will let them lock the protocol. The components exist in isolation; assembling them into a pre-commitment gate for meta-analysis is unclaimed.</w:t>
      </w:r>
    </w:p>
    <w:p>
      <w:pPr>
        <w:numPr>
          <w:ilvl w:val="0"/>
          <w:numId w:val="1007"/>
        </w:numPr>
        <w:pStyle w:val="Compact"/>
        <w:spacing w:after="240"/>
      </w:pPr>
      <w:r>
        <w:rPr>
          <w:bCs/>
          <w:b/>
        </w:rPr>
        <w:t xml:space="preserve">The full combination</w:t>
      </w:r>
      <w:r>
        <w:t xml:space="preserve"> </w:t>
      </w:r>
      <w:r>
        <w:t xml:space="preserve">– figure-derived (flagged) values, study/arm-level rma.mv modeling, per-value provenance, an append-only ledger, preclinical reach, and feasibility-proven preregistration, in one pipeline ending in a real multilevel RVE model – exists nowhere, even though each capability exists somewhere.</w:t>
      </w:r>
    </w:p>
    <w:p>
      <w:pPr>
        <w:numPr>
          <w:ilvl w:val="0"/>
          <w:numId w:val="1007"/>
        </w:numPr>
        <w:pStyle w:val="Compact"/>
        <w:spacing w:after="240"/>
      </w:pPr>
      <w:r>
        <w:rPr>
          <w:bCs/>
          <w:b/>
        </w:rPr>
        <w:t xml:space="preserve">Study-level modeling that actually reaches rma.mv with provenance</w:t>
      </w:r>
      <w:r>
        <w:t xml:space="preserve"> </w:t>
      </w:r>
      <w:r>
        <w:t xml:space="preserve">is a moat precisely because multi-field numeric extraction is the documented accuracy cliff (tuple F1 collapses toward zero as arity grows). If the golden-diff validation shows the pipeline populates a three-level model reliably, that is a result no competitor can claim.</w:t>
      </w:r>
    </w:p>
    <w:bookmarkEnd w:id="50"/>
    <w:bookmarkStart w:id="51" w:name="ideas-worth-adopting-from-competitors"/>
    <w:p>
      <w:pPr>
        <w:pStyle w:val="Heading2"/>
      </w:pPr>
      <w:r>
        <w:t xml:space="preserve">Ideas worth adopting from competitors</w:t>
      </w:r>
    </w:p>
    <w:p>
      <w:pPr>
        <w:pStyle w:val="FirstParagraph"/>
        <w:spacing w:after="240"/>
      </w:pPr>
      <w:r>
        <w:t xml:space="preserve">The survey surfaced five concrete, immediately borrowable ideas. Read effect estimates back from the R output files into the report (meta-pipe) as an anti-hallucination guarantee that fits an</w:t>
      </w:r>
      <w:r>
        <w:t xml:space="preserve"> </w:t>
      </w:r>
      <w:r>
        <w:t xml:space="preserve">“</w:t>
      </w:r>
      <w:r>
        <w:t xml:space="preserve">R is authoritative</w:t>
      </w:r>
      <w:r>
        <w:t xml:space="preserve">”</w:t>
      </w:r>
      <w:r>
        <w:t xml:space="preserve"> </w:t>
      </w:r>
      <w:r>
        <w:t xml:space="preserve">stance. For risk of bias, elicit the signaling-question answers and then apply the SYRCLE/RoB algorithm deterministically – never ask the model for a domain verdict (the Claude 3.5 RoB2 study). Use multi-pass, dual-model extraction with an arbiter and per-phase cost logging (LUMEN found multi-pass yields roughly six times more poolable analyses than single-pass). Persist reproducible figure-calibration artifacts, as metaDigitise’s caldat folder and juicr’s embedded HTML records do, so a human can re-verify any figure-derived value. And publish honest cost and accuracy numbers, because the field is starved for validated metrics and providing them is itself a differentiator.</w:t>
      </w:r>
    </w:p>
    <w:bookmarkEnd w:id="51"/>
    <w:bookmarkStart w:id="52" w:name="the-five-positioning-moves"/>
    <w:p>
      <w:pPr>
        <w:pStyle w:val="Heading2"/>
      </w:pPr>
      <w:r>
        <w:t xml:space="preserve">The five positioning moves</w:t>
      </w:r>
    </w:p>
    <w:p>
      <w:pPr>
        <w:numPr>
          <w:ilvl w:val="0"/>
          <w:numId w:val="1008"/>
        </w:numPr>
        <w:pStyle w:val="Compact"/>
        <w:spacing w:after="240"/>
      </w:pPr>
      <w:r>
        <w:t xml:space="preserve">Lead with</w:t>
      </w:r>
      <w:r>
        <w:t xml:space="preserve"> </w:t>
      </w:r>
      <w:r>
        <w:t xml:space="preserve">“</w:t>
      </w:r>
      <w:r>
        <w:t xml:space="preserve">feasibility-proven preregistration for meta-analysis,</w:t>
      </w:r>
      <w:r>
        <w:t xml:space="preserve">”</w:t>
      </w:r>
      <w:r>
        <w:t xml:space="preserve"> </w:t>
      </w:r>
      <w:r>
        <w:t xml:space="preserve">not</w:t>
      </w:r>
      <w:r>
        <w:t xml:space="preserve"> </w:t>
      </w:r>
      <w:r>
        <w:t xml:space="preserve">“</w:t>
      </w:r>
      <w:r>
        <w:t xml:space="preserve">automated meta-analysis.</w:t>
      </w:r>
      <w:r>
        <w:t xml:space="preserve">”</w:t>
      </w:r>
      <w:r>
        <w:t xml:space="preserve"> </w:t>
      </w:r>
      <w:r>
        <w:t xml:space="preserve">It reframes the pitch from</w:t>
      </w:r>
      <w:r>
        <w:t xml:space="preserve"> </w:t>
      </w:r>
      <w:r>
        <w:t xml:space="preserve">“</w:t>
      </w:r>
      <w:r>
        <w:t xml:space="preserve">faster review</w:t>
      </w:r>
      <w:r>
        <w:t xml:space="preserve">”</w:t>
      </w:r>
      <w:r>
        <w:t xml:space="preserve"> </w:t>
      </w:r>
      <w:r>
        <w:t xml:space="preserve">to</w:t>
      </w:r>
      <w:r>
        <w:t xml:space="preserve"> </w:t>
      </w:r>
      <w:r>
        <w:t xml:space="preserve">“</w:t>
      </w:r>
      <w:r>
        <w:t xml:space="preserve">un-gameable, pre-committed rigor</w:t>
      </w:r>
      <w:r>
        <w:t xml:space="preserve">”</w:t>
      </w:r>
      <w:r>
        <w:t xml:space="preserve"> </w:t>
      </w:r>
      <w:r>
        <w:t xml:space="preserve">– the natural Metascience Observatory identity, and the one claim no competitor can contest.</w:t>
      </w:r>
    </w:p>
    <w:p>
      <w:pPr>
        <w:numPr>
          <w:ilvl w:val="0"/>
          <w:numId w:val="1008"/>
        </w:numPr>
        <w:pStyle w:val="Compact"/>
        <w:spacing w:after="240"/>
      </w:pPr>
      <w:r>
        <w:t xml:space="preserve">Own</w:t>
      </w:r>
      <w:r>
        <w:t xml:space="preserve"> </w:t>
      </w:r>
      <w:r>
        <w:t xml:space="preserve">“</w:t>
      </w:r>
      <w:r>
        <w:t xml:space="preserve">study-level, figure-aware, provenance-first extraction</w:t>
      </w:r>
      <w:r>
        <w:t xml:space="preserve">”</w:t>
      </w:r>
      <w:r>
        <w:t xml:space="preserve"> </w:t>
      </w:r>
      <w:r>
        <w:t xml:space="preserve">and prove it with the golden diff – a measured residual per-field error rate against the dissertation’s 155 rodent and 323 human coded rows, the validation the preprint cohort lacks.</w:t>
      </w:r>
    </w:p>
    <w:p>
      <w:pPr>
        <w:numPr>
          <w:ilvl w:val="0"/>
          <w:numId w:val="1008"/>
        </w:numPr>
        <w:pStyle w:val="Compact"/>
        <w:spacing w:after="240"/>
      </w:pPr>
      <w:r>
        <w:t xml:space="preserve">Compete on a capability grid, not vibes. A one-slide matrix against meta-pipe, LUMEN, otto-SR, Nested Knowledge, and Elicit makes the combination wedge visually obvious – and cite meta-pipe’s zero validation and Nested Knowledge’s retracted flagship paper to compete on validated rigor.</w:t>
      </w:r>
    </w:p>
    <w:p>
      <w:pPr>
        <w:numPr>
          <w:ilvl w:val="0"/>
          <w:numId w:val="1008"/>
        </w:numPr>
        <w:pStyle w:val="Compact"/>
        <w:spacing w:after="240"/>
      </w:pPr>
      <w:r>
        <w:t xml:space="preserve">Make the append-only decision log plus provenance a first-class, exportable artifact paired with pooling –</w:t>
      </w:r>
      <w:r>
        <w:t xml:space="preserve"> </w:t>
      </w:r>
      <w:r>
        <w:t xml:space="preserve">“</w:t>
      </w:r>
      <w:r>
        <w:t xml:space="preserve">team-grade inter-rater reliability and audit for a solo reviewer,</w:t>
      </w:r>
      <w:r>
        <w:t xml:space="preserve">”</w:t>
      </w:r>
      <w:r>
        <w:t xml:space="preserve"> </w:t>
      </w:r>
      <w:r>
        <w:t xml:space="preserve">where the agent is a measured second rater.</w:t>
      </w:r>
    </w:p>
    <w:p>
      <w:pPr>
        <w:numPr>
          <w:ilvl w:val="0"/>
          <w:numId w:val="1008"/>
        </w:numPr>
        <w:pStyle w:val="Compact"/>
        <w:spacing w:after="240"/>
      </w:pPr>
      <w:r>
        <w:t xml:space="preserve">Claim the two hardest niches deliberately – preclinical/cross-species and figure-derived data – exactly where the LLM-pooler field is empty and the dissertation is the proof of concept.</w:t>
      </w:r>
    </w:p>
    <w:bookmarkEnd w:id="52"/>
    <w:bookmarkStart w:id="53" w:name="the-reality-check-to-internalize"/>
    <w:p>
      <w:pPr>
        <w:pStyle w:val="Heading2"/>
      </w:pPr>
      <w:r>
        <w:t xml:space="preserve">The reality check to internalize</w:t>
      </w:r>
    </w:p>
    <w:p>
      <w:pPr>
        <w:pStyle w:val="FirstParagraph"/>
        <w:spacing w:after="240"/>
      </w:pPr>
      <w:r>
        <w:t xml:space="preserve">The field’s own benchmarks say nobody is close to trustworthy autonomy: no end-to-end system includes more than 52.7% of eligible studies (MetaSyn), multi-field numeric extraction collapses toward F1 of zero, and models fail to reject factually false evidence while synthesizing fluent conclusions from it (MedMeta). Mandatory human gates and validation-first discipline are the correct response. The right posture is to position on rigor and honesty – the qualities the 2026 preprint cohort most conspicuously lacks.</w:t>
      </w:r>
    </w:p>
    <w:bookmarkEnd w:id="53"/>
    <w:bookmarkEnd w:id="54"/>
    <w:bookmarkStart w:id="59" w:name="X6325c6bedcb8923a0125d0a1ae3506ebff0807f"/>
    <w:p>
      <w:pPr>
        <w:pStyle w:val="Heading1"/>
      </w:pPr>
      <w:r>
        <w:t xml:space="preserve">Part V. The Figure-Extraction Build-vs-Buy Decision</w:t>
      </w:r>
    </w:p>
    <w:p>
      <w:pPr>
        <w:pStyle w:val="FirstParagraph"/>
        <w:spacing w:after="240"/>
      </w:pPr>
      <w:r>
        <w:t xml:space="preserve">A recurring strategic question for this project is whether to build a bespoke machine-learning chart reader, or to reuse an existing figure digitizer. The competitive investigation answered it more sharply than expected.</w:t>
      </w:r>
    </w:p>
    <w:bookmarkStart w:id="55" w:name="X4a97dd820efb72f2c002ecbd7d9c96851864ff5"/>
    <w:p>
      <w:pPr>
        <w:pStyle w:val="Heading2"/>
      </w:pPr>
      <w:r>
        <w:t xml:space="preserve">Graph2Data is a manual WebPlotDigitizer wrapper, not automated chart reading</w:t>
      </w:r>
    </w:p>
    <w:p>
      <w:pPr>
        <w:pStyle w:val="FirstParagraph"/>
        <w:spacing w:after="240"/>
      </w:pPr>
      <w:r>
        <w:t xml:space="preserve">Graph2Data – the figure-extraction component of SyRF, the dominant preclinical systematic-review platform – was expected to be the incumbent to beat. Its own README settles the matter: the project</w:t>
      </w:r>
      <w:r>
        <w:t xml:space="preserve"> </w:t>
      </w:r>
      <w:r>
        <w:t xml:space="preserve">“</w:t>
      </w:r>
      <w:r>
        <w:t xml:space="preserve">uses pdf.js and WebPlotDigitizer to build a user-interface for extracting structured data from graphs.</w:t>
      </w:r>
      <w:r>
        <w:t xml:space="preserve">”</w:t>
      </w:r>
      <w:r>
        <w:t xml:space="preserve"> </w:t>
      </w:r>
      <w:r>
        <w:t xml:space="preserve">It is a .NET/Windows web application that wraps WebPlotDigitizer; it does not read charts automatically. A human (or an agent) still clicks the data points; the tool supplies calibration and bookkeeping. Its only published evaluation is the SyRF non-inferiority trial (Bahor et al., 2021), which found it roughly six minutes faster and 29% more accurate</w:t>
      </w:r>
      <w:r>
        <w:t xml:space="preserve"> </w:t>
      </w:r>
      <w:r>
        <w:rPr>
          <w:iCs/>
          <w:i/>
        </w:rPr>
        <w:t xml:space="preserve">than fully manual extraction</w:t>
      </w:r>
      <w:r>
        <w:t xml:space="preserve"> </w:t>
      </w:r>
      <w:r>
        <w:t xml:space="preserve">– not more accurate than WebPlotDigitizer, whose ceiling it inherits. It also cannot be run in a Linux environment (it requires .NET/IIS), so there is nothing to benchmark against directly; the correct proxy is WebPlotDigitizer itself.</w:t>
      </w:r>
    </w:p>
    <w:bookmarkEnd w:id="55"/>
    <w:bookmarkStart w:id="56" w:name="Xfff50b84e01a943a7d1ea28b90a556aefc2615b"/>
    <w:p>
      <w:pPr>
        <w:pStyle w:val="Heading2"/>
      </w:pPr>
      <w:r>
        <w:t xml:space="preserve">The digitizer accuracy ceiling for clean charts is already high</w:t>
      </w:r>
    </w:p>
    <w:p>
      <w:pPr>
        <w:pStyle w:val="FirstParagraph"/>
        <w:spacing w:after="240"/>
      </w:pPr>
      <w:r>
        <w:t xml:space="preserve">WebPlotDigitizer is the most independently validated digitizer in the field: Drevon et al. (2017) extracted 3,596 points across 168 series with high inter-coder reliability and validity; Burda et al. (2017) reported intraclass correlations above 0.95 against known values; Kadić et al. (2016) found figure-software extraction faster and more reliable than manual. The R-based, meta-analysis-purpose tools – metaDigitise and juicr – match that accuracy and add exactly the reproducible-calibration provenance this project wants (metaDigitise auto-writes a caldat record; juicr embeds an HTML record of every clicked point). In other words, for clean, single-panel charts, the accuracy problem is effectively solved and the provenance problem has a working solution to copy.</w:t>
      </w:r>
    </w:p>
    <w:bookmarkEnd w:id="56"/>
    <w:bookmarkStart w:id="57" w:name="where-the-machine-learning-case-is-real"/>
    <w:p>
      <w:pPr>
        <w:pStyle w:val="Heading2"/>
      </w:pPr>
      <w:r>
        <w:t xml:space="preserve">Where the machine-learning case is real</w:t>
      </w:r>
    </w:p>
    <w:p>
      <w:pPr>
        <w:pStyle w:val="FirstParagraph"/>
        <w:spacing w:after="240"/>
      </w:pPr>
      <w:r>
        <w:t xml:space="preserve">The catch is the word</w:t>
      </w:r>
      <w:r>
        <w:t xml:space="preserve"> </w:t>
      </w:r>
      <w:r>
        <w:rPr>
          <w:iCs/>
          <w:i/>
        </w:rPr>
        <w:t xml:space="preserve">manual</w:t>
      </w:r>
      <w:r>
        <w:t xml:space="preserve">. Every tool above requires a human to click points and calibrate axes. Their high accuracy is the accuracy of human-supervised digitization, not of automation. Nothing in the preclinical space reads a chart to numbers without a person in the loop. That is the automation gap, and it is where the machine-learning approach earns its place: a specialist landmark detector trained on synthetic charts with known ground truth (the approach detailed in the project’s vision documents) would automate what Graph2Data, WebPlotDigitizer, metaDigitise, and the project’s own figure-extractor all currently require a human to do by hand. The closest published analog, PlotExtract (Polak &amp; Morgan, 2025), reaches above 90% precision and recall with roughly 5% position error on plots it judges extractable – evidence that automated reading is feasible, with the extractable/not-extractable gate as the load-bearing caveat.</w:t>
      </w:r>
    </w:p>
    <w:bookmarkEnd w:id="57"/>
    <w:bookmarkStart w:id="58" w:name="the-decision-criterion"/>
    <w:p>
      <w:pPr>
        <w:pStyle w:val="Heading2"/>
      </w:pPr>
      <w:r>
        <w:t xml:space="preserve">The decision criterion</w:t>
      </w:r>
    </w:p>
    <w:p>
      <w:pPr>
        <w:pStyle w:val="FirstParagraph"/>
        <w:spacing w:after="240"/>
      </w:pPr>
      <w:r>
        <w:t xml:space="preserve">The build-vs-buy call therefore has a clean empirical test, formalized as Cluster 1 of the benchmark plan (Part III). Feed the same charts – a synthetic set with known ground truth plus the real panels from the dissertation’s golden-diff articles – to WebPlotDigitizer, metaDigitise, and an LLM-vision reader of the PlotExtract type, and compare per-point error and time. If the automated reader cannot beat WebPlotDigitizer’s validated ICC above 0.95 on clean charts</w:t>
      </w:r>
      <w:r>
        <w:t xml:space="preserve"> </w:t>
      </w:r>
      <w:r>
        <w:rPr>
          <w:iCs/>
          <w:i/>
        </w:rPr>
        <w:t xml:space="preserve">and</w:t>
      </w:r>
      <w:r>
        <w:t xml:space="preserve"> </w:t>
      </w:r>
      <w:r>
        <w:t xml:space="preserve">cannot win on the hard real panels where WebPlotDigitizer needs manual clicks, a bespoke reader is not justified and the project should reuse an existing digitizer with a provenance record. If it wins on the hard panels – the multi-panel figures, log and broken axes, and per-animal dot overlays that dominate real rodent papers – that is the build case, and it is also the most defensible machine-learning contribution the project could make, because no existing benchmark evaluates that exact object. The decision does not have to be guessed; it can be measured.</w:t>
      </w:r>
    </w:p>
    <w:bookmarkEnd w:id="58"/>
    <w:bookmarkEnd w:id="59"/>
    <w:bookmarkStart w:id="60" w:name="references"/>
    <w:p>
      <w:pPr>
        <w:pStyle w:val="Heading1"/>
      </w:pPr>
      <w:r>
        <w:t xml:space="preserve">References</w:t>
      </w:r>
    </w:p>
    <w:p>
      <w:pPr>
        <w:numPr>
          <w:ilvl w:val="0"/>
          <w:numId w:val="1009"/>
        </w:numPr>
        <w:pStyle w:val="Compact"/>
        <w:spacing w:after="240"/>
      </w:pPr>
      <w:r>
        <w:t xml:space="preserve">Bahor, Z., Liao, J., Currie, G., Ayder, C., Macleod, M., McCann, S. K., … Sena, E. S. (2021). Development and uptake of an online systematic review platform: The early years of the CAMARADES Systematic Review Facility (SyRF).</w:t>
      </w:r>
      <w:r>
        <w:t xml:space="preserve"> </w:t>
      </w:r>
      <w:r>
        <w:rPr>
          <w:iCs/>
          <w:i/>
        </w:rPr>
        <w:t xml:space="preserve">BMJ Open Science, 5</w:t>
      </w:r>
      <w:r>
        <w:t xml:space="preserve">(1), e100103. https://doi.org/10.1136/bmjos-2020-100103</w:t>
      </w:r>
    </w:p>
    <w:p>
      <w:pPr>
        <w:numPr>
          <w:ilvl w:val="0"/>
          <w:numId w:val="1009"/>
        </w:numPr>
        <w:pStyle w:val="Compact"/>
        <w:spacing w:after="240"/>
      </w:pPr>
      <w:r>
        <w:t xml:space="preserve">Bastian, H., Glasziou, P., &amp; Chalmers, I. (2010). Seventy-five trials and eleven systematic reviews a day: How will we ever keep up?</w:t>
      </w:r>
      <w:r>
        <w:t xml:space="preserve"> </w:t>
      </w:r>
      <w:r>
        <w:rPr>
          <w:iCs/>
          <w:i/>
        </w:rPr>
        <w:t xml:space="preserve">PLoS Medicine, 7</w:t>
      </w:r>
      <w:r>
        <w:t xml:space="preserve">(9), e1000326. https://doi.org/10.1371/journal.pmed.1000326</w:t>
      </w:r>
    </w:p>
    <w:p>
      <w:pPr>
        <w:numPr>
          <w:ilvl w:val="0"/>
          <w:numId w:val="1009"/>
        </w:numPr>
        <w:pStyle w:val="Compact"/>
        <w:spacing w:after="240"/>
      </w:pPr>
      <w:r>
        <w:t xml:space="preserve">Booth, A., Clarke, M., Dooley, G., Ghersi, D., Moher, D., Petticrew, M., &amp; Stewart, L. (2012). The nuts and bolts of PROSPERO.</w:t>
      </w:r>
      <w:r>
        <w:t xml:space="preserve"> </w:t>
      </w:r>
      <w:r>
        <w:rPr>
          <w:iCs/>
          <w:i/>
        </w:rPr>
        <w:t xml:space="preserve">Systematic Reviews, 1</w:t>
      </w:r>
      <w:r>
        <w:t xml:space="preserve">, 2. https://doi.org/10.1186/2046-4053-1-2</w:t>
      </w:r>
    </w:p>
    <w:p>
      <w:pPr>
        <w:numPr>
          <w:ilvl w:val="0"/>
          <w:numId w:val="1009"/>
        </w:numPr>
        <w:pStyle w:val="Compact"/>
        <w:spacing w:after="240"/>
      </w:pPr>
      <w:r>
        <w:t xml:space="preserve">Burda, B. U., O’Connor, E. A., Webber, E. M., Redmond, N., &amp; Perdue, L. A. (2017). Estimating data from figures with a Web-based program: Considerations for a systematic review.</w:t>
      </w:r>
      <w:r>
        <w:t xml:space="preserve"> </w:t>
      </w:r>
      <w:r>
        <w:rPr>
          <w:iCs/>
          <w:i/>
        </w:rPr>
        <w:t xml:space="preserve">Research Synthesis Methods, 8</w:t>
      </w:r>
      <w:r>
        <w:t xml:space="preserve">(3), 258-262. https://doi.org/10.1002/jrsm.1232</w:t>
      </w:r>
    </w:p>
    <w:p>
      <w:pPr>
        <w:numPr>
          <w:ilvl w:val="0"/>
          <w:numId w:val="1009"/>
        </w:numPr>
        <w:pStyle w:val="Compact"/>
        <w:spacing w:after="240"/>
      </w:pPr>
      <w:r>
        <w:t xml:space="preserve">Chambers, C. D., &amp; Tzavella, L. (2022). The past, present and future of Registered Reports.</w:t>
      </w:r>
      <w:r>
        <w:t xml:space="preserve"> </w:t>
      </w:r>
      <w:r>
        <w:rPr>
          <w:iCs/>
          <w:i/>
        </w:rPr>
        <w:t xml:space="preserve">Nature Human Behaviour, 6</w:t>
      </w:r>
      <w:r>
        <w:t xml:space="preserve">, 29-42. https://doi.org/10.1038/s41562-021-01193-7</w:t>
      </w:r>
    </w:p>
    <w:p>
      <w:pPr>
        <w:numPr>
          <w:ilvl w:val="0"/>
          <w:numId w:val="1009"/>
        </w:numPr>
        <w:pStyle w:val="Compact"/>
        <w:spacing w:after="240"/>
      </w:pPr>
      <w:r>
        <w:t xml:space="preserve">Cheng, S. H., et al. (2018). Using machine learning to advance synthesis and use of conservation and environmental evidence.</w:t>
      </w:r>
      <w:r>
        <w:t xml:space="preserve"> </w:t>
      </w:r>
      <w:r>
        <w:rPr>
          <w:iCs/>
          <w:i/>
        </w:rPr>
        <w:t xml:space="preserve">Conservation Biology, 32</w:t>
      </w:r>
      <w:r>
        <w:t xml:space="preserve">(4), 762-764. https://doi.org/10.1111/cobi.13117</w:t>
      </w:r>
    </w:p>
    <w:p>
      <w:pPr>
        <w:numPr>
          <w:ilvl w:val="0"/>
          <w:numId w:val="1009"/>
        </w:numPr>
        <w:pStyle w:val="Compact"/>
        <w:spacing w:after="240"/>
      </w:pPr>
      <w:r>
        <w:t xml:space="preserve">Cochrane, A. L. (1972).</w:t>
      </w:r>
      <w:r>
        <w:t xml:space="preserve"> </w:t>
      </w:r>
      <w:r>
        <w:rPr>
          <w:iCs/>
          <w:i/>
        </w:rPr>
        <w:t xml:space="preserve">Effectiveness and efficiency: Random reflections on health services.</w:t>
      </w:r>
      <w:r>
        <w:t xml:space="preserve"> </w:t>
      </w:r>
      <w:r>
        <w:t xml:space="preserve">Nuffield Provincial Hospitals Trust.</w:t>
      </w:r>
    </w:p>
    <w:p>
      <w:pPr>
        <w:numPr>
          <w:ilvl w:val="0"/>
          <w:numId w:val="1009"/>
        </w:numPr>
        <w:pStyle w:val="Compact"/>
        <w:spacing w:after="240"/>
      </w:pPr>
      <w:r>
        <w:t xml:space="preserve">Cohen, A. M., Hersh, W. R., Peterson, K., &amp; Yen, P.-Y. (2006). Reducing workload in systematic review preparation using automated citation classification.</w:t>
      </w:r>
      <w:r>
        <w:t xml:space="preserve"> </w:t>
      </w:r>
      <w:r>
        <w:rPr>
          <w:iCs/>
          <w:i/>
        </w:rPr>
        <w:t xml:space="preserve">JAMIA, 13</w:t>
      </w:r>
      <w:r>
        <w:t xml:space="preserve">(2), 206-219. https://doi.org/10.1197/jamia.M1929</w:t>
      </w:r>
    </w:p>
    <w:p>
      <w:pPr>
        <w:numPr>
          <w:ilvl w:val="0"/>
          <w:numId w:val="1009"/>
        </w:numPr>
        <w:pStyle w:val="Compact"/>
        <w:spacing w:after="240"/>
      </w:pPr>
      <w:r>
        <w:t xml:space="preserve">Drevon, D., Fursa, S. R., &amp; Malcolm, A. L. (2017). Intercoder reliability and validity of WebPlotDigitizer in extracting graphed data.</w:t>
      </w:r>
      <w:r>
        <w:t xml:space="preserve"> </w:t>
      </w:r>
      <w:r>
        <w:rPr>
          <w:iCs/>
          <w:i/>
        </w:rPr>
        <w:t xml:space="preserve">Behavior Modification, 41</w:t>
      </w:r>
      <w:r>
        <w:t xml:space="preserve">(2), 323-339. https://doi.org/10.1177/0145445516673998</w:t>
      </w:r>
    </w:p>
    <w:p>
      <w:pPr>
        <w:numPr>
          <w:ilvl w:val="0"/>
          <w:numId w:val="1009"/>
        </w:numPr>
        <w:pStyle w:val="Compact"/>
        <w:spacing w:after="240"/>
      </w:pPr>
      <w:r>
        <w:t xml:space="preserve">Elliott, J. H., et al. (2014). Living systematic reviews: An emerging opportunity to narrow the evidence-practice gap.</w:t>
      </w:r>
      <w:r>
        <w:t xml:space="preserve"> </w:t>
      </w:r>
      <w:r>
        <w:rPr>
          <w:iCs/>
          <w:i/>
        </w:rPr>
        <w:t xml:space="preserve">PLoS Medicine, 11</w:t>
      </w:r>
      <w:r>
        <w:t xml:space="preserve">(2), e1001603. https://doi.org/10.1371/journal.pmed.1001603</w:t>
      </w:r>
    </w:p>
    <w:p>
      <w:pPr>
        <w:numPr>
          <w:ilvl w:val="0"/>
          <w:numId w:val="1009"/>
        </w:numPr>
        <w:pStyle w:val="Compact"/>
        <w:spacing w:after="240"/>
      </w:pPr>
      <w:r>
        <w:t xml:space="preserve">Gartlehner, G., et al. (2024). Data extraction for evidence synthesis using a large language model: A proof-of-concept study.</w:t>
      </w:r>
      <w:r>
        <w:t xml:space="preserve"> </w:t>
      </w:r>
      <w:r>
        <w:rPr>
          <w:iCs/>
          <w:i/>
        </w:rPr>
        <w:t xml:space="preserve">Research Synthesis Methods, 15</w:t>
      </w:r>
      <w:r>
        <w:t xml:space="preserve">(4), 576-589. https://doi.org/10.1002/jrsm.1710</w:t>
      </w:r>
    </w:p>
    <w:p>
      <w:pPr>
        <w:numPr>
          <w:ilvl w:val="0"/>
          <w:numId w:val="1009"/>
        </w:numPr>
        <w:pStyle w:val="Compact"/>
        <w:spacing w:after="240"/>
      </w:pPr>
      <w:r>
        <w:t xml:space="preserve">Guyot, P., Ades, A. E., Ouwens, M. J. N. M., &amp; Welton, N. J. (2012). Enhanced secondary analysis of survival data: Reconstructing the data from published Kaplan-Meier survival curves.</w:t>
      </w:r>
      <w:r>
        <w:t xml:space="preserve"> </w:t>
      </w:r>
      <w:r>
        <w:rPr>
          <w:iCs/>
          <w:i/>
        </w:rPr>
        <w:t xml:space="preserve">BMC Medical Research Methodology, 12</w:t>
      </w:r>
      <w:r>
        <w:t xml:space="preserve">, 9. https://doi.org/10.1186/1471-2288-12-9</w:t>
      </w:r>
    </w:p>
    <w:p>
      <w:pPr>
        <w:numPr>
          <w:ilvl w:val="0"/>
          <w:numId w:val="1009"/>
        </w:numPr>
        <w:pStyle w:val="Compact"/>
        <w:spacing w:after="240"/>
      </w:pPr>
      <w:r>
        <w:t xml:space="preserve">Hedges, L. V., Tipton, E., &amp; Johnson, M. C. (2010). Robust variance estimation in meta-regression with dependent effect size estimates.</w:t>
      </w:r>
      <w:r>
        <w:t xml:space="preserve"> </w:t>
      </w:r>
      <w:r>
        <w:rPr>
          <w:iCs/>
          <w:i/>
        </w:rPr>
        <w:t xml:space="preserve">Research Synthesis Methods, 1</w:t>
      </w:r>
      <w:r>
        <w:t xml:space="preserve">(1), 39-65. https://doi.org/10.1002/jrsm.5</w:t>
      </w:r>
    </w:p>
    <w:p>
      <w:pPr>
        <w:numPr>
          <w:ilvl w:val="0"/>
          <w:numId w:val="1009"/>
        </w:numPr>
        <w:pStyle w:val="Compact"/>
        <w:spacing w:after="240"/>
      </w:pPr>
      <w:r>
        <w:t xml:space="preserve">Hooijmans, C. R., et al. (2014). SYRCLE’s risk of bias tool for animal studies.</w:t>
      </w:r>
      <w:r>
        <w:t xml:space="preserve"> </w:t>
      </w:r>
      <w:r>
        <w:rPr>
          <w:iCs/>
          <w:i/>
        </w:rPr>
        <w:t xml:space="preserve">BMC Medical Research Methodology, 14</w:t>
      </w:r>
      <w:r>
        <w:t xml:space="preserve">, 43. https://doi.org/10.1186/1471-2288-14-43</w:t>
      </w:r>
    </w:p>
    <w:p>
      <w:pPr>
        <w:numPr>
          <w:ilvl w:val="0"/>
          <w:numId w:val="1009"/>
        </w:numPr>
        <w:pStyle w:val="Compact"/>
        <w:spacing w:after="240"/>
      </w:pPr>
      <w:r>
        <w:t xml:space="preserve">Ioannidis, J. P. A. (2005). Why most published research findings are false.</w:t>
      </w:r>
      <w:r>
        <w:t xml:space="preserve"> </w:t>
      </w:r>
      <w:r>
        <w:rPr>
          <w:iCs/>
          <w:i/>
        </w:rPr>
        <w:t xml:space="preserve">PLoS Medicine, 2</w:t>
      </w:r>
      <w:r>
        <w:t xml:space="preserve">(8), e124. https://doi.org/10.1371/journal.pmed.0020124</w:t>
      </w:r>
    </w:p>
    <w:p>
      <w:pPr>
        <w:numPr>
          <w:ilvl w:val="0"/>
          <w:numId w:val="1009"/>
        </w:numPr>
        <w:pStyle w:val="Compact"/>
        <w:spacing w:after="240"/>
      </w:pPr>
      <w:r>
        <w:t xml:space="preserve">Ioannidis, J. P. A. (2016). The mass production of redundant, misleading, and conflicted systematic reviews and meta-analyses.</w:t>
      </w:r>
      <w:r>
        <w:t xml:space="preserve"> </w:t>
      </w:r>
      <w:r>
        <w:rPr>
          <w:iCs/>
          <w:i/>
        </w:rPr>
        <w:t xml:space="preserve">The Milbank Quarterly, 94</w:t>
      </w:r>
      <w:r>
        <w:t xml:space="preserve">(3), 485-514. https://doi.org/10.1111/1468-0009.12210</w:t>
      </w:r>
    </w:p>
    <w:p>
      <w:pPr>
        <w:numPr>
          <w:ilvl w:val="0"/>
          <w:numId w:val="1009"/>
        </w:numPr>
        <w:pStyle w:val="Compact"/>
        <w:spacing w:after="240"/>
      </w:pPr>
      <w:r>
        <w:t xml:space="preserve">Johnson, E. E., O’Keefe, H., Sutton, A., &amp; Marshall, C. (2022). The Systematic Review Toolbox.</w:t>
      </w:r>
      <w:r>
        <w:t xml:space="preserve"> </w:t>
      </w:r>
      <w:r>
        <w:rPr>
          <w:iCs/>
          <w:i/>
        </w:rPr>
        <w:t xml:space="preserve">Systematic Reviews, 11</w:t>
      </w:r>
      <w:r>
        <w:t xml:space="preserve">, 258. https://doi.org/10.1186/s13643-022-02122-z</w:t>
      </w:r>
    </w:p>
    <w:p>
      <w:pPr>
        <w:numPr>
          <w:ilvl w:val="0"/>
          <w:numId w:val="1009"/>
        </w:numPr>
        <w:pStyle w:val="Compact"/>
        <w:spacing w:after="240"/>
      </w:pPr>
      <w:r>
        <w:t xml:space="preserve">Khraisha, Q., Put, S., Kappenberg, J., Warraitch, A., &amp; Hadfield, K. (2024). Can large language models replace humans in systematic reviews?</w:t>
      </w:r>
      <w:r>
        <w:t xml:space="preserve"> </w:t>
      </w:r>
      <w:r>
        <w:rPr>
          <w:iCs/>
          <w:i/>
        </w:rPr>
        <w:t xml:space="preserve">Research Synthesis Methods, 15</w:t>
      </w:r>
      <w:r>
        <w:t xml:space="preserve">(4), 616-626. https://doi.org/10.1002/jrsm.1715</w:t>
      </w:r>
    </w:p>
    <w:p>
      <w:pPr>
        <w:numPr>
          <w:ilvl w:val="0"/>
          <w:numId w:val="1009"/>
        </w:numPr>
        <w:pStyle w:val="Compact"/>
        <w:spacing w:after="240"/>
      </w:pPr>
      <w:r>
        <w:t xml:space="preserve">Kiritchenko, S., de Bruijn, B., Carini, S., Martin, J., &amp; Sim, I. (2010). ExaCT: Automatic extraction of clinical trial characteristics from journal publications.</w:t>
      </w:r>
      <w:r>
        <w:t xml:space="preserve"> </w:t>
      </w:r>
      <w:r>
        <w:rPr>
          <w:iCs/>
          <w:i/>
        </w:rPr>
        <w:t xml:space="preserve">BMC Medical Informatics and Decision Making, 10</w:t>
      </w:r>
      <w:r>
        <w:t xml:space="preserve">, 56. https://doi.org/10.1186/1472-6947-10-56</w:t>
      </w:r>
    </w:p>
    <w:p>
      <w:pPr>
        <w:numPr>
          <w:ilvl w:val="0"/>
          <w:numId w:val="1009"/>
        </w:numPr>
        <w:pStyle w:val="Compact"/>
        <w:spacing w:after="240"/>
      </w:pPr>
      <w:r>
        <w:t xml:space="preserve">Konet, A., et al. (2024). Performance of two large language models for data extraction in evidence synthesis.</w:t>
      </w:r>
      <w:r>
        <w:t xml:space="preserve"> </w:t>
      </w:r>
      <w:r>
        <w:rPr>
          <w:iCs/>
          <w:i/>
        </w:rPr>
        <w:t xml:space="preserve">Research Synthesis Methods, 15</w:t>
      </w:r>
      <w:r>
        <w:t xml:space="preserve">(5), 818-824. https://doi.org/10.1002/jrsm.1732</w:t>
      </w:r>
    </w:p>
    <w:p>
      <w:pPr>
        <w:numPr>
          <w:ilvl w:val="0"/>
          <w:numId w:val="1009"/>
        </w:numPr>
        <w:pStyle w:val="Compact"/>
        <w:spacing w:after="240"/>
      </w:pPr>
      <w:r>
        <w:t xml:space="preserve">Lajeunesse, M. J. (2016). Facilitating systematic reviews, data extraction and meta-analysis with the metagear package for R.</w:t>
      </w:r>
      <w:r>
        <w:t xml:space="preserve"> </w:t>
      </w:r>
      <w:r>
        <w:rPr>
          <w:iCs/>
          <w:i/>
        </w:rPr>
        <w:t xml:space="preserve">Methods in Ecology and Evolution, 7</w:t>
      </w:r>
      <w:r>
        <w:t xml:space="preserve">(3), 323-330. https://doi.org/10.1111/2041-210X.12472</w:t>
      </w:r>
    </w:p>
    <w:p>
      <w:pPr>
        <w:numPr>
          <w:ilvl w:val="0"/>
          <w:numId w:val="1009"/>
        </w:numPr>
        <w:pStyle w:val="Compact"/>
        <w:spacing w:after="240"/>
      </w:pPr>
      <w:r>
        <w:t xml:space="preserve">Luo, J., Li, Z., Wang, J., &amp; Lin, C.-Y. (2021). ChartOCR: Data extraction from charts images via a deep hybrid framework.</w:t>
      </w:r>
      <w:r>
        <w:t xml:space="preserve"> </w:t>
      </w:r>
      <w:r>
        <w:rPr>
          <w:iCs/>
          <w:i/>
        </w:rPr>
        <w:t xml:space="preserve">WACV 2021</w:t>
      </w:r>
      <w:r>
        <w:t xml:space="preserve">, 1917-1925. https://doi.org/10.1109/WACV48630.2021.00196</w:t>
      </w:r>
    </w:p>
    <w:p>
      <w:pPr>
        <w:numPr>
          <w:ilvl w:val="0"/>
          <w:numId w:val="1009"/>
        </w:numPr>
        <w:pStyle w:val="Compact"/>
        <w:spacing w:after="240"/>
      </w:pPr>
      <w:r>
        <w:t xml:space="preserve">Marshall, I. J., Kuiper, J., &amp; Wallace, B. C. (2016). RobotReviewer: Evaluation of a system for automatically assessing bias in clinical trials.</w:t>
      </w:r>
      <w:r>
        <w:t xml:space="preserve"> </w:t>
      </w:r>
      <w:r>
        <w:rPr>
          <w:iCs/>
          <w:i/>
        </w:rPr>
        <w:t xml:space="preserve">JAMIA, 23</w:t>
      </w:r>
      <w:r>
        <w:t xml:space="preserve">(1), 193-201. https://doi.org/10.1093/jamia/ocv044</w:t>
      </w:r>
    </w:p>
    <w:p>
      <w:pPr>
        <w:numPr>
          <w:ilvl w:val="0"/>
          <w:numId w:val="1009"/>
        </w:numPr>
        <w:pStyle w:val="Compact"/>
        <w:spacing w:after="240"/>
      </w:pPr>
      <w:r>
        <w:t xml:space="preserve">Marshall, I. J., Noel-Storr, A., Kuiper, J., Thomas, J., &amp; Wallace, B. C. (2018). Machine learning for identifying randomized controlled trials: An evaluation and practitioner’s guide.</w:t>
      </w:r>
      <w:r>
        <w:t xml:space="preserve"> </w:t>
      </w:r>
      <w:r>
        <w:rPr>
          <w:iCs/>
          <w:i/>
        </w:rPr>
        <w:t xml:space="preserve">Research Synthesis Methods, 9</w:t>
      </w:r>
      <w:r>
        <w:t xml:space="preserve">(4), 602-614. https://doi.org/10.1002/jrsm.1287</w:t>
      </w:r>
    </w:p>
    <w:p>
      <w:pPr>
        <w:numPr>
          <w:ilvl w:val="0"/>
          <w:numId w:val="1009"/>
        </w:numPr>
        <w:pStyle w:val="Compact"/>
        <w:spacing w:after="240"/>
      </w:pPr>
      <w:r>
        <w:t xml:space="preserve">Marshall, I. J., et al. (2020). Trialstreamer: A living, automatically updated database of clinical trial reports.</w:t>
      </w:r>
      <w:r>
        <w:t xml:space="preserve"> </w:t>
      </w:r>
      <w:r>
        <w:rPr>
          <w:iCs/>
          <w:i/>
        </w:rPr>
        <w:t xml:space="preserve">JAMIA, 27</w:t>
      </w:r>
      <w:r>
        <w:t xml:space="preserve">(12), 1903-1912. https://doi.org/10.1093/jamia/ocaa163</w:t>
      </w:r>
    </w:p>
    <w:p>
      <w:pPr>
        <w:numPr>
          <w:ilvl w:val="0"/>
          <w:numId w:val="1009"/>
        </w:numPr>
        <w:pStyle w:val="Compact"/>
        <w:spacing w:after="240"/>
      </w:pPr>
      <w:r>
        <w:t xml:space="preserve">MedMeta: A benchmark for LLMs in synthesizing meta-analysis conclusion from medical studies. (2026).</w:t>
      </w:r>
      <w:r>
        <w:t xml:space="preserve"> </w:t>
      </w:r>
      <w:r>
        <w:rPr>
          <w:iCs/>
          <w:i/>
        </w:rPr>
        <w:t xml:space="preserve">arXiv</w:t>
      </w:r>
      <w:r>
        <w:t xml:space="preserve"> </w:t>
      </w:r>
      <w:r>
        <w:t xml:space="preserve">arXiv:2605.09661. https://arxiv.org/abs/2605.09661</w:t>
      </w:r>
    </w:p>
    <w:p>
      <w:pPr>
        <w:numPr>
          <w:ilvl w:val="0"/>
          <w:numId w:val="1009"/>
        </w:numPr>
        <w:pStyle w:val="Compact"/>
        <w:spacing w:after="240"/>
      </w:pPr>
      <w:r>
        <w:t xml:space="preserve">Moher, D., Liberati, A., Tetzlaff, J., &amp; Altman, D. G. (2009). Preferred reporting items for systematic reviews and meta-analyses: The PRISMA statement.</w:t>
      </w:r>
      <w:r>
        <w:t xml:space="preserve"> </w:t>
      </w:r>
      <w:r>
        <w:rPr>
          <w:iCs/>
          <w:i/>
        </w:rPr>
        <w:t xml:space="preserve">PLoS Medicine, 6</w:t>
      </w:r>
      <w:r>
        <w:t xml:space="preserve">(7), e1000097. https://doi.org/10.1371/journal.pmed.1000097</w:t>
      </w:r>
    </w:p>
    <w:p>
      <w:pPr>
        <w:numPr>
          <w:ilvl w:val="0"/>
          <w:numId w:val="1009"/>
        </w:numPr>
        <w:pStyle w:val="Compact"/>
        <w:spacing w:after="240"/>
      </w:pPr>
      <w:r>
        <w:t xml:space="preserve">Nye, B., et al. (2018). A corpus with multi-level annotations of patients, interventions and outcomes to support language processing for medical literature.</w:t>
      </w:r>
      <w:r>
        <w:t xml:space="preserve"> </w:t>
      </w:r>
      <w:r>
        <w:rPr>
          <w:iCs/>
          <w:i/>
        </w:rPr>
        <w:t xml:space="preserve">ACL 2018</w:t>
      </w:r>
      <w:r>
        <w:t xml:space="preserve">, 197-207. https://doi.org/10.18653/v1/P18-1019</w:t>
      </w:r>
    </w:p>
    <w:p>
      <w:pPr>
        <w:numPr>
          <w:ilvl w:val="0"/>
          <w:numId w:val="1009"/>
        </w:numPr>
        <w:pStyle w:val="Compact"/>
        <w:spacing w:after="240"/>
      </w:pPr>
      <w:r>
        <w:t xml:space="preserve">O’Mara-Eves, A., Thomas, J., McNaught, J., Miwa, M., &amp; Ananiadou, S. (2015). Using text mining for study identification in systematic reviews: A systematic review of current approaches.</w:t>
      </w:r>
      <w:r>
        <w:t xml:space="preserve"> </w:t>
      </w:r>
      <w:r>
        <w:rPr>
          <w:iCs/>
          <w:i/>
        </w:rPr>
        <w:t xml:space="preserve">Systematic Reviews, 4</w:t>
      </w:r>
      <w:r>
        <w:t xml:space="preserve">, 5. https://doi.org/10.1186/2046-4053-4-5</w:t>
      </w:r>
    </w:p>
    <w:p>
      <w:pPr>
        <w:numPr>
          <w:ilvl w:val="0"/>
          <w:numId w:val="1009"/>
        </w:numPr>
        <w:pStyle w:val="Compact"/>
        <w:spacing w:after="240"/>
      </w:pPr>
      <w:r>
        <w:t xml:space="preserve">Open Science Collaboration. (2015). Estimating the reproducibility of psychological science.</w:t>
      </w:r>
      <w:r>
        <w:t xml:space="preserve"> </w:t>
      </w:r>
      <w:r>
        <w:rPr>
          <w:iCs/>
          <w:i/>
        </w:rPr>
        <w:t xml:space="preserve">Science, 349</w:t>
      </w:r>
      <w:r>
        <w:t xml:space="preserve">(6251), aac4716. https://doi.org/10.1126/science.aac4716</w:t>
      </w:r>
    </w:p>
    <w:p>
      <w:pPr>
        <w:numPr>
          <w:ilvl w:val="0"/>
          <w:numId w:val="1009"/>
        </w:numPr>
        <w:pStyle w:val="Compact"/>
        <w:spacing w:after="240"/>
      </w:pPr>
      <w:r>
        <w:t xml:space="preserve">Ouzzani, M., Hammady, H., Fedorowicz, Z., &amp; Elmagarmid, A. (2016). Rayyan – A web and mobile app for systematic reviews.</w:t>
      </w:r>
      <w:r>
        <w:t xml:space="preserve"> </w:t>
      </w:r>
      <w:r>
        <w:rPr>
          <w:iCs/>
          <w:i/>
        </w:rPr>
        <w:t xml:space="preserve">Systematic Reviews, 5</w:t>
      </w:r>
      <w:r>
        <w:t xml:space="preserve">, 210. https://doi.org/10.1186/s13643-016-0384-4</w:t>
      </w:r>
    </w:p>
    <w:p>
      <w:pPr>
        <w:numPr>
          <w:ilvl w:val="0"/>
          <w:numId w:val="1009"/>
        </w:numPr>
        <w:pStyle w:val="Compact"/>
        <w:spacing w:after="240"/>
      </w:pPr>
      <w:r>
        <w:t xml:space="preserve">Page, M. J., et al. (2021). The PRISMA 2020 statement: An updated guideline for reporting systematic reviews.</w:t>
      </w:r>
      <w:r>
        <w:t xml:space="preserve"> </w:t>
      </w:r>
      <w:r>
        <w:rPr>
          <w:iCs/>
          <w:i/>
        </w:rPr>
        <w:t xml:space="preserve">BMJ, 372</w:t>
      </w:r>
      <w:r>
        <w:t xml:space="preserve">, n71. https://doi.org/10.1136/bmj.n71</w:t>
      </w:r>
    </w:p>
    <w:p>
      <w:pPr>
        <w:numPr>
          <w:ilvl w:val="0"/>
          <w:numId w:val="1009"/>
        </w:numPr>
        <w:pStyle w:val="Compact"/>
        <w:spacing w:after="240"/>
      </w:pPr>
      <w:r>
        <w:t xml:space="preserve">Pick, J. L., Nakagawa, S., &amp; Noble, D. W. A. (2019). Reproducible, flexible and high-throughput data extraction from primary literature: The metaDigitise R package.</w:t>
      </w:r>
      <w:r>
        <w:t xml:space="preserve"> </w:t>
      </w:r>
      <w:r>
        <w:rPr>
          <w:iCs/>
          <w:i/>
        </w:rPr>
        <w:t xml:space="preserve">Methods in Ecology and Evolution, 10</w:t>
      </w:r>
      <w:r>
        <w:t xml:space="preserve">(3), 426-431. https://doi.org/10.1111/2041-210X.13118</w:t>
      </w:r>
    </w:p>
    <w:p>
      <w:pPr>
        <w:numPr>
          <w:ilvl w:val="0"/>
          <w:numId w:val="1009"/>
        </w:numPr>
        <w:pStyle w:val="Compact"/>
        <w:spacing w:after="240"/>
      </w:pPr>
      <w:r>
        <w:t xml:space="preserve">Pustejovsky, J. E., &amp; Tipton, E. (2018). Small-sample methods for cluster-robust variance estimation and hypothesis testing in fixed effects models.</w:t>
      </w:r>
      <w:r>
        <w:t xml:space="preserve"> </w:t>
      </w:r>
      <w:r>
        <w:rPr>
          <w:iCs/>
          <w:i/>
        </w:rPr>
        <w:t xml:space="preserve">Journal of Business &amp; Economic Statistics, 36</w:t>
      </w:r>
      <w:r>
        <w:t xml:space="preserve">(4), 672-683. https://doi.org/10.1080/07350015.2016.1247004</w:t>
      </w:r>
    </w:p>
    <w:p>
      <w:pPr>
        <w:numPr>
          <w:ilvl w:val="0"/>
          <w:numId w:val="1009"/>
        </w:numPr>
        <w:pStyle w:val="Compact"/>
        <w:spacing w:after="240"/>
      </w:pPr>
      <w:r>
        <w:t xml:space="preserve">Shamseer, L., et al. (2015). Preferred reporting items for systematic review and meta-analysis protocols (PRISMA-P) 2015.</w:t>
      </w:r>
      <w:r>
        <w:t xml:space="preserve"> </w:t>
      </w:r>
      <w:r>
        <w:rPr>
          <w:iCs/>
          <w:i/>
        </w:rPr>
        <w:t xml:space="preserve">BMJ, 350</w:t>
      </w:r>
      <w:r>
        <w:t xml:space="preserve">, g7647. https://doi.org/10.1136/bmj.g7647</w:t>
      </w:r>
    </w:p>
    <w:p>
      <w:pPr>
        <w:numPr>
          <w:ilvl w:val="0"/>
          <w:numId w:val="1009"/>
        </w:numPr>
        <w:pStyle w:val="Compact"/>
        <w:spacing w:after="240"/>
      </w:pPr>
      <w:r>
        <w:t xml:space="preserve">van de Schoot, R., et al. (2021). An open source machine learning framework for efficient and transparent systematic reviews.</w:t>
      </w:r>
      <w:r>
        <w:t xml:space="preserve"> </w:t>
      </w:r>
      <w:r>
        <w:rPr>
          <w:iCs/>
          <w:i/>
        </w:rPr>
        <w:t xml:space="preserve">Nature Machine Intelligence, 3</w:t>
      </w:r>
      <w:r>
        <w:t xml:space="preserve">, 125-133. https://doi.org/10.1038/s42256-020-00287-7</w:t>
      </w:r>
    </w:p>
    <w:p>
      <w:pPr>
        <w:numPr>
          <w:ilvl w:val="0"/>
          <w:numId w:val="1009"/>
        </w:numPr>
        <w:pStyle w:val="Compact"/>
        <w:spacing w:after="240"/>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numPr>
          <w:ilvl w:val="0"/>
          <w:numId w:val="1009"/>
        </w:numPr>
        <w:pStyle w:val="Compact"/>
        <w:spacing w:after="240"/>
      </w:pPr>
      <w:r>
        <w:t xml:space="preserve">Wallace, B. C., Dahabreh, I. J., Trikalinos, T. A., Lau, J., Trow, P., &amp; Schmid, C. H. (2012). Closing the gap between methodologists and end-users: R as a computational back-end.</w:t>
      </w:r>
      <w:r>
        <w:t xml:space="preserve"> </w:t>
      </w:r>
      <w:r>
        <w:rPr>
          <w:iCs/>
          <w:i/>
        </w:rPr>
        <w:t xml:space="preserve">Journal of Statistical Software, 49</w:t>
      </w:r>
      <w:r>
        <w:t xml:space="preserve">(5), 1-15. https://doi.org/10.18637/jss.v049.i05</w:t>
      </w:r>
    </w:p>
    <w:p>
      <w:pPr>
        <w:numPr>
          <w:ilvl w:val="0"/>
          <w:numId w:val="1009"/>
        </w:numPr>
        <w:pStyle w:val="Compact"/>
        <w:spacing w:after="240"/>
      </w:pPr>
      <w:r>
        <w:t xml:space="preserve">Wallace, B. C., et al. (2017). OpenMEE: Intuitive, open-source software for meta-analysis in ecology and evolutionary biology.</w:t>
      </w:r>
      <w:r>
        <w:t xml:space="preserve"> </w:t>
      </w:r>
      <w:r>
        <w:rPr>
          <w:iCs/>
          <w:i/>
        </w:rPr>
        <w:t xml:space="preserve">Methods in Ecology and Evolution, 8</w:t>
      </w:r>
      <w:r>
        <w:t xml:space="preserve">(8), 941-947. https://doi.org/10.1111/2041-210X.12708</w:t>
      </w:r>
    </w:p>
    <w:p>
      <w:pPr>
        <w:numPr>
          <w:ilvl w:val="0"/>
          <w:numId w:val="1009"/>
        </w:numPr>
        <w:pStyle w:val="Compact"/>
        <w:spacing w:after="240"/>
      </w:pPr>
      <w:r>
        <w:t xml:space="preserve">Wallace, B. C., Small, K., Brodley, C. E., Lau, J., &amp; Trikalinos, T. A. (2012). Deploying an interactive machine learning system in an evidence-based practice center: Abstrackr.</w:t>
      </w:r>
      <w:r>
        <w:t xml:space="preserve"> </w:t>
      </w:r>
      <w:r>
        <w:rPr>
          <w:iCs/>
          <w:i/>
        </w:rPr>
        <w:t xml:space="preserve">ACM IHI ’12</w:t>
      </w:r>
      <w:r>
        <w:t xml:space="preserve">, 819-824. https://doi.org/10.1145/2110363.2110464</w:t>
      </w:r>
    </w:p>
    <w:p>
      <w:pPr>
        <w:numPr>
          <w:ilvl w:val="0"/>
          <w:numId w:val="1009"/>
        </w:numPr>
        <w:pStyle w:val="Compact"/>
        <w:spacing w:after="240"/>
      </w:pPr>
      <w:r>
        <w:t xml:space="preserve">Xie, A., Su, W., Zhou, Y., Liu, Y., &amp; Ai, Q. (2026). Benchmarking LLM agents on meta-analysis articles from Nature Portfolio [MetaSyn].</w:t>
      </w:r>
      <w:r>
        <w:t xml:space="preserve"> </w:t>
      </w:r>
      <w:r>
        <w:rPr>
          <w:iCs/>
          <w:i/>
        </w:rPr>
        <w:t xml:space="preserve">arXiv</w:t>
      </w:r>
      <w:r>
        <w:t xml:space="preserve"> </w:t>
      </w:r>
      <w:r>
        <w:t xml:space="preserve">arXiv:2606.17041. https://arxiv.org/abs/2606.17041</w:t>
      </w:r>
    </w:p>
    <w:p>
      <w:pPr>
        <w:pStyle w:val="FirstParagraph"/>
        <w:spacing w:after="240"/>
      </w:pPr>
      <w:r>
        <w:rPr>
          <w:iCs/>
          <w:i/>
        </w:rPr>
        <w:t xml:space="preserve">Tools and systems discussed in Parts II-III are cited inline with DOIs or repository URLs at first mention; a consolidated DOI list (used to assemble the project’s Zotero library) accompanies the tool dossier.</w:t>
      </w:r>
    </w:p>
    <w:bookmarkEnd w:id="60"/>
    <w:sectPr w:rsidR="00FC693F" w:rsidRPr="0006063C" w:rsidSect="00034616">
      <w:footerReference r:id="rId9" w:type="default"/>
      <w:pgSz w:h="15840" w:w="12240"/>
      <w:pgMar w:bottom="1440" w:footer="720" w:gutter="0" w:header="720" w:left="1440" w:right="1440" w:top="1440"/>
      <w:cols w:space="720"/>
      <w:docGrid w:linePitch="360"/>
      <w:lnNumType w:countBy="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r>
      <w:t xml:space="preserve"> of </w:t>
    </w:r>
    <w: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40" w:before="0"/>
    </w:pPr>
    <w:rPr>
      <w:rFonts w:ascii="Arial" w:hAnsi="Arial"/>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200" w:before="360"/>
      <w:outlineLvl w:val="1"/>
    </w:pPr>
    <w:rPr>
      <w:rFonts w:ascii="Arial" w:asciiTheme="majorHAnsi" w:cstheme="majorBidi" w:eastAsiaTheme="majorEastAsia" w:hAnsi="Arial"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60" w:before="280"/>
      <w:outlineLvl w:val="2"/>
    </w:pPr>
    <w:rPr>
      <w:rFonts w:ascii="Arial" w:asciiTheme="majorHAnsi" w:cstheme="majorBidi" w:eastAsiaTheme="majorEastAsia" w:hAnsi="Arial"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2026-07-22T20:56:53Z</dcterms:created>
  <dcterms:modified xsi:type="dcterms:W3CDTF">2026-07-22T20:56:53Z</dcterms:modified>
</cp:coreProperties>
</file>

<file path=docProps/custom.xml><?xml version="1.0" encoding="utf-8"?>
<Properties xmlns="http://schemas.openxmlformats.org/officeDocument/2006/custom-properties" xmlns:vt="http://schemas.openxmlformats.org/officeDocument/2006/docPropsVTypes"/>
</file>