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TA14 AUTHORITY GOVERNANCE INSTITUTION  |  INDEPENDENT COMMERCIAL CONCEPT</w:t>
      </w:r>
    </w:p>
    <w:p>
      <w:pPr>
        <w:pStyle w:val="Title"/>
      </w:pPr>
      <w:r>
        <w:t>Proof Before Action</w:t>
      </w:r>
    </w:p>
    <w:p>
      <w:r>
        <w:rPr>
          <w:i/>
        </w:rPr>
        <w:t>A proposed KMC Controls channel offering for accountable building-control decisions</w:t>
      </w:r>
    </w:p>
    <w:p>
      <w:r>
        <w:t>Technical-commercial reference  •  v1.0 discussion draft  •  19 October 2026</w:t>
      </w:r>
    </w:p>
    <w:p>
      <w:r>
        <w:t>UNLISTED CONCEPT / NOT A PARTNERSHIP ANNOUNCEMENT. No KMC endorsement, product integration, intellectual-property access, certification, performance validation, or customer deployment is claimed. Scenarios are hypothetical.</w:t>
      </w:r>
    </w:p>
    <w:p>
      <w:pPr>
        <w:pStyle w:val="Heading1"/>
      </w:pPr>
      <w:r>
        <w:t>Executive proposition</w:t>
      </w:r>
    </w:p>
    <w:p>
      <w:r>
        <w:t>KMC Controls and its certified integrator ecosystem provide building automation capabilities. TA14 proposes a complementary, customer-funded decision-assurance service that documents whether a specific consequential building-control action has sufficient evidence, applicable authority, and established standing at the moment of commitment. This is an exploratory commercial concept—not a description of existing KMC functionality or an integrated product.</w:t>
      </w:r>
    </w:p>
    <w:p>
      <w:pPr>
        <w:pStyle w:val="Heading2"/>
      </w:pPr>
      <w:r>
        <w:t>The governing question</w:t>
      </w:r>
    </w:p>
    <w:p>
      <w:r>
        <w:rPr>
          <w:b/>
        </w:rPr>
        <w:t>Does this proposed consequence have sufficient Admissible Evidence, Applicable Authority, and Established Standing to become reality NOW?</w:t>
      </w:r>
    </w:p>
    <w:p>
      <w:r>
        <w:t>Reality → Record → Continuity → Admissibility → Binding → Commit → Execution → Outcome</w:t>
      </w:r>
    </w:p>
    <w:p>
      <w:pPr>
        <w:pStyle w:val="Heading1"/>
      </w:pPr>
      <w:r>
        <w:t>Illustrative owner problem: AHU-7 ventilation change</w:t>
      </w:r>
    </w:p>
    <w:p>
      <w:r>
        <w:t>Assume a building automation system proposes changing AHU-7 ventilation in response to occupancy and indoor-air measurements. The command may be technically valid, yet the decision record may not establish the source and age of the observations, who authorized the change, whether that person or process has standing for this scope, whether conditions changed before execution, or whether the intended outcome occurred. These are questions to examine, not assertions of KMC product deficiencies.</w:t>
      </w:r>
    </w:p>
    <w:p>
      <w:pPr>
        <w:pStyle w:val="Heading2"/>
      </w:pPr>
      <w:r>
        <w:t>Decision boundary</w:t>
      </w:r>
    </w:p>
    <w:p>
      <w:pPr>
        <w:pStyle w:val="ListBullet"/>
      </w:pPr>
      <w:r>
        <w:t>OBSERVE — Preserve raw measurements, units, source, time, location, quality flags, and instrument context.</w:t>
      </w:r>
    </w:p>
    <w:p>
      <w:pPr>
        <w:pStyle w:val="ListBullet"/>
      </w:pPr>
      <w:r>
        <w:t>INFER — Separate the recommendation and its assumptions from the underlying observations.</w:t>
      </w:r>
    </w:p>
    <w:p>
      <w:pPr>
        <w:pStyle w:val="ListBullet"/>
      </w:pPr>
      <w:r>
        <w:t>AUTHORIZE — Identify applicable policy, authorized actor/capacity, standing basis, scope, and validity window.</w:t>
      </w:r>
    </w:p>
    <w:p>
      <w:pPr>
        <w:pStyle w:val="ListBullet"/>
      </w:pPr>
      <w:r>
        <w:t>REVALIDATE — Check changes in occupancy, operating state, safety interlocks, approvals, and evidence freshness immediately before commitment.</w:t>
      </w:r>
    </w:p>
    <w:p>
      <w:pPr>
        <w:pStyle w:val="ListBullet"/>
      </w:pPr>
      <w:r>
        <w:t>DISPOSE — ALLOW, HOLD, DENY, or ESCALATE—with recorded reasons and no bypass of native safety controls.</w:t>
      </w:r>
    </w:p>
    <w:p>
      <w:pPr>
        <w:pStyle w:val="ListBullet"/>
      </w:pPr>
      <w:r>
        <w:t>VERIFY — Preserve command request, actual controller response, post-action measurements, exceptions, and unresolved uncertainty.</w:t>
      </w:r>
    </w:p>
    <w:p>
      <w:pPr>
        <w:pStyle w:val="Heading1"/>
      </w:pPr>
      <w:r>
        <w:t>Eight-image narrated showroom: proposed teaching sequence</w:t>
      </w:r>
    </w:p>
    <w:p>
      <w:pPr>
        <w:pStyle w:val="Heading2"/>
      </w:pPr>
      <w:r>
        <w:t>01  The owner’s consequential decision</w:t>
      </w:r>
    </w:p>
    <w:p>
      <w:r>
        <w:t>A technically available ventilation change can carry comfort, energy, and air-quality consequences.</w:t>
      </w:r>
    </w:p>
    <w:p>
      <w:pPr>
        <w:pStyle w:val="Heading2"/>
      </w:pPr>
      <w:r>
        <w:t>02  The command is not the proof</w:t>
      </w:r>
    </w:p>
    <w:p>
      <w:r>
        <w:t>Distinguish control capability, recommendation, and permission to execute.</w:t>
      </w:r>
    </w:p>
    <w:p>
      <w:pPr>
        <w:pStyle w:val="Heading2"/>
      </w:pPr>
      <w:r>
        <w:t>03  What the sensors actually establish</w:t>
      </w:r>
    </w:p>
    <w:p>
      <w:r>
        <w:t>Show source, calibration context, timestamp, quality, and uncertainty; no invented readings.</w:t>
      </w:r>
    </w:p>
    <w:p>
      <w:pPr>
        <w:pStyle w:val="Heading2"/>
      </w:pPr>
      <w:r>
        <w:t>04  Who may authorize this change?</w:t>
      </w:r>
    </w:p>
    <w:p>
      <w:r>
        <w:t>Actor, capacity, standing basis, authority relationship, and bounded scope.</w:t>
      </w:r>
    </w:p>
    <w:p>
      <w:pPr>
        <w:pStyle w:val="Heading2"/>
      </w:pPr>
      <w:r>
        <w:t>05  Conditions changed before commit</w:t>
      </w:r>
    </w:p>
    <w:p>
      <w:r>
        <w:t>Illustrate why authorization and evidence must be rechecked at the execution boundary.</w:t>
      </w:r>
    </w:p>
    <w:p>
      <w:pPr>
        <w:pStyle w:val="Heading2"/>
      </w:pPr>
      <w:r>
        <w:t>06  Four governed dispositions</w:t>
      </w:r>
    </w:p>
    <w:p>
      <w:r>
        <w:t>Contrast ALLOW / HOLD / DENY / ESCALATE without overriding controller interlocks.</w:t>
      </w:r>
    </w:p>
    <w:p>
      <w:pPr>
        <w:pStyle w:val="Heading2"/>
      </w:pPr>
      <w:r>
        <w:t>07  The customer receives a decision record</w:t>
      </w:r>
    </w:p>
    <w:p>
      <w:r>
        <w:t>Show evidence provenance, decision rationale, approver, timing, exceptions, and audit trail.</w:t>
      </w:r>
    </w:p>
    <w:p>
      <w:pPr>
        <w:pStyle w:val="Heading2"/>
      </w:pPr>
      <w:r>
        <w:t>08  The channel business opportunity</w:t>
      </w:r>
    </w:p>
    <w:p>
      <w:r>
        <w:t>Illustrate a bounded paid integrator service, owner deliverable, and follow-on operations path.</w:t>
      </w:r>
    </w:p>
    <w:p>
      <w:pPr>
        <w:pStyle w:val="Heading1"/>
      </w:pPr>
      <w:r>
        <w:t>Proposed service package</w:t>
      </w:r>
    </w:p>
    <w:p>
      <w:pPr>
        <w:pStyle w:val="ListBullet"/>
      </w:pPr>
      <w:r>
        <w:t>1. Examine — Define one customer-selected consequential control decision; review available records, policies, and authority boundaries.</w:t>
      </w:r>
    </w:p>
    <w:p>
      <w:pPr>
        <w:pStyle w:val="ListBullet"/>
      </w:pPr>
      <w:r>
        <w:t>2. Establish — Specify an agreed evidence and authorization checklist, decision-record schema, and exception-handling protocol.</w:t>
      </w:r>
    </w:p>
    <w:p>
      <w:pPr>
        <w:pStyle w:val="ListBullet"/>
      </w:pPr>
      <w:r>
        <w:t>3. Operate (optional) — Evaluate repeatable use under a separately agreed commercial and technical scope; actual integration only after authorization and feasibility review.</w:t>
      </w:r>
    </w:p>
    <w:p>
      <w:pPr>
        <w:pStyle w:val="Heading2"/>
      </w:pPr>
      <w:r>
        <w:t>Illustrative deliverables</w:t>
      </w:r>
    </w:p>
    <w:p>
      <w:pPr>
        <w:pStyle w:val="ListBullet"/>
      </w:pPr>
      <w:r>
        <w:t>Bounded decision-use-case statement and owner acceptance criteria</w:t>
      </w:r>
    </w:p>
    <w:p>
      <w:pPr>
        <w:pStyle w:val="ListBullet"/>
      </w:pPr>
      <w:r>
        <w:t>Evidence-provenance and authorization-gap register</w:t>
      </w:r>
    </w:p>
    <w:p>
      <w:pPr>
        <w:pStyle w:val="ListBullet"/>
      </w:pPr>
      <w:r>
        <w:t>Sample decision record with hypothetical fields clearly marked</w:t>
      </w:r>
    </w:p>
    <w:p>
      <w:pPr>
        <w:pStyle w:val="ListBullet"/>
      </w:pPr>
      <w:r>
        <w:t>Exception / revalidation test matrix and written findings</w:t>
      </w:r>
    </w:p>
    <w:p>
      <w:pPr>
        <w:pStyle w:val="ListBullet"/>
      </w:pPr>
      <w:r>
        <w:t>Commercial scope, roles, exclusions, price and acceptance milestones agreed before substantive technical work</w:t>
      </w:r>
    </w:p>
    <w:p>
      <w:pPr>
        <w:pStyle w:val="Heading1"/>
      </w:pPr>
      <w:r>
        <w:t>Responsibility and IP boundaries</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KMC / integrator / owner domain</w:t>
            </w:r>
          </w:p>
        </w:tc>
        <w:tc>
          <w:tcPr>
            <w:tcW w:type="dxa" w:w="4824"/>
          </w:tcPr>
          <w:p>
            <w:r>
              <w:t>TA14 proposed domain</w:t>
            </w:r>
          </w:p>
        </w:tc>
      </w:tr>
      <w:tr>
        <w:tc>
          <w:tcPr>
            <w:tcW w:type="dxa" w:w="4824"/>
          </w:tcPr>
          <w:p>
            <w:r>
              <w:t>Controller design, BAS operation, native interlocks, commissioning and site permissions</w:t>
            </w:r>
          </w:p>
        </w:tc>
        <w:tc>
          <w:tcPr>
            <w:tcW w:type="dxa" w:w="4824"/>
          </w:tcPr>
          <w:p>
            <w:r>
              <w:t>Independent execution-governance method, decision-record requirements and bounded examination</w:t>
            </w:r>
          </w:p>
        </w:tc>
      </w:tr>
      <w:tr>
        <w:tc>
          <w:tcPr>
            <w:tcW w:type="dxa" w:w="4824"/>
          </w:tcPr>
          <w:p>
            <w:r>
              <w:t>Ownership and control of proprietary firmware, protocols, confidential data and channel relationships</w:t>
            </w:r>
          </w:p>
        </w:tc>
        <w:tc>
          <w:tcPr>
            <w:tcW w:type="dxa" w:w="4824"/>
          </w:tcPr>
          <w:p>
            <w:r>
              <w:t>Ownership of pre-existing TA14 frameworks; use subject to separately negotiated terms</w:t>
            </w:r>
          </w:p>
        </w:tc>
      </w:tr>
      <w:tr>
        <w:tc>
          <w:tcPr>
            <w:tcW w:type="dxa" w:w="4824"/>
          </w:tcPr>
          <w:p>
            <w:r>
              <w:t>Site safety, qualified engineering judgment, actual execution and operational outcomes</w:t>
            </w:r>
          </w:p>
        </w:tc>
        <w:tc>
          <w:tcPr>
            <w:tcW w:type="dxa" w:w="4824"/>
          </w:tcPr>
          <w:p>
            <w:r>
              <w:t>No physical command authority, safety certification, or guaranteed operational outcome</w:t>
            </w:r>
          </w:p>
        </w:tc>
      </w:tr>
    </w:tbl>
    <w:p>
      <w:r>
        <w:t>No access to confidential KMC intellectual property is requested for the introductory discussion. Any NDA, data sharing, integration, license, attribution, or ownership arrangement would require separate written agreement.</w:t>
      </w:r>
    </w:p>
    <w:p>
      <w:pPr>
        <w:pStyle w:val="Heading1"/>
      </w:pPr>
      <w:r>
        <w:t>Commercial path and decision gates</w:t>
      </w:r>
    </w:p>
    <w:p>
      <w:pPr>
        <w:pStyle w:val="ListBullet"/>
      </w:pPr>
      <w:r>
        <w:t>Gate A — Written fit discussion with Jesse Shoemaker: identify channel, buyer, owner problem and commercial sponsor.</w:t>
      </w:r>
    </w:p>
    <w:p>
      <w:pPr>
        <w:pStyle w:val="ListBullet"/>
      </w:pPr>
      <w:r>
        <w:t>Gate B — Select one bounded paid owner/integrator use case; agree price, scope, inputs, exclusions and acceptance criteria.</w:t>
      </w:r>
    </w:p>
    <w:p>
      <w:pPr>
        <w:pStyle w:val="ListBullet"/>
      </w:pPr>
      <w:r>
        <w:t>Gate C — Deliver the defined examination and decision-assurance artifacts; distinguish findings from unverified assumptions.</w:t>
      </w:r>
    </w:p>
    <w:p>
      <w:pPr>
        <w:pStyle w:val="ListBullet"/>
      </w:pPr>
      <w:r>
        <w:t>Gate D — Only if mutually warranted, negotiate further technical validation, productization, licensing or channel rollout.</w:t>
      </w:r>
    </w:p>
    <w:p>
      <w:pPr>
        <w:pStyle w:val="Heading2"/>
      </w:pPr>
      <w:r>
        <w:t>What this concept does not claim</w:t>
      </w:r>
    </w:p>
    <w:p>
      <w:r>
        <w:t>It does not assert KMC lacks existing authorization or safety controls; does not establish that TA14 improves measured building performance; does not replace qualified engineering, code compliance, BACnet/native interlocks, commissioning, or owner authority; and does not represent a signed partnership or paid engagement.</w:t>
      </w:r>
    </w:p>
    <w:p>
      <w:pPr>
        <w:pStyle w:val="Heading1"/>
      </w:pPr>
      <w:r>
        <w:t>Suggested next exchange</w:t>
      </w:r>
    </w:p>
    <w:p>
      <w:r>
        <w:t>Jesse: Is there a KMC integrator or building-owner segment where independently documented authorization and decision assurance would be a saleable service alongside controls or commissioning? If so, we propose identifying a specific customer-funded use case and agreeing a bounded commercial scope in writing before technical work.</w:t>
      </w:r>
    </w:p>
    <w:p>
      <w:r>
        <w:t>Prepared by Greggory Don Butler  |  Founder, TA14 Authority Governance Institution  |  Transparent Air  |  https://www.ta14exchange.com</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TA14  •  Independent concept  •  Not KMC-endorsed  •  19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33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33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33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