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E1D39" w14:textId="394D2B65" w:rsidR="00B35021" w:rsidRDefault="00AF576A">
      <w:pPr>
        <w:rPr>
          <w:b/>
          <w:bCs/>
        </w:rPr>
      </w:pPr>
      <w:r>
        <w:rPr>
          <w:b/>
          <w:bCs/>
        </w:rPr>
        <w:t>Volatility as an Asset Class Readings:</w:t>
      </w:r>
    </w:p>
    <w:p w14:paraId="3A32E450" w14:textId="78DE1A5B" w:rsidR="00A620C4" w:rsidRDefault="00A620C4">
      <w:pPr>
        <w:rPr>
          <w:b/>
          <w:bCs/>
        </w:rPr>
      </w:pPr>
    </w:p>
    <w:p w14:paraId="7BA60958" w14:textId="552EE004" w:rsidR="00A620C4" w:rsidRDefault="00A620C4" w:rsidP="00A620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Goldman Sachs: Volatility as an Asset</w:t>
      </w:r>
    </w:p>
    <w:p w14:paraId="0254D58B" w14:textId="2308A8F4" w:rsidR="00A620C4" w:rsidRPr="00AA09C3" w:rsidRDefault="00AA09C3" w:rsidP="00A620C4">
      <w:pPr>
        <w:pStyle w:val="ListParagraph"/>
        <w:numPr>
          <w:ilvl w:val="1"/>
          <w:numId w:val="1"/>
        </w:numPr>
        <w:rPr>
          <w:b/>
          <w:bCs/>
        </w:rPr>
      </w:pPr>
      <w:r>
        <w:t>Goldman explains how equity index volatility meets the definition of an asset class:</w:t>
      </w:r>
    </w:p>
    <w:p w14:paraId="1E465B1B" w14:textId="664346DD" w:rsidR="00AA09C3" w:rsidRPr="00AA09C3" w:rsidRDefault="00AA09C3" w:rsidP="00AA09C3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Selling index volatility offers significant, passively generated returns produced by facilitating hedging flow for equity and credit </w:t>
      </w:r>
      <w:proofErr w:type="gramStart"/>
      <w:r>
        <w:t>investors</w:t>
      </w:r>
      <w:proofErr w:type="gramEnd"/>
    </w:p>
    <w:p w14:paraId="3E027D5A" w14:textId="4ED59D61" w:rsidR="00AA09C3" w:rsidRPr="00CB1225" w:rsidRDefault="00CB1225" w:rsidP="00AA09C3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Returns are large enough to justify a nontrivial </w:t>
      </w:r>
      <w:proofErr w:type="gramStart"/>
      <w:r>
        <w:t>allocation</w:t>
      </w:r>
      <w:proofErr w:type="gramEnd"/>
    </w:p>
    <w:p w14:paraId="7403634F" w14:textId="723AF73C" w:rsidR="00CB1225" w:rsidRPr="009279F5" w:rsidRDefault="00CB1225" w:rsidP="00AA09C3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Volatility selling tends to outperform long equities in hostile markets, offering appealing diversification </w:t>
      </w:r>
      <w:proofErr w:type="gramStart"/>
      <w:r>
        <w:t>benefit</w:t>
      </w:r>
      <w:proofErr w:type="gramEnd"/>
    </w:p>
    <w:p w14:paraId="5B2BBEFE" w14:textId="0B41592E" w:rsidR="009279F5" w:rsidRPr="00DC7EA2" w:rsidRDefault="00DC7EA2" w:rsidP="009279F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B7332E" wp14:editId="211DB1F9">
            <wp:simplePos x="0" y="0"/>
            <wp:positionH relativeFrom="margin">
              <wp:align>right</wp:align>
            </wp:positionH>
            <wp:positionV relativeFrom="margin">
              <wp:posOffset>2333625</wp:posOffset>
            </wp:positionV>
            <wp:extent cx="5067300" cy="30981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C04">
        <w:t xml:space="preserve">Goldman showing how adding a short high volatility trading strategy can add to efficient frontier of a standard equity-bond </w:t>
      </w:r>
      <w:proofErr w:type="gramStart"/>
      <w:r w:rsidR="00AE5C04">
        <w:t>portfolio</w:t>
      </w:r>
      <w:proofErr w:type="gramEnd"/>
    </w:p>
    <w:p w14:paraId="6506E445" w14:textId="025BED0F" w:rsidR="00DC7EA2" w:rsidRDefault="00DC7EA2" w:rsidP="009279F5">
      <w:pPr>
        <w:pStyle w:val="ListParagraph"/>
        <w:numPr>
          <w:ilvl w:val="1"/>
          <w:numId w:val="1"/>
        </w:numPr>
        <w:rPr>
          <w:b/>
          <w:bCs/>
        </w:rPr>
      </w:pPr>
      <w:r w:rsidRPr="003E72ED">
        <w:rPr>
          <w:b/>
          <w:bCs/>
        </w:rPr>
        <w:t xml:space="preserve">Big issue with Goldman’s take is that they are only showing benefits of being short volatility. </w:t>
      </w:r>
      <w:r w:rsidR="00920BD7" w:rsidRPr="003E72ED">
        <w:rPr>
          <w:b/>
          <w:bCs/>
        </w:rPr>
        <w:t xml:space="preserve">History has shown being short vol can BLOW people up; however, for our project, Goldman’s analysis and use of </w:t>
      </w:r>
      <w:r w:rsidR="009179CD" w:rsidRPr="003E72ED">
        <w:rPr>
          <w:b/>
          <w:bCs/>
        </w:rPr>
        <w:t xml:space="preserve">efficient frontier comparisons is very relevant to us. We can generate portfolios similar to what they did </w:t>
      </w:r>
      <w:r w:rsidR="00F142C7" w:rsidRPr="003E72ED">
        <w:rPr>
          <w:b/>
          <w:bCs/>
        </w:rPr>
        <w:t xml:space="preserve">and compare with different allocations of </w:t>
      </w:r>
      <w:r w:rsidR="003E72ED" w:rsidRPr="003E72ED">
        <w:rPr>
          <w:b/>
          <w:bCs/>
        </w:rPr>
        <w:t xml:space="preserve">our own </w:t>
      </w:r>
      <w:proofErr w:type="gramStart"/>
      <w:r w:rsidR="003E72ED" w:rsidRPr="003E72ED">
        <w:rPr>
          <w:b/>
          <w:bCs/>
        </w:rPr>
        <w:t>ETF</w:t>
      </w:r>
      <w:proofErr w:type="gramEnd"/>
    </w:p>
    <w:p w14:paraId="1BA21AD7" w14:textId="77777777" w:rsidR="003E72ED" w:rsidRDefault="003E72ED" w:rsidP="003E72ED">
      <w:pPr>
        <w:pStyle w:val="ListParagraph"/>
        <w:ind w:left="1440"/>
        <w:rPr>
          <w:b/>
          <w:bCs/>
        </w:rPr>
      </w:pPr>
    </w:p>
    <w:p w14:paraId="3E199B8A" w14:textId="616B3B28" w:rsidR="003E72ED" w:rsidRDefault="00C37403" w:rsidP="003E72E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Stoxx</w:t>
      </w:r>
      <w:proofErr w:type="spellEnd"/>
      <w:r>
        <w:rPr>
          <w:b/>
          <w:bCs/>
        </w:rPr>
        <w:t>: Volatility as an Asset Class</w:t>
      </w:r>
    </w:p>
    <w:p w14:paraId="5C4C4FBF" w14:textId="77777777" w:rsidR="00B1295C" w:rsidRPr="00B1295C" w:rsidRDefault="00B1295C" w:rsidP="00C37403">
      <w:pPr>
        <w:pStyle w:val="ListParagraph"/>
        <w:numPr>
          <w:ilvl w:val="1"/>
          <w:numId w:val="1"/>
        </w:numPr>
        <w:rPr>
          <w:b/>
          <w:bCs/>
        </w:rPr>
      </w:pPr>
      <w:r>
        <w:t>Global</w:t>
      </w:r>
      <w:r w:rsidR="00C37403">
        <w:t xml:space="preserve"> index </w:t>
      </w:r>
      <w:r>
        <w:t xml:space="preserve">provider </w:t>
      </w:r>
    </w:p>
    <w:p w14:paraId="758FFCF0" w14:textId="0815EF2F" w:rsidR="00052F4D" w:rsidRPr="00052F4D" w:rsidRDefault="006C1A37" w:rsidP="00C3740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Provide indication that use of volatility arbitrage to profit from the risk premium between implied and realized </w:t>
      </w:r>
      <w:r w:rsidR="00803FC4">
        <w:t>volatilities</w:t>
      </w:r>
      <w:r w:rsidR="00083364">
        <w:t xml:space="preserve"> ar</w:t>
      </w:r>
      <w:r w:rsidR="00052F4D">
        <w:t>e important ways to use volatility as an asset class</w:t>
      </w:r>
      <w:r w:rsidR="00485E72">
        <w:t>.</w:t>
      </w:r>
    </w:p>
    <w:p w14:paraId="69C967D0" w14:textId="4EFB56D6" w:rsidR="00C37403" w:rsidRPr="00530569" w:rsidRDefault="00C37403" w:rsidP="00C3740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 </w:t>
      </w:r>
      <w:r w:rsidR="00485E72">
        <w:t xml:space="preserve">Writes that a portfolio mix of volatility and other asset classes, in particular equity to take advantage of negative correlations </w:t>
      </w:r>
      <w:r w:rsidR="00530569">
        <w:t xml:space="preserve">between volatility and traditional investment markets to smoothen investor’s returns across the business </w:t>
      </w:r>
      <w:proofErr w:type="gramStart"/>
      <w:r w:rsidR="00530569">
        <w:t>cycle</w:t>
      </w:r>
      <w:proofErr w:type="gramEnd"/>
      <w:r w:rsidR="00530569">
        <w:t xml:space="preserve"> </w:t>
      </w:r>
    </w:p>
    <w:p w14:paraId="66550239" w14:textId="0AD28087" w:rsidR="00800CC6" w:rsidRDefault="00530569" w:rsidP="00D2218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Helps us by </w:t>
      </w:r>
      <w:r w:rsidR="00D6342F">
        <w:rPr>
          <w:b/>
          <w:bCs/>
        </w:rPr>
        <w:t>showing the importance of capitalizing on realized vs implied vol relationships with a mix of other assets</w:t>
      </w:r>
      <w:r w:rsidR="00800CC6">
        <w:rPr>
          <w:b/>
          <w:bCs/>
        </w:rPr>
        <w:t xml:space="preserve">. Strategies are extremely general and more theoretical </w:t>
      </w:r>
      <w:proofErr w:type="gramStart"/>
      <w:r w:rsidR="00800CC6">
        <w:rPr>
          <w:b/>
          <w:bCs/>
        </w:rPr>
        <w:t>though</w:t>
      </w:r>
      <w:proofErr w:type="gramEnd"/>
      <w:r w:rsidR="00800CC6">
        <w:rPr>
          <w:b/>
          <w:bCs/>
        </w:rPr>
        <w:t xml:space="preserve"> so we have are actually applying their </w:t>
      </w:r>
      <w:r w:rsidR="00D22181">
        <w:rPr>
          <w:b/>
          <w:bCs/>
        </w:rPr>
        <w:t>knowledge</w:t>
      </w:r>
    </w:p>
    <w:p w14:paraId="48998380" w14:textId="77777777" w:rsidR="00D22181" w:rsidRDefault="00D22181" w:rsidP="00D22181">
      <w:pPr>
        <w:pStyle w:val="ListParagraph"/>
        <w:ind w:left="1440"/>
        <w:rPr>
          <w:b/>
          <w:bCs/>
        </w:rPr>
      </w:pPr>
    </w:p>
    <w:p w14:paraId="385CFEDF" w14:textId="77777777" w:rsidR="00D22181" w:rsidRPr="00D22181" w:rsidRDefault="00D22181" w:rsidP="00D22181">
      <w:pPr>
        <w:pStyle w:val="ListParagraph"/>
        <w:numPr>
          <w:ilvl w:val="0"/>
          <w:numId w:val="1"/>
        </w:numPr>
        <w:rPr>
          <w:b/>
          <w:bCs/>
        </w:rPr>
      </w:pPr>
    </w:p>
    <w:sectPr w:rsidR="00D22181" w:rsidRPr="00D2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C34DD"/>
    <w:multiLevelType w:val="hybridMultilevel"/>
    <w:tmpl w:val="EF04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21"/>
    <w:rsid w:val="00052F4D"/>
    <w:rsid w:val="00083364"/>
    <w:rsid w:val="003E72ED"/>
    <w:rsid w:val="00485E72"/>
    <w:rsid w:val="00530569"/>
    <w:rsid w:val="00534704"/>
    <w:rsid w:val="006C1A37"/>
    <w:rsid w:val="00800CC6"/>
    <w:rsid w:val="00803FC4"/>
    <w:rsid w:val="009179CD"/>
    <w:rsid w:val="00920BD7"/>
    <w:rsid w:val="009279F5"/>
    <w:rsid w:val="00A620C4"/>
    <w:rsid w:val="00AA09C3"/>
    <w:rsid w:val="00AE5C04"/>
    <w:rsid w:val="00AF576A"/>
    <w:rsid w:val="00B1295C"/>
    <w:rsid w:val="00B35021"/>
    <w:rsid w:val="00C37403"/>
    <w:rsid w:val="00CB1225"/>
    <w:rsid w:val="00D22181"/>
    <w:rsid w:val="00D6342F"/>
    <w:rsid w:val="00DC7EA2"/>
    <w:rsid w:val="00F1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EFF7"/>
  <w15:chartTrackingRefBased/>
  <w15:docId w15:val="{DE6964BA-E597-4523-A3B6-189406C6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Giordano</dc:creator>
  <cp:keywords/>
  <dc:description/>
  <cp:lastModifiedBy>Gregory Giordano</cp:lastModifiedBy>
  <cp:revision>23</cp:revision>
  <dcterms:created xsi:type="dcterms:W3CDTF">2020-11-03T03:06:00Z</dcterms:created>
  <dcterms:modified xsi:type="dcterms:W3CDTF">2020-11-03T03:20:00Z</dcterms:modified>
</cp:coreProperties>
</file>