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DDD166" w:rsidP="4FDDD166" w:rsidRDefault="4FDDD166" w14:paraId="4AC5B6FD" w14:textId="169EBF5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4FDDD166">
        <w:rPr/>
        <w:t>The Volatility Smile:</w:t>
      </w:r>
    </w:p>
    <w:p w:rsidR="4FDDD166" w:rsidP="4FDDD166" w:rsidRDefault="4FDDD166" w14:paraId="4804A1D4" w14:textId="0F04E79C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="4FDDD166">
        <w:rPr/>
        <w:t>Using Black Scholes, options are priced under the assumption that assets follow geometric Brownian motion.  This was accurately reflected in option pricing until 1987 when the market tanked 20% in two trading days.</w:t>
      </w:r>
    </w:p>
    <w:p w:rsidR="4FDDD166" w:rsidP="4FDDD166" w:rsidRDefault="4FDDD166" w14:paraId="1C94B2F8" w14:textId="42B22FCE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DDD166">
        <w:rPr/>
        <w:t xml:space="preserve">Now, option prices display a unique “volatility smile”; options are still priced using Black Scholes, but the implied volatility of the options change as the moneyness of the contract changes (see below).                                                                                                        </w:t>
      </w:r>
      <w:r>
        <w:drawing>
          <wp:inline wp14:editId="3E06C833" wp14:anchorId="5710F0A3">
            <wp:extent cx="5008815" cy="3276600"/>
            <wp:effectExtent l="0" t="0" r="0" b="0"/>
            <wp:docPr id="754853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36402e38047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1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DDD166" w:rsidP="4FDDD166" w:rsidRDefault="4FDDD166" w14:paraId="6D1C735A" w14:textId="64399F5A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="4FDDD166">
        <w:rPr/>
        <w:t>Moneyness is defined as K/S*</w:t>
      </w:r>
      <w:r>
        <w:br/>
      </w:r>
    </w:p>
    <w:p w:rsidR="4FDDD166" w:rsidP="4FDDD166" w:rsidRDefault="4FDDD166" w14:paraId="7FD74F5F" w14:textId="54001485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="4FDDD166">
        <w:rPr/>
        <w:t xml:space="preserve">The slope of the skew becomes greater as the expiration of the option shortens.            </w:t>
      </w:r>
      <w:r>
        <w:drawing>
          <wp:inline wp14:editId="0153A8F7" wp14:anchorId="3A5D299E">
            <wp:extent cx="4572000" cy="4238625"/>
            <wp:effectExtent l="0" t="0" r="0" b="0"/>
            <wp:docPr id="343290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e2b2be730c40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DDD166" w:rsidP="4FDDD166" w:rsidRDefault="4FDDD166" w14:paraId="7290D829" w14:textId="69BFCDB6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="4FDDD166">
        <w:rPr/>
        <w:t>There is a negative correlation between ATM implied volatility and underlying asset price.</w:t>
      </w:r>
      <w:r>
        <w:drawing>
          <wp:inline wp14:editId="616E03A4" wp14:anchorId="17344350">
            <wp:extent cx="4572000" cy="3514725"/>
            <wp:effectExtent l="0" t="0" r="0" b="0"/>
            <wp:docPr id="1616940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e3213f2ebe40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DDD166" w:rsidP="4FDDD166" w:rsidRDefault="4FDDD166" w14:paraId="5CF07F28" w14:textId="29E27A67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="4FDDD166">
        <w:rPr/>
        <w:t>After the market declines, the convexity of the volatility smile becomes positive, reflecting an anticipation of a market rebound.  The IV of the OTM options does not seem to become greater than the IV of the ITM options, however.</w:t>
      </w:r>
    </w:p>
    <w:p w:rsidR="4FDDD166" w:rsidP="4FDDD166" w:rsidRDefault="4FDDD166" w14:paraId="44AD3CD7" w14:textId="2C36FB43">
      <w:pPr>
        <w:pStyle w:val="Normal"/>
        <w:jc w:val="both"/>
      </w:pPr>
    </w:p>
    <w:p w:rsidR="4FDDD166" w:rsidP="4FDDD166" w:rsidRDefault="4FDDD166" w14:paraId="6DC02995" w14:textId="4D982C9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DDD166">
        <w:rPr/>
        <w:t>Trading the Slope of the Volatility Smile:</w:t>
      </w:r>
    </w:p>
    <w:p w:rsidR="4FDDD166" w:rsidP="4FDDD166" w:rsidRDefault="4FDDD166" w14:paraId="0B8EF253" w14:textId="356BB57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="4FDDD166">
        <w:rPr/>
        <w:t xml:space="preserve">Daily changes in the slope of the volatility smile are mean-reverting.  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a109bf340bf74eb7"/>
      <w:footerReference w:type="default" r:id="Rc63f052a92074cc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FDDD166" w:rsidTr="4FDDD166" w14:paraId="5C1F074D">
      <w:tc>
        <w:tcPr>
          <w:tcW w:w="3600" w:type="dxa"/>
          <w:tcMar/>
        </w:tcPr>
        <w:p w:rsidR="4FDDD166" w:rsidP="4FDDD166" w:rsidRDefault="4FDDD166" w14:paraId="33AC9FE6" w14:textId="5C470B68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4FDDD166" w:rsidP="4FDDD166" w:rsidRDefault="4FDDD166" w14:paraId="4F0169C5" w14:textId="54E8EBD4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4FDDD166" w:rsidP="4FDDD166" w:rsidRDefault="4FDDD166" w14:paraId="4C294FBC" w14:textId="4ED3C08F">
          <w:pPr>
            <w:pStyle w:val="Header"/>
            <w:bidi w:val="0"/>
            <w:ind w:right="-115"/>
            <w:jc w:val="right"/>
          </w:pPr>
        </w:p>
      </w:tc>
    </w:tr>
  </w:tbl>
  <w:p w:rsidR="4FDDD166" w:rsidP="4FDDD166" w:rsidRDefault="4FDDD166" w14:paraId="399CD638" w14:textId="17F42B8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FDDD166" w:rsidTr="4FDDD166" w14:paraId="14BA08A6">
      <w:tc>
        <w:tcPr>
          <w:tcW w:w="3600" w:type="dxa"/>
          <w:tcMar/>
        </w:tcPr>
        <w:p w:rsidR="4FDDD166" w:rsidP="4FDDD166" w:rsidRDefault="4FDDD166" w14:paraId="465C8562" w14:textId="3D192CE0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4FDDD166" w:rsidP="4FDDD166" w:rsidRDefault="4FDDD166" w14:paraId="0F07EB22" w14:textId="2AF0C10E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4FDDD166" w:rsidP="4FDDD166" w:rsidRDefault="4FDDD166" w14:paraId="19CBB7BC" w14:textId="607F3B2E">
          <w:pPr>
            <w:pStyle w:val="Header"/>
            <w:bidi w:val="0"/>
            <w:ind w:right="-115"/>
            <w:jc w:val="right"/>
          </w:pPr>
        </w:p>
      </w:tc>
    </w:tr>
  </w:tbl>
  <w:p w:rsidR="4FDDD166" w:rsidP="4FDDD166" w:rsidRDefault="4FDDD166" w14:paraId="7F420C89" w14:textId="66CE0A8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149E7D"/>
  <w15:docId w15:val="{0595aa2f-d1da-4ba7-a7c5-f5925e078781}"/>
  <w:rsids>
    <w:rsidRoot w:val="49149E7D"/>
    <w:rsid w:val="49149E7D"/>
    <w:rsid w:val="4FDDD1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9436402e3804797" /><Relationship Type="http://schemas.openxmlformats.org/officeDocument/2006/relationships/image" Target="/media/image2.png" Id="R96e2b2be730c4002" /><Relationship Type="http://schemas.openxmlformats.org/officeDocument/2006/relationships/image" Target="/media/image3.png" Id="Refe3213f2ebe402c" /><Relationship Type="http://schemas.openxmlformats.org/officeDocument/2006/relationships/header" Target="/word/header.xml" Id="Ra109bf340bf74eb7" /><Relationship Type="http://schemas.openxmlformats.org/officeDocument/2006/relationships/footer" Target="/word/footer.xml" Id="Rc63f052a92074cc3" /><Relationship Type="http://schemas.openxmlformats.org/officeDocument/2006/relationships/numbering" Target="/word/numbering.xml" Id="R9e982dfca6bb4f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2020-10-18T21:52:57.4663005Z</dcterms:created>
  <dcterms:modified xsi:type="dcterms:W3CDTF">2020-10-18T22:20:24.7565590Z</dcterms:modified>
  <dc:creator>John Tartaglia</dc:creator>
  <lastModifiedBy>John Tartaglia</lastModifiedBy>
</coreProperties>
</file>