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FE69F5">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32"/>
          <w:szCs w:val="32"/>
        </w:rPr>
      </w:pPr>
      <w:r>
        <w:rPr>
          <w:rFonts w:ascii="Arial" w:hAnsi="Arial" w:eastAsia="Arial" w:cs="Arial"/>
          <w:b/>
          <w:color w:val="000000"/>
          <w:sz w:val="32"/>
          <w:szCs w:val="32"/>
          <w:highlight w:val="none"/>
          <w:u w:val="none"/>
        </w:rPr>
      </w:r>
      <w:r>
        <w:rPr>
          <w:rFonts w:ascii="Arial" w:hAnsi="Arial" w:eastAsia="Arial" w:cs="Arial"/>
          <w:b/>
          <w:color w:val="000000"/>
          <w:sz w:val="32"/>
          <w:szCs w:val="32"/>
          <w:highlight w:val="none"/>
          <w:u w:val="none"/>
        </w:rPr>
        <w:t xml:space="preserve">Why the Budget Deficit Never Gets Fixed</w:t>
      </w:r>
      <w:r>
        <w:rPr>
          <w:rFonts w:ascii="Arial" w:hAnsi="Arial" w:eastAsia="Arial" w:cs="Arial"/>
          <w:b/>
          <w:color w:val="000000"/>
          <w:sz w:val="32"/>
          <w:szCs w:val="32"/>
          <w:highlight w:val="none"/>
          <w:u w:val="none"/>
        </w:rPr>
      </w:r>
      <w:r>
        <w:rPr>
          <w:rFonts w:ascii="Arial" w:hAnsi="Arial" w:eastAsia="Arial" w:cs="Arial"/>
          <w:sz w:val="32"/>
          <w:szCs w:val="32"/>
        </w:rPr>
      </w:r>
    </w:p>
    <w:p w14:paraId="03CD4E24">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b w:val="0"/>
          <w:bCs w:val="0"/>
          <w:color w:val="000000"/>
          <w:sz w:val="24"/>
          <w:szCs w:val="24"/>
          <w:highlight w:val="none"/>
          <w:u w:val="none"/>
        </w:rPr>
      </w:pPr>
      <w:r>
        <w:rPr>
          <w:rFonts w:ascii="Arial" w:hAnsi="Arial" w:eastAsia="Arial" w:cs="Arial"/>
          <w:b w:val="0"/>
          <w:bCs w:val="0"/>
          <w:color w:val="000000"/>
          <w:sz w:val="24"/>
          <w:u w:val="none"/>
        </w:rPr>
        <w:t xml:space="preserve">Congress continually ignores budget deficits primarily because the short-term political rewards of spending money and cutting taxes outweigh the long-term economic risks of rising national debt.</w:t>
      </w:r>
      <w:r>
        <w:rPr>
          <w:b w:val="0"/>
          <w:bCs w:val="0"/>
        </w:rPr>
      </w:r>
      <w:r>
        <w:rPr>
          <w:rFonts w:ascii="Arial" w:hAnsi="Arial" w:eastAsia="Arial" w:cs="Arial"/>
          <w:b w:val="0"/>
          <w:bCs w:val="0"/>
          <w:color w:val="000000"/>
          <w:sz w:val="24"/>
          <w:szCs w:val="24"/>
          <w:highlight w:val="none"/>
          <w:u w:val="none"/>
        </w:rPr>
      </w:r>
    </w:p>
    <w:p w14:paraId="67D3AEF0">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Politicians face a strong structural incentive to focus on immediate election cycles. This creates a system where passing popular laws matters more than maintaining a balanced budget.</w:t>
      </w:r>
      <w:r>
        <w:rPr>
          <w:rFonts w:ascii="Arial" w:hAnsi="Arial" w:eastAsia="Arial" w:cs="Arial"/>
          <w:color w:val="000000"/>
          <w:sz w:val="24"/>
        </w:rPr>
      </w:r>
      <w:r/>
    </w:p>
    <w:p w14:paraId="5CE61C71">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28"/>
          <w:szCs w:val="28"/>
        </w:rPr>
        <w:t xml:space="preserve">Short-Term Incentives vs. Long-Term Risks</w:t>
      </w:r>
      <w:r>
        <w:rPr>
          <w:sz w:val="28"/>
          <w:szCs w:val="28"/>
        </w:rPr>
      </w:r>
      <w:r>
        <w:rPr>
          <w:sz w:val="28"/>
          <w:szCs w:val="28"/>
        </w:rPr>
      </w:r>
    </w:p>
    <w:p w14:paraId="5221C8D2">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The core conflict stems from a misalignment between political survival and fiscal responsibility.</w:t>
      </w:r>
      <w:r/>
    </w:p>
    <w:p w14:paraId="4C3A3685">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Election Cycle:</w:t>
      </w:r>
      <w:r>
        <w:rPr>
          <w:rFonts w:ascii="Arial" w:hAnsi="Arial" w:eastAsia="Arial" w:cs="Arial"/>
          <w:color w:val="000000"/>
          <w:sz w:val="24"/>
          <w:u w:val="none"/>
        </w:rPr>
        <w:t xml:space="preserve"> Members of the House of Representatives face reelection every two years. This short window forces them to focus on immediate results that voters can see right away.</w:t>
      </w:r>
      <w:r/>
    </w:p>
    <w:p w14:paraId="4E12DD6F">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Delayed Penalty:</w:t>
      </w:r>
      <w:r>
        <w:rPr>
          <w:rFonts w:ascii="Arial" w:hAnsi="Arial" w:eastAsia="Arial" w:cs="Arial"/>
          <w:color w:val="000000"/>
          <w:sz w:val="24"/>
          <w:u w:val="none"/>
        </w:rPr>
        <w:t xml:space="preserve"> The economic fallout of a high deficit, such as inflation or higher interest rates, often takes years or decades to fully manifest. Politicians rarely face electoral consequences for debt that matures long after they leave office.</w:t>
      </w:r>
      <w:r/>
    </w:p>
    <w:p w14:paraId="017904F5">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28"/>
          <w:szCs w:val="28"/>
        </w:rPr>
        <w:t xml:space="preserve">The Political Benefits of Deficits</w:t>
      </w:r>
      <w:r>
        <w:rPr>
          <w:sz w:val="28"/>
          <w:szCs w:val="28"/>
        </w:rPr>
      </w:r>
      <w:r>
        <w:rPr>
          <w:sz w:val="28"/>
          <w:szCs w:val="28"/>
        </w:rPr>
      </w:r>
    </w:p>
    <w:p w14:paraId="4E6FA602">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Deficits are often the mathematical byproduct of policies that are highly popular with voters and special interest groups.</w:t>
      </w:r>
      <w:r/>
    </w:p>
    <w:p w14:paraId="6544F954">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Bringing Home the Bacon:</w:t>
      </w:r>
      <w:r>
        <w:rPr>
          <w:rFonts w:ascii="Arial" w:hAnsi="Arial" w:eastAsia="Arial" w:cs="Arial"/>
          <w:color w:val="000000"/>
          <w:sz w:val="24"/>
          <w:u w:val="none"/>
        </w:rPr>
        <w:t xml:space="preserve"> Lawmakers win votes by directing federal funding toward projects in their home districts, like roads, schools, or military bases.</w:t>
      </w:r>
      <w:r/>
    </w:p>
    <w:p w14:paraId="07688F58">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Popularity of Spending:</w:t>
      </w:r>
      <w:r>
        <w:rPr>
          <w:rFonts w:ascii="Arial" w:hAnsi="Arial" w:eastAsia="Arial" w:cs="Arial"/>
          <w:color w:val="000000"/>
          <w:sz w:val="24"/>
          <w:u w:val="none"/>
        </w:rPr>
        <w:t xml:space="preserve"> Passing laws to fund programs like infrastructure, education, or healthcare creates visible benefits for constituents.</w:t>
      </w:r>
      <w:r/>
    </w:p>
    <w:p w14:paraId="29CE6997">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Appeal of Tax Cuts:</w:t>
      </w:r>
      <w:r>
        <w:rPr>
          <w:rFonts w:ascii="Arial" w:hAnsi="Arial" w:eastAsia="Arial" w:cs="Arial"/>
          <w:color w:val="000000"/>
          <w:sz w:val="24"/>
          <w:u w:val="none"/>
        </w:rPr>
        <w:t xml:space="preserve"> Reducing taxes leaves more money in voters' pockets, which is highly popular, even though it reduces government revenue and widens the deficit.</w:t>
      </w:r>
      <w:r>
        <w:rPr>
          <w:rFonts w:ascii="Arial" w:hAnsi="Arial" w:eastAsia="Arial" w:cs="Arial"/>
          <w:color w:val="000000"/>
          <w:sz w:val="24"/>
        </w:rPr>
      </w:r>
      <w:r/>
    </w:p>
    <w:p w14:paraId="228EF218">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"Starve the Beast" Strategy:</w:t>
      </w:r>
      <w:r>
        <w:rPr>
          <w:rFonts w:ascii="Arial" w:hAnsi="Arial" w:eastAsia="Arial" w:cs="Arial"/>
          <w:color w:val="000000"/>
          <w:sz w:val="24"/>
          <w:u w:val="none"/>
        </w:rPr>
        <w:t xml:space="preserve"> Some lawmakers deliberately vote for tax cuts to limit government resources, hoping it will eventually force spending cuts. However, those spending cuts rarely follow.</w:t>
      </w:r>
      <w:r/>
    </w:p>
    <w:p w14:paraId="0FB65501">
      <w:pPr>
        <w:pBdr/>
        <w:shd w:val="nil" w:color="auto"/>
        <w:spacing/>
        <w:ind/>
        <w:rPr>
          <w:rFonts w:ascii="Arial" w:hAnsi="Arial" w:eastAsia="Arial" w:cs="Arial"/>
          <w:sz w:val="30"/>
          <w:szCs w:val="30"/>
        </w:rPr>
      </w:pPr>
      <w:r>
        <w:rPr>
          <w:rFonts w:ascii="Arial" w:hAnsi="Arial" w:eastAsia="Arial" w:cs="Arial"/>
          <w:b/>
          <w:color w:val="000000"/>
          <w:sz w:val="30"/>
          <w:highlight w:val="none"/>
        </w:rPr>
        <w:br w:type="page" w:clear="all"/>
      </w:r>
      <w:r>
        <w:rPr>
          <w:rFonts w:ascii="Arial" w:hAnsi="Arial" w:eastAsia="Arial" w:cs="Arial"/>
          <w:b/>
          <w:color w:val="000000"/>
          <w:sz w:val="30"/>
          <w:highlight w:val="none"/>
        </w:rPr>
      </w:r>
      <w:r>
        <w:rPr>
          <w:rFonts w:ascii="Arial" w:hAnsi="Arial" w:eastAsia="Arial" w:cs="Arial"/>
          <w:sz w:val="30"/>
          <w:szCs w:val="30"/>
        </w:rPr>
      </w:r>
    </w:p>
    <w:p w14:paraId="576424B8">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b/>
          <w:bCs/>
          <w:color w:val="000000"/>
          <w:sz w:val="28"/>
          <w:szCs w:val="28"/>
          <w:highlight w:val="none"/>
        </w:rPr>
      </w:pPr>
      <w:r>
        <w:rPr>
          <w:rFonts w:ascii="Arial" w:hAnsi="Arial" w:eastAsia="Arial" w:cs="Arial"/>
          <w:b/>
          <w:color w:val="000000"/>
          <w:sz w:val="28"/>
          <w:szCs w:val="28"/>
        </w:rPr>
        <w:t xml:space="preserve">The Punishing Cost of Fiscal Discipline</w:t>
      </w:r>
      <w:r>
        <w:rPr>
          <w:sz w:val="28"/>
          <w:szCs w:val="28"/>
        </w:rPr>
      </w:r>
      <w:r>
        <w:rPr>
          <w:rFonts w:ascii="Arial" w:hAnsi="Arial" w:eastAsia="Arial" w:cs="Arial"/>
          <w:b/>
          <w:bCs/>
          <w:color w:val="000000"/>
          <w:sz w:val="28"/>
          <w:szCs w:val="28"/>
          <w:highlight w:val="none"/>
        </w:rPr>
      </w:r>
    </w:p>
    <w:p w14:paraId="006AC1EB">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Conversely, the actions required to actually reduce a budget deficit are politically toxic.</w:t>
      </w:r>
      <w:r/>
    </w:p>
    <w:p w14:paraId="2B6BFCF8">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Third Rail of Politics:</w:t>
      </w:r>
      <w:r>
        <w:rPr>
          <w:rFonts w:ascii="Arial" w:hAnsi="Arial" w:eastAsia="Arial" w:cs="Arial"/>
          <w:color w:val="000000"/>
          <w:sz w:val="24"/>
          <w:u w:val="none"/>
        </w:rPr>
        <w:t xml:space="preserve"> The vast majority of federal spending goes toward mandatory programs like Social Security and Medicare. Proposing cuts to these programs is often considered political suicide.</w:t>
      </w:r>
      <w:r/>
    </w:p>
    <w:p w14:paraId="5B7826E0">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Fear of Tax Hikes:</w:t>
      </w:r>
      <w:r>
        <w:rPr>
          <w:rFonts w:ascii="Arial" w:hAnsi="Arial" w:eastAsia="Arial" w:cs="Arial"/>
          <w:color w:val="000000"/>
          <w:sz w:val="24"/>
          <w:u w:val="none"/>
        </w:rPr>
        <w:t xml:space="preserve"> Raising taxes to close the budget gap is deeply unpopular with voters and corporate donors, frequently leading to electoral defeat.</w:t>
      </w:r>
      <w:r/>
    </w:p>
    <w:p w14:paraId="51AD1B43">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Concentrated Cost:</w:t>
      </w:r>
      <w:r>
        <w:rPr>
          <w:rFonts w:ascii="Arial" w:hAnsi="Arial" w:eastAsia="Arial" w:cs="Arial"/>
          <w:color w:val="000000"/>
          <w:sz w:val="24"/>
          <w:u w:val="none"/>
        </w:rPr>
        <w:t xml:space="preserve"> While a balanced budget benefits the entire nation vaguely, the pain of a spending cut or tax hike is felt sharply and immediately by specific groups of people. Those groups will actively organize and vote against the politicians responsible.</w:t>
      </w:r>
      <w:r>
        <w:rPr>
          <w:rFonts w:ascii="Arial" w:hAnsi="Arial" w:eastAsia="Arial" w:cs="Arial"/>
          <w:color w:val="000000"/>
          <w:sz w:val="24"/>
        </w:rPr>
      </w:r>
      <w:r/>
    </w:p>
    <w:p w14:paraId="71C85BF6">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28"/>
          <w:szCs w:val="28"/>
        </w:rPr>
        <w:t xml:space="preserve">Institutional Hurdles and Economic Theories</w:t>
      </w:r>
      <w:r>
        <w:rPr>
          <w:sz w:val="28"/>
          <w:szCs w:val="28"/>
        </w:rPr>
      </w:r>
      <w:r>
        <w:rPr>
          <w:sz w:val="28"/>
          <w:szCs w:val="28"/>
        </w:rPr>
      </w:r>
    </w:p>
    <w:p w14:paraId="02E3AF45">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Beyond basic politics, the rules of Congress and changing economic philosophies make balancing the budget difficult.</w:t>
      </w:r>
      <w:r/>
    </w:p>
    <w:p w14:paraId="379EAD89">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Polarization and Gridlock:</w:t>
      </w:r>
      <w:r>
        <w:rPr>
          <w:rFonts w:ascii="Arial" w:hAnsi="Arial" w:eastAsia="Arial" w:cs="Arial"/>
          <w:color w:val="000000"/>
          <w:sz w:val="24"/>
          <w:u w:val="none"/>
        </w:rPr>
        <w:t xml:space="preserve"> Deep political divisions make it nearly impossible for both parties to agree on a compromise package of spending cuts and tax increases.</w:t>
      </w:r>
      <w:r/>
    </w:p>
    <w:p w14:paraId="1B310D5C">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Modern Monetary Theory (MMT) Influence:</w:t>
      </w:r>
      <w:r>
        <w:rPr>
          <w:rFonts w:ascii="Arial" w:hAnsi="Arial" w:eastAsia="Arial" w:cs="Arial"/>
          <w:color w:val="000000"/>
          <w:sz w:val="24"/>
          <w:u w:val="none"/>
        </w:rPr>
        <w:t xml:space="preserve"> Some modern economic perspectives argue that nations printing their own currency can run high deficits safely, as long as inflation remains under control. This viewpoint gives politicians economic cover to ignore the debt.</w:t>
      </w:r>
      <w:r/>
    </w:p>
    <w:p w14:paraId="75F00BB2">
      <w:pPr>
        <w:pStyle w:val="816"/>
        <w:numPr>
          <w:ilvl w:val="0"/>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Emergency Spending Traps:</w:t>
      </w:r>
      <w:r>
        <w:rPr>
          <w:rFonts w:ascii="Arial" w:hAnsi="Arial" w:eastAsia="Arial" w:cs="Arial"/>
          <w:color w:val="000000"/>
          <w:sz w:val="24"/>
          <w:u w:val="none"/>
        </w:rPr>
        <w:t xml:space="preserve"> Congress routinely passes massive, bipartisan spending bills during crises, such as economic recessions or global pandemics. Once these high spending levels are established, rolling them back to baseline levels is politically difficult.</w:t>
      </w:r>
      <w:r>
        <w:rPr>
          <w:rFonts w:ascii="Arial" w:hAnsi="Arial" w:eastAsia="Arial" w:cs="Arial"/>
          <w:sz w:val="24"/>
        </w:rPr>
      </w:r>
      <w:r/>
    </w:p>
    <w:p w14:paraId="6436613C">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28"/>
          <w:szCs w:val="28"/>
        </w:rPr>
        <w:t xml:space="preserve">The Deficit Feedback Loop</w:t>
      </w:r>
      <w:r>
        <w:rPr>
          <w:sz w:val="28"/>
          <w:szCs w:val="28"/>
        </w:rPr>
      </w:r>
      <w:r>
        <w:rPr>
          <w:sz w:val="28"/>
          <w:szCs w:val="28"/>
        </w:rPr>
      </w:r>
    </w:p>
    <w:p w14:paraId="5ABB5B62">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When the government spends more than it collects in taxes, it creates a deficit. To cover that gap, the U.S. Treasury borrows money by issuing bonds and notes to investors. </w:t>
      </w:r>
      <w:r/>
    </w:p>
    <w:p w14:paraId="79EFB78E">
      <w:pPr>
        <w:pStyle w:val="816"/>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Higher Borrowing Costs:</w:t>
      </w:r>
      <w:r>
        <w:rPr>
          <w:rFonts w:ascii="Arial" w:hAnsi="Arial" w:eastAsia="Arial" w:cs="Arial"/>
          <w:color w:val="000000"/>
          <w:sz w:val="24"/>
          <w:u w:val="none"/>
        </w:rPr>
        <w:t xml:space="preserve"> As old government bonds mature, the Treasury must replace them by issuing new debt at current, higher market interest rates.</w:t>
      </w:r>
      <w:r/>
    </w:p>
    <w:p w14:paraId="2FF6DA7E">
      <w:pPr>
        <w:pStyle w:val="816"/>
        <w:numPr>
          <w:ilvl w:val="0"/>
          <w:numId w:val="11"/>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Competing for Cash:</w:t>
      </w:r>
      <w:r>
        <w:rPr>
          <w:rFonts w:ascii="Arial" w:hAnsi="Arial" w:eastAsia="Arial" w:cs="Arial"/>
          <w:color w:val="000000"/>
          <w:sz w:val="24"/>
          <w:u w:val="none"/>
        </w:rPr>
        <w:t xml:space="preserve"> Investors only have a limited pool of cash to lend. If the government is competing with corporations, home buyers, and car shoppers for that same cash, it cannot easily find enough buyers at a low rate.</w:t>
      </w:r>
      <w:r>
        <w:rPr>
          <w:rFonts w:ascii="Arial" w:hAnsi="Arial" w:eastAsia="Arial" w:cs="Arial"/>
          <w:sz w:val="24"/>
        </w:rPr>
      </w:r>
      <w:r>
        <w:rPr>
          <w:rFonts w:ascii="Arial" w:hAnsi="Arial" w:eastAsia="Arial" w:cs="Arial"/>
          <w:sz w:val="24"/>
        </w:rPr>
      </w:r>
    </w:p>
    <w:p w14:paraId="1B841910">
      <w:pPr>
        <w:pStyle w:val="816"/>
        <w:numPr>
          <w:ilvl w:val="0"/>
          <w:numId w:val="14"/>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Credit Rating Downgrades:</w:t>
      </w:r>
      <w:r>
        <w:rPr>
          <w:rFonts w:ascii="Arial" w:hAnsi="Arial" w:eastAsia="Arial" w:cs="Arial"/>
          <w:color w:val="000000"/>
          <w:sz w:val="24"/>
          <w:u w:val="none"/>
        </w:rPr>
        <w:t xml:space="preserve"> If a country's debt grows too fast, independent agencies may lower its credit rating. A lower credit rating legally forces many large investment funds to stay away, further shrinking the pool of buyers and forcing rates even higher to attract buyers.</w:t>
      </w:r>
      <w:r>
        <w:rPr>
          <w:rFonts w:ascii="Arial" w:hAnsi="Arial" w:eastAsia="Arial" w:cs="Arial"/>
          <w:sz w:val="24"/>
        </w:rPr>
      </w:r>
      <w:r>
        <w:rPr>
          <w:rFonts w:ascii="Arial" w:hAnsi="Arial" w:eastAsia="Arial" w:cs="Arial"/>
          <w:sz w:val="24"/>
        </w:rPr>
      </w:r>
    </w:p>
    <w:p w14:paraId="0B0FD9F8">
      <w:pPr>
        <w:pStyle w:val="816"/>
        <w:numPr>
          <w:ilvl w:val="0"/>
          <w:numId w:val="12"/>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color w:val="000000"/>
          <w:sz w:val="24"/>
          <w:szCs w:val="24"/>
          <w:u w:val="none"/>
        </w:rPr>
      </w:pPr>
      <w:r>
        <w:rPr>
          <w:rFonts w:ascii="Arial" w:hAnsi="Arial" w:eastAsia="Arial" w:cs="Arial"/>
          <w:b/>
          <w:color w:val="000000"/>
          <w:sz w:val="24"/>
          <w:u w:val="none"/>
        </w:rPr>
        <w:t xml:space="preserve">Credit Risk:</w:t>
      </w:r>
      <w:r>
        <w:rPr>
          <w:rFonts w:ascii="Arial" w:hAnsi="Arial" w:eastAsia="Arial" w:cs="Arial"/>
          <w:color w:val="000000"/>
          <w:sz w:val="24"/>
          <w:u w:val="none"/>
        </w:rPr>
        <w:t xml:space="preserve"> If a person or a government owes a massive amount of money relative to their income, lenders begin to worry about their ability to pay it back.</w:t>
      </w:r>
      <w:r>
        <w:rPr>
          <w:rFonts w:ascii="Arial" w:hAnsi="Arial" w:eastAsia="Arial" w:cs="Arial"/>
          <w:color w:val="000000"/>
          <w:sz w:val="24"/>
          <w:u w:val="none"/>
        </w:rPr>
        <w:t xml:space="preserve"> To compensate for the growing risk that a heavily indebted borrower might struggle, stumble, or default on payments, lenders demand a higher interest rate.</w:t>
      </w:r>
      <w:r>
        <w:rPr>
          <w:rFonts w:ascii="Arial" w:hAnsi="Arial" w:eastAsia="Arial" w:cs="Arial"/>
          <w:sz w:val="24"/>
        </w:rPr>
      </w:r>
      <w:r>
        <w:rPr>
          <w:rFonts w:ascii="Arial" w:hAnsi="Arial" w:eastAsia="Arial" w:cs="Arial"/>
          <w:color w:val="000000"/>
          <w:sz w:val="24"/>
          <w:szCs w:val="24"/>
          <w:u w:val="none"/>
        </w:rPr>
      </w:r>
    </w:p>
    <w:p w14:paraId="250061DD">
      <w:pPr>
        <w:pStyle w:val="816"/>
        <w:numPr>
          <w:ilvl w:val="0"/>
          <w:numId w:val="12"/>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szCs w:val="24"/>
        </w:rPr>
      </w:pPr>
      <w:r>
        <w:rPr>
          <w:rFonts w:ascii="Arial" w:hAnsi="Arial" w:eastAsia="Arial" w:cs="Arial"/>
          <w:color w:val="000000"/>
          <w:sz w:val="24"/>
          <w:u w:val="none"/>
        </w:rPr>
      </w:r>
      <w:r>
        <w:rPr>
          <w:rFonts w:ascii="Arial" w:hAnsi="Arial" w:eastAsia="Arial" w:cs="Arial"/>
          <w:b/>
          <w:color w:val="000000"/>
          <w:sz w:val="24"/>
          <w:u w:val="none"/>
        </w:rPr>
        <w:t xml:space="preserve">Inflation:</w:t>
      </w:r>
      <w:r>
        <w:rPr>
          <w:rFonts w:ascii="Arial" w:hAnsi="Arial" w:eastAsia="Arial" w:cs="Arial"/>
          <w:color w:val="000000"/>
          <w:sz w:val="24"/>
          <w:u w:val="none"/>
        </w:rPr>
        <w:t xml:space="preserve"> </w:t>
      </w:r>
      <w:r>
        <w:rPr>
          <w:rFonts w:ascii="Arial" w:hAnsi="Arial" w:eastAsia="Arial" w:cs="Arial"/>
          <w:color w:val="000000"/>
          <w:sz w:val="24"/>
        </w:rPr>
        <w:t xml:space="preserve">High levels of national debt often go hand-in-hand with inflation, which directly forces interest rates upward.  </w:t>
      </w:r>
      <w:r>
        <w:rPr>
          <w:rFonts w:ascii="Arial" w:hAnsi="Arial" w:eastAsia="Arial" w:cs="Arial"/>
          <w:color w:val="000000"/>
          <w:sz w:val="24"/>
          <w:u w:val="none"/>
        </w:rPr>
        <w:t xml:space="preserve">Lenders know that if a government prints money to handle its debt, the value of the dollar will drop.</w:t>
      </w:r>
      <w:r>
        <w:rPr>
          <w:rFonts w:ascii="Arial" w:hAnsi="Arial" w:eastAsia="Arial" w:cs="Arial"/>
          <w:color w:val="000000"/>
          <w:sz w:val="24"/>
          <w:u w:val="none"/>
        </w:rPr>
        <w:t xml:space="preserve"> If an investor buys a 10-year bond, they want to make sure the money they get back in a decade can still buy things. To protect themselves against inflation eating away their profits, lenders demand higher interest rates upfront.</w:t>
      </w:r>
      <w:r>
        <w:rPr>
          <w:rFonts w:ascii="Arial" w:hAnsi="Arial" w:eastAsia="Arial" w:cs="Arial"/>
          <w:sz w:val="24"/>
          <w:szCs w:val="24"/>
        </w:rPr>
      </w:r>
      <w:r>
        <w:rPr>
          <w:rFonts w:ascii="Arial" w:hAnsi="Arial" w:eastAsia="Arial" w:cs="Arial"/>
          <w:sz w:val="24"/>
          <w:szCs w:val="24"/>
        </w:rPr>
      </w:r>
    </w:p>
    <w:p w14:paraId="4F7D5541">
      <w:pPr>
        <w:pStyle w:val="816"/>
        <w:numPr>
          <w:ilvl w:val="0"/>
          <w:numId w:val="16"/>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Exploding Net Interest Expense:</w:t>
      </w:r>
      <w:r>
        <w:rPr>
          <w:rFonts w:ascii="Arial" w:hAnsi="Arial" w:eastAsia="Arial" w:cs="Arial"/>
          <w:color w:val="000000"/>
          <w:sz w:val="24"/>
          <w:u w:val="none"/>
        </w:rPr>
        <w:t xml:space="preserve"> The total amount of money the government spends just to pay back interest balloons. Net interest payments have crossed </w:t>
      </w:r>
      <w:r>
        <w:rPr>
          <w:rFonts w:ascii="Arial" w:hAnsi="Arial" w:eastAsia="Arial" w:cs="Arial"/>
          <w:b/>
          <w:color w:val="000000"/>
          <w:sz w:val="24"/>
          <w:u w:val="none"/>
        </w:rPr>
        <w:t xml:space="preserve">$1 trillion per year</w:t>
      </w:r>
      <w:r>
        <w:rPr>
          <w:rFonts w:ascii="Arial" w:hAnsi="Arial" w:eastAsia="Arial" w:cs="Arial"/>
          <w:color w:val="000000"/>
          <w:sz w:val="24"/>
          <w:u w:val="none"/>
        </w:rPr>
        <w:t xml:space="preserve">, making interest the second-largest single expense in the entire federal budget.</w:t>
      </w:r>
      <w:r>
        <w:rPr>
          <w:rFonts w:ascii="Arial" w:hAnsi="Arial" w:eastAsia="Arial" w:cs="Arial"/>
          <w:sz w:val="24"/>
        </w:rPr>
      </w:r>
      <w:r>
        <w:rPr>
          <w:rFonts w:ascii="Arial" w:hAnsi="Arial" w:eastAsia="Arial" w:cs="Arial"/>
          <w:sz w:val="24"/>
        </w:rPr>
      </w:r>
    </w:p>
    <w:p w14:paraId="31F81D6D">
      <w:pPr>
        <w:pStyle w:val="816"/>
        <w:numPr>
          <w:ilvl w:val="0"/>
          <w:numId w:val="15"/>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color w:val="000000"/>
          <w:sz w:val="24"/>
          <w:szCs w:val="24"/>
          <w:u w:val="none"/>
        </w:rPr>
      </w:pPr>
      <w:r>
        <w:rPr>
          <w:rFonts w:ascii="Arial" w:hAnsi="Arial" w:eastAsia="Arial" w:cs="Arial"/>
          <w:b/>
          <w:color w:val="000000"/>
          <w:sz w:val="24"/>
          <w:u w:val="none"/>
        </w:rPr>
        <w:t xml:space="preserve">Compounding Debt:</w:t>
      </w:r>
      <w:r>
        <w:rPr>
          <w:rFonts w:ascii="Arial" w:hAnsi="Arial" w:eastAsia="Arial" w:cs="Arial"/>
          <w:color w:val="000000"/>
          <w:sz w:val="24"/>
          <w:u w:val="none"/>
        </w:rPr>
        <w:t xml:space="preserve"> Because Congress does not have extra cash to cover the massive new interest payments, it must borrow </w:t>
      </w:r>
      <w:r>
        <w:rPr>
          <w:rFonts w:ascii="Arial" w:hAnsi="Arial" w:eastAsia="Arial" w:cs="Arial"/>
          <w:i/>
          <w:color w:val="000000"/>
          <w:sz w:val="24"/>
          <w:u w:val="none"/>
        </w:rPr>
        <w:t xml:space="preserve">more</w:t>
      </w:r>
      <w:r>
        <w:rPr>
          <w:rFonts w:ascii="Arial" w:hAnsi="Arial" w:eastAsia="Arial" w:cs="Arial"/>
          <w:color w:val="000000"/>
          <w:sz w:val="24"/>
          <w:u w:val="none"/>
        </w:rPr>
        <w:t xml:space="preserve"> money at a higher interest rate just to pay the interest on the money it already owes. This added borrowing increases the deficit further, creating a compounding vicious cycle.</w:t>
      </w:r>
      <w:r>
        <w:rPr>
          <w:rFonts w:ascii="Arial" w:hAnsi="Arial" w:eastAsia="Arial" w:cs="Arial"/>
          <w:color w:val="000000"/>
          <w:sz w:val="24"/>
          <w:u w:val="none"/>
        </w:rPr>
        <w:t xml:space="preserve">.</w:t>
      </w:r>
      <w:r>
        <w:rPr>
          <w:rFonts w:ascii="Arial" w:hAnsi="Arial" w:eastAsia="Arial" w:cs="Arial"/>
          <w:color w:val="000000"/>
          <w:sz w:val="24"/>
          <w:szCs w:val="24"/>
          <w:u w:val="none"/>
        </w:rPr>
      </w:r>
      <w:r>
        <w:rPr>
          <w:rFonts w:ascii="Arial" w:hAnsi="Arial" w:eastAsia="Arial" w:cs="Arial"/>
          <w:color w:val="000000"/>
          <w:sz w:val="24"/>
          <w:szCs w:val="24"/>
          <w:u w:val="none"/>
        </w:rPr>
      </w:r>
    </w:p>
    <w:p w14:paraId="2DDC254F">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The National Debt Reduces Your Quality of Life</w:t>
      </w:r>
      <w:r/>
    </w:p>
    <w:p w14:paraId="0332A224">
      <w:pPr>
        <w:pStyle w:val="816"/>
        <w:numPr>
          <w:ilvl w:val="0"/>
          <w:numId w:val="8"/>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Benchmark for Consumer Loans:</w:t>
      </w:r>
      <w:r>
        <w:rPr>
          <w:rFonts w:ascii="Arial" w:hAnsi="Arial" w:eastAsia="Arial" w:cs="Arial"/>
          <w:color w:val="000000"/>
          <w:sz w:val="24"/>
          <w:u w:val="none"/>
        </w:rPr>
        <w:t xml:space="preserve"> Government bond yields serve as the pricing floor for the rest of the financial world. When the Treasury has to pay higher rates to attract investors, it pushes up interest rates across the entire economy.</w:t>
      </w:r>
      <w:r/>
    </w:p>
    <w:p w14:paraId="666E1EB3">
      <w:pPr>
        <w:pStyle w:val="816"/>
        <w:numPr>
          <w:ilvl w:val="0"/>
          <w:numId w:val="8"/>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b w:val="0"/>
          <w:bCs w:val="0"/>
          <w:color w:val="000000"/>
          <w:sz w:val="24"/>
          <w:szCs w:val="24"/>
          <w:u w:val="none"/>
        </w:rPr>
      </w:pPr>
      <w:r>
        <w:rPr>
          <w:rFonts w:ascii="Arial" w:hAnsi="Arial" w:eastAsia="Arial" w:cs="Arial"/>
          <w:b/>
          <w:color w:val="000000"/>
          <w:sz w:val="24"/>
          <w:u w:val="none"/>
        </w:rPr>
        <w:t xml:space="preserve">Squeezing Households:</w:t>
      </w:r>
      <w:r>
        <w:rPr>
          <w:rFonts w:ascii="Arial" w:hAnsi="Arial" w:eastAsia="Arial" w:cs="Arial"/>
          <w:color w:val="000000"/>
          <w:sz w:val="24"/>
          <w:u w:val="none"/>
        </w:rPr>
        <w:t xml:space="preserve"> This economic pressure directly leads to higher borrowing costs for regular citizens, translating into more expensive </w:t>
      </w:r>
      <w:r>
        <w:rPr>
          <w:rFonts w:ascii="Arial" w:hAnsi="Arial" w:eastAsia="Arial" w:cs="Arial"/>
          <w:b w:val="0"/>
          <w:bCs w:val="0"/>
          <w:color w:val="000000"/>
          <w:sz w:val="24"/>
          <w:u w:val="none"/>
        </w:rPr>
        <w:t xml:space="preserve">mortgages, auto loans, and credit card rates</w:t>
      </w:r>
      <w:r>
        <w:rPr>
          <w:rFonts w:ascii="Arial" w:hAnsi="Arial" w:eastAsia="Arial" w:cs="Arial"/>
          <w:b w:val="0"/>
          <w:bCs w:val="0"/>
          <w:color w:val="000000"/>
          <w:sz w:val="24"/>
          <w:u w:val="none"/>
        </w:rPr>
        <w:t xml:space="preserve">.</w:t>
      </w:r>
      <w:r>
        <w:rPr>
          <w:rFonts w:ascii="Arial" w:hAnsi="Arial" w:eastAsia="Arial" w:cs="Arial"/>
          <w:b w:val="0"/>
          <w:bCs w:val="0"/>
          <w:sz w:val="24"/>
        </w:rPr>
      </w:r>
      <w:r>
        <w:rPr>
          <w:rFonts w:ascii="Arial" w:hAnsi="Arial" w:eastAsia="Arial" w:cs="Arial"/>
          <w:b w:val="0"/>
          <w:bCs w:val="0"/>
          <w:color w:val="000000"/>
          <w:sz w:val="24"/>
          <w:szCs w:val="24"/>
          <w:u w:val="none"/>
        </w:rPr>
      </w:r>
    </w:p>
    <w:p w14:paraId="5715EBC5">
      <w:pPr>
        <w:pStyle w:val="816"/>
        <w:numPr>
          <w:ilvl w:val="0"/>
          <w:numId w:val="8"/>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b w:val="0"/>
          <w:bCs w:val="0"/>
          <w:sz w:val="24"/>
          <w:szCs w:val="24"/>
        </w:rPr>
      </w:pPr>
      <w:r>
        <w:rPr>
          <w:rFonts w:ascii="Arial" w:hAnsi="Arial" w:eastAsia="Arial" w:cs="Arial"/>
          <w:b w:val="0"/>
          <w:bCs w:val="0"/>
          <w:color w:val="000000"/>
          <w:sz w:val="24"/>
          <w:u w:val="none"/>
        </w:rPr>
      </w:r>
      <w:r>
        <w:rPr>
          <w:rFonts w:ascii="Arial" w:hAnsi="Arial" w:eastAsia="Arial" w:cs="Arial"/>
          <w:b/>
          <w:color w:val="000000"/>
          <w:sz w:val="24"/>
          <w:u w:val="none"/>
        </w:rPr>
        <w:t xml:space="preserve">Crowding Out Resources:</w:t>
      </w:r>
      <w:r>
        <w:rPr>
          <w:rFonts w:ascii="Arial" w:hAnsi="Arial" w:eastAsia="Arial" w:cs="Arial"/>
          <w:color w:val="000000"/>
          <w:sz w:val="24"/>
          <w:u w:val="none"/>
        </w:rPr>
        <w:t xml:space="preserve"> As interest costs consume a larger share of federal revenue—already taking up over a third of all individual income taxes—less money is available for public priorities like infrastructure, defense, or education.</w:t>
      </w:r>
      <w:r>
        <w:rPr>
          <w:rFonts w:ascii="Arial" w:hAnsi="Arial" w:eastAsia="Arial" w:cs="Arial"/>
          <w:b w:val="0"/>
          <w:bCs w:val="0"/>
          <w:sz w:val="24"/>
        </w:rPr>
      </w:r>
      <w:r>
        <w:rPr>
          <w:rFonts w:ascii="Arial" w:hAnsi="Arial" w:eastAsia="Arial" w:cs="Arial"/>
          <w:b w:val="0"/>
          <w:bCs w:val="0"/>
          <w:sz w:val="24"/>
          <w:szCs w:val="24"/>
        </w:rPr>
      </w:r>
    </w:p>
    <w:p w14:paraId="1B51D4ED">
      <w:pPr>
        <w:pBdr/>
        <w:shd w:val="nil" w:color="auto"/>
        <w:spacing/>
        <w:ind/>
        <w:rPr>
          <w:rFonts w:eastAsia="Arial" w:cs="Arial"/>
          <w:color w:val="000000" w:themeColor="text1"/>
          <w:sz w:val="24"/>
          <w:szCs w:val="24"/>
          <w:highlight w:val="none"/>
        </w:rPr>
      </w:pPr>
      <w:r>
        <w:rPr>
          <w:rFonts w:eastAsia="Arial" w:cs="Arial"/>
          <w:color w:val="000000" w:themeColor="text1"/>
          <w:sz w:val="24"/>
          <w:highlight w:val="none"/>
        </w:rPr>
        <w:br w:type="page" w:clear="all"/>
      </w:r>
      <w:r>
        <w:rPr>
          <w:rFonts w:eastAsia="Arial" w:cs="Arial"/>
          <w:color w:val="000000" w:themeColor="text1"/>
          <w:sz w:val="24"/>
          <w:highlight w:val="none"/>
        </w:rPr>
      </w:r>
      <w:r>
        <w:rPr>
          <w:rFonts w:eastAsia="Arial" w:cs="Arial"/>
          <w:color w:val="000000" w:themeColor="text1"/>
          <w:sz w:val="24"/>
          <w:szCs w:val="24"/>
          <w:highlight w:val="none"/>
        </w:rPr>
      </w:r>
    </w:p>
    <w:p w14:paraId="7781B15D">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Ending the Vicious Cycle</w:t>
      </w:r>
      <w:r>
        <w:rPr>
          <w:rFonts w:ascii="Arial" w:hAnsi="Arial" w:eastAsia="Arial" w:cs="Arial"/>
          <w:sz w:val="30"/>
        </w:rPr>
      </w:r>
      <w:r>
        <w:rPr>
          <w:rFonts w:ascii="Arial" w:hAnsi="Arial" w:eastAsia="Arial" w:cs="Arial"/>
          <w:sz w:val="30"/>
        </w:rPr>
      </w:r>
    </w:p>
    <w:p>
      <w:pPr>
        <w:pStyle w:val="738"/>
        <w:pBdr/>
        <w:spacing w:after="240" w:before="180"/>
        <w:ind w:right="0" w:firstLine="0" w:left="0"/>
        <w:rPr>
          <w:rFonts w:eastAsia="Arial" w:cs="Arial"/>
          <w:color w:val="000000" w:themeColor="text1"/>
          <w:sz w:val="24"/>
          <w:szCs w:val="24"/>
          <w:highlight w:val="none"/>
        </w:rPr>
      </w:pPr>
      <w:r>
        <w:rPr>
          <w:rFonts w:eastAsia="Arial" w:cs="Arial"/>
          <w:color w:val="000000" w:themeColor="text1"/>
          <w:sz w:val="24"/>
          <w:u w:val="none"/>
        </w:rPr>
        <w:t xml:space="preserve">Warren Buffett </w:t>
      </w:r>
      <w:r>
        <w:rPr>
          <w:rFonts w:eastAsia="Arial" w:cs="Arial"/>
          <w:b w:val="0"/>
          <w:bCs w:val="0"/>
          <w:color w:val="000000" w:themeColor="text1"/>
          <w:sz w:val="24"/>
          <w:u w:val="none"/>
        </w:rPr>
        <w:t xml:space="preserve">outlined his most famous plan to fix the U.S. deficit</w:t>
      </w:r>
      <w:r>
        <w:rPr>
          <w:rFonts w:eastAsia="Arial" w:cs="Arial"/>
          <w:color w:val="000000" w:themeColor="text1"/>
          <w:sz w:val="24"/>
        </w:rPr>
        <w:t xml:space="preserve"> during a </w:t>
      </w:r>
      <w:r>
        <w:rPr>
          <w:rFonts w:eastAsia="Arial" w:cs="Arial"/>
          <w:color w:val="000000" w:themeColor="text1"/>
          <w:sz w:val="24"/>
          <w:u w:val="none"/>
        </w:rPr>
        <w:t xml:space="preserve">CNBC</w:t>
      </w:r>
      <w:r>
        <w:rPr>
          <w:rFonts w:eastAsia="Arial" w:cs="Arial"/>
          <w:color w:val="000000" w:themeColor="text1"/>
          <w:sz w:val="24"/>
        </w:rPr>
        <w:t xml:space="preserve"> interview, stating:</w:t>
      </w:r>
      <w:r>
        <w:rPr>
          <w:rFonts w:ascii="Arial" w:hAnsi="Arial" w:eastAsia="Arial" w:cs="Arial"/>
          <w:color w:val="000000" w:themeColor="text1"/>
          <w:sz w:val="24"/>
        </w:rPr>
      </w:r>
      <w:r>
        <w:rPr>
          <w:rFonts w:eastAsia="Arial" w:cs="Arial"/>
          <w:color w:val="000000" w:themeColor="text1"/>
          <w:sz w:val="24"/>
          <w:szCs w:val="24"/>
          <w:highlight w:val="none"/>
        </w:rPr>
      </w:r>
    </w:p>
    <w:p>
      <w:pPr>
        <w:pStyle w:val="738"/>
        <w:pBdr/>
        <w:spacing w:after="0" w:before="0"/>
        <w:ind w:right="0" w:firstLine="0" w:left="0"/>
        <w:rPr/>
      </w:pPr>
      <w:r>
        <w:rPr>
          <w:rFonts w:eastAsia="Arial" w:cs="Arial"/>
          <w:i/>
          <w:color w:val="000000"/>
          <w:sz w:val="24"/>
          <w:u w:val="none"/>
        </w:rPr>
        <w:t xml:space="preserve">"I could end the deficit in five minutes. You just pass a law that says that any time there is a deficit of more than 3% of GDP, all sitting members of Congress are ineligible for reelection. Yeah, now you've got the incentives in the right place, right?"</w:t>
      </w:r>
      <w:r>
        <w:rPr>
          <w:rFonts w:eastAsia="Arial" w:cs="Arial"/>
          <w:color w:val="000000"/>
          <w:sz w:val="24"/>
        </w:rPr>
        <w:t xml:space="preserve"> </w:t>
      </w:r>
      <w:r>
        <w:rPr>
          <w:rFonts w:eastAsia="Arial" w:cs="Arial"/>
          <w:color w:val="000000"/>
          <w:sz w:val="24"/>
        </w:rPr>
      </w:r>
      <w:r/>
    </w:p>
    <w:p>
      <w:pPr>
        <w:pStyle w:val="738"/>
        <w:pBdr/>
        <w:spacing w:after="240" w:before="180"/>
        <w:ind w:right="0" w:firstLine="0" w:left="0"/>
        <w:rPr>
          <w:rFonts w:eastAsia="Arial" w:cs="Arial"/>
          <w:color w:val="000000"/>
          <w:sz w:val="24"/>
          <w:szCs w:val="24"/>
          <w:highlight w:val="none"/>
        </w:rPr>
      </w:pPr>
      <w:r>
        <w:rPr>
          <w:rFonts w:eastAsia="Arial" w:cs="Arial"/>
          <w:color w:val="000000"/>
          <w:sz w:val="24"/>
        </w:rPr>
        <w:t xml:space="preserve">Buffett's proposal focuses on holding lawmakers personally accountable for fiscal health, suggesting that passing legislation with strict consequences would immediately alter the incentives governing federal spending.</w:t>
      </w:r>
      <w:r>
        <w:rPr>
          <w:rFonts w:eastAsia="Arial" w:cs="Arial"/>
          <w:color w:val="000000"/>
          <w:sz w:val="24"/>
          <w:szCs w:val="24"/>
          <w:highlight w:val="none"/>
        </w:rPr>
      </w:r>
      <w:r>
        <w:rPr>
          <w:rFonts w:eastAsia="Arial" w:cs="Arial"/>
          <w:color w:val="000000"/>
          <w:sz w:val="24"/>
          <w:szCs w:val="24"/>
          <w:highlight w:val="none"/>
        </w:rPr>
      </w:r>
    </w:p>
    <w:p w14:paraId="6C675FC1">
      <w:pPr>
        <w:pStyle w:val="738"/>
        <w:pBdr/>
        <w:spacing w:after="240" w:before="180"/>
        <w:ind w:right="0" w:firstLine="0" w:left="0"/>
        <w:rPr>
          <w:rFonts w:eastAsia="Arial" w:cs="Arial"/>
          <w:color w:val="000000"/>
          <w:sz w:val="24"/>
          <w:szCs w:val="24"/>
          <w:highlight w:val="none"/>
        </w:rPr>
      </w:pPr>
      <w:r>
        <w:rPr>
          <w:rFonts w:eastAsia="Arial" w:cs="Arial"/>
          <w:color w:val="000000"/>
          <w:sz w:val="24"/>
          <w:szCs w:val="24"/>
          <w:highlight w:val="none"/>
        </w:rPr>
        <w:t xml:space="preserve">But we need budget surpluses to start whittling down the debt, so the following bill goes ever further.</w:t>
      </w:r>
      <w:r>
        <w:rPr>
          <w:rFonts w:eastAsia="Arial" w:cs="Arial"/>
          <w:color w:val="000000"/>
          <w:sz w:val="24"/>
          <w:szCs w:val="24"/>
          <w:highlight w:val="none"/>
        </w:rPr>
      </w:r>
      <w:r>
        <w:rPr>
          <w:rFonts w:eastAsia="Arial" w:cs="Arial"/>
          <w:color w:val="000000"/>
          <w:sz w:val="24"/>
          <w:szCs w:val="24"/>
          <w:highlight w:val="none"/>
        </w:rPr>
      </w:r>
    </w:p>
    <w:p w14:paraId="0310A5DA">
      <w:pPr>
        <w:pStyle w:val="741"/>
        <w:pBdr/>
        <w:spacing/>
        <w:ind/>
        <w:rPr>
          <w:b/>
          <w:bCs/>
          <w:sz w:val="32"/>
          <w:szCs w:val="32"/>
        </w:rPr>
      </w:pPr>
      <w:r>
        <w:rPr>
          <w:rFonts w:eastAsia="Arial" w:cs="Arial"/>
          <w:b/>
          <w:bCs/>
          <w:color w:val="000000"/>
          <w:sz w:val="32"/>
          <w:szCs w:val="32"/>
          <w:highlight w:val="none"/>
        </w:rPr>
      </w:r>
      <w:r>
        <w:rPr>
          <w:rFonts w:eastAsia="Arial" w:cs="Arial"/>
          <w:b/>
          <w:color w:val="000000"/>
          <w:sz w:val="32"/>
          <w:szCs w:val="32"/>
          <w:u w:val="none"/>
        </w:rPr>
        <w:t xml:space="preserve">Fiscal Responsibility and Congressional Accountability Act</w:t>
      </w:r>
      <w:r>
        <w:rPr>
          <w:b/>
          <w:bCs/>
          <w:sz w:val="32"/>
          <w:szCs w:val="32"/>
        </w:rPr>
      </w:r>
      <w:r>
        <w:rPr>
          <w:b/>
          <w:bCs/>
          <w:sz w:val="32"/>
          <w:szCs w:val="32"/>
        </w:rPr>
      </w:r>
    </w:p>
    <w:p>
      <w:pPr>
        <w:pStyle w:val="738"/>
        <w:pBdr/>
        <w:spacing w:after="240" w:before="180"/>
        <w:ind w:right="0" w:firstLine="0" w:left="0"/>
        <w:rPr>
          <w:rFonts w:eastAsia="Arial" w:cs="Arial"/>
          <w:color w:val="000000"/>
          <w:sz w:val="24"/>
          <w:szCs w:val="24"/>
          <w:highlight w:val="none"/>
        </w:rPr>
      </w:pPr>
      <w:r>
        <w:rPr>
          <w:rFonts w:eastAsia="Arial" w:cs="Arial"/>
          <w:color w:val="000000"/>
          <w:sz w:val="24"/>
        </w:rPr>
        <w:t xml:space="preserve">To amend title 3</w:t>
      </w:r>
      <w:r>
        <w:rPr>
          <w:rFonts w:eastAsia="Arial" w:cs="Arial"/>
          <w:color w:val="000000"/>
          <w:sz w:val="24"/>
        </w:rPr>
        <w:t xml:space="preserve">, United States Code, and the Federal Election Campaign Act of 1971, to establish statutory fiscal accountability for members of Congress by disqualifying sitting members from reelection during periods of excessive federal deficits.</w:t>
      </w:r>
      <w:r>
        <w:rPr>
          <w:rFonts w:eastAsia="Arial" w:cs="Arial"/>
          <w:color w:val="000000"/>
          <w:sz w:val="24"/>
          <w:szCs w:val="24"/>
          <w:highlight w:val="none"/>
        </w:rPr>
      </w:r>
      <w:r>
        <w:rPr>
          <w:rFonts w:eastAsia="Arial" w:cs="Arial"/>
          <w:color w:val="000000"/>
          <w:sz w:val="24"/>
          <w:szCs w:val="24"/>
          <w:highlight w:val="none"/>
        </w:rPr>
      </w:r>
    </w:p>
    <w:p>
      <w:pPr>
        <w:pStyle w:val="738"/>
        <w:pBdr/>
        <w:spacing w:after="240" w:before="180"/>
        <w:ind w:right="0" w:firstLine="0" w:left="0"/>
        <w:rPr/>
      </w:pPr>
      <w:r>
        <w:rPr>
          <w:rFonts w:eastAsia="Arial" w:cs="Arial"/>
          <w:i/>
          <w:color w:val="000000"/>
          <w:sz w:val="24"/>
          <w:u w:val="none"/>
        </w:rPr>
        <w:t xml:space="preserve">Be it enacted by the Senate and House of Representatives of the United States of America in Congress assembled,</w:t>
      </w:r>
      <w:r/>
    </w:p>
    <w:p>
      <w:pPr>
        <w:pStyle w:val="817"/>
        <w:pBdr/>
        <w:spacing/>
        <w:ind/>
        <w:rPr>
          <w:sz w:val="24"/>
          <w:szCs w:val="24"/>
        </w:rPr>
      </w:pPr>
      <w:r>
        <w:rPr>
          <w:rFonts w:eastAsia="Arial" w:cs="Arial"/>
          <w:b/>
          <w:color w:val="000000"/>
          <w:sz w:val="24"/>
          <w:szCs w:val="24"/>
        </w:rPr>
        <w:t xml:space="preserve">1. FINDINGS AND PURPOSE</w:t>
      </w:r>
      <w:r>
        <w:rPr>
          <w:sz w:val="24"/>
          <w:szCs w:val="24"/>
        </w:rPr>
      </w:r>
      <w:r>
        <w:rPr>
          <w:sz w:val="24"/>
          <w:szCs w:val="24"/>
        </w:rPr>
      </w:r>
    </w:p>
    <w:p>
      <w:pPr>
        <w:pStyle w:val="738"/>
        <w:pBdr/>
        <w:spacing w:after="240" w:before="180"/>
        <w:ind w:right="0" w:firstLine="0" w:left="0"/>
        <w:rPr>
          <w:rFonts w:eastAsia="Arial" w:cs="Arial"/>
          <w:color w:val="000000"/>
          <w:sz w:val="24"/>
          <w:szCs w:val="24"/>
          <w:highlight w:val="none"/>
        </w:rPr>
      </w:pPr>
      <w:r>
        <w:rPr>
          <w:rFonts w:eastAsia="Arial" w:cs="Arial"/>
          <w:color w:val="000000"/>
          <w:sz w:val="24"/>
        </w:rPr>
        <w:t xml:space="preserve">The purpose of this Act is to align the personal electoral incentives of members of Congress with the fiscal health of the United States by establishing immediate political consequences for structural federal deficits.</w:t>
      </w:r>
      <w:r>
        <w:rPr>
          <w:rFonts w:eastAsia="Arial" w:cs="Arial"/>
          <w:color w:val="000000"/>
          <w:sz w:val="24"/>
          <w:szCs w:val="24"/>
          <w:highlight w:val="none"/>
        </w:rPr>
      </w:r>
      <w:r>
        <w:rPr>
          <w:rFonts w:eastAsia="Arial" w:cs="Arial"/>
          <w:color w:val="000000"/>
          <w:sz w:val="24"/>
          <w:szCs w:val="24"/>
          <w:highlight w:val="none"/>
        </w:rPr>
      </w:r>
    </w:p>
    <w:p>
      <w:pPr>
        <w:pStyle w:val="741"/>
        <w:pBdr/>
        <w:spacing/>
        <w:ind/>
        <w:rPr>
          <w:sz w:val="24"/>
          <w:szCs w:val="24"/>
        </w:rPr>
      </w:pPr>
      <w:r>
        <w:rPr>
          <w:rFonts w:eastAsia="Arial" w:cs="Arial"/>
          <w:b/>
          <w:color w:val="000000"/>
          <w:sz w:val="24"/>
          <w:szCs w:val="24"/>
        </w:rPr>
        <w:t xml:space="preserve">2. RE-ELECTION INELIGIBILITY FOR FISCAL RESPONSIBILITY FAILURE.</w:t>
      </w:r>
      <w:r>
        <w:rPr>
          <w:sz w:val="24"/>
          <w:szCs w:val="24"/>
        </w:rPr>
      </w:r>
      <w:r>
        <w:rPr>
          <w:sz w:val="24"/>
          <w:szCs w:val="24"/>
        </w:rPr>
      </w:r>
    </w:p>
    <w:p>
      <w:pPr>
        <w:pStyle w:val="738"/>
        <w:pBdr/>
        <w:spacing w:after="240" w:before="180"/>
        <w:ind w:right="0" w:firstLine="0" w:left="0"/>
        <w:rPr/>
      </w:pPr>
      <w:r>
        <w:rPr>
          <w:rFonts w:eastAsia="Arial" w:cs="Arial"/>
          <w:color w:val="000000"/>
          <w:sz w:val="24"/>
        </w:rPr>
        <w:t xml:space="preserve">(a) </w:t>
      </w:r>
      <w:r>
        <w:rPr>
          <w:rFonts w:eastAsia="Arial" w:cs="Arial"/>
          <w:b/>
          <w:color w:val="000000"/>
          <w:sz w:val="24"/>
          <w:u w:val="none"/>
        </w:rPr>
        <w:t xml:space="preserve">Ineligibility Trigger.</w:t>
      </w:r>
      <w:r>
        <w:rPr>
          <w:rFonts w:eastAsia="Arial" w:cs="Arial"/>
          <w:color w:val="000000"/>
          <w:sz w:val="24"/>
        </w:rPr>
        <w:t xml:space="preserve">—Notwithstanding any other provision of law, if the total federal budget deficit for any given fiscal year exceeds the Gross Domestic Product (GDP) of the United States for </w:t>
      </w:r>
      <w:r>
        <w:rPr>
          <w:rFonts w:eastAsia="Arial" w:cs="Arial"/>
          <w:color w:val="000000"/>
          <w:sz w:val="24"/>
        </w:rPr>
        <w:t xml:space="preserve">that same fiscal year, all individuals who served as members of the Senate or the House of Representatives during that fiscal year shall be immediately ineligible to run for re-election or election to any seat in the Senate or the House of Representatives.</w:t>
      </w:r>
      <w:r/>
    </w:p>
    <w:p>
      <w:pPr>
        <w:pStyle w:val="738"/>
        <w:pBdr/>
        <w:spacing w:after="240" w:before="180"/>
        <w:ind w:right="0" w:firstLine="0" w:left="0"/>
        <w:rPr/>
      </w:pPr>
      <w:r>
        <w:rPr>
          <w:rFonts w:eastAsia="Arial" w:cs="Arial"/>
          <w:color w:val="000000"/>
          <w:sz w:val="24"/>
        </w:rPr>
        <w:t xml:space="preserve">(b) </w:t>
      </w:r>
      <w:r>
        <w:rPr>
          <w:rFonts w:eastAsia="Arial" w:cs="Arial"/>
          <w:b/>
          <w:color w:val="000000"/>
          <w:sz w:val="24"/>
          <w:u w:val="none"/>
        </w:rPr>
        <w:t xml:space="preserve">Determination of Deficit and GDP</w:t>
      </w:r>
      <w:r>
        <w:rPr>
          <w:rFonts w:eastAsia="Arial" w:cs="Arial"/>
          <w:color w:val="000000"/>
          <w:sz w:val="24"/>
        </w:rPr>
      </w:r>
      <w:r/>
    </w:p>
    <w:p>
      <w:pPr>
        <w:pStyle w:val="816"/>
        <w:numPr>
          <w:ilvl w:val="0"/>
          <w:numId w:val="1"/>
        </w:numPr>
        <w:pBdr/>
        <w:spacing w:after="0" w:before="0"/>
        <w:ind w:right="0" w:hanging="360" w:left="709"/>
        <w:contextualSpacing w:val="true"/>
        <w:rPr/>
      </w:pPr>
      <w:r>
        <w:rPr>
          <w:rFonts w:eastAsia="Arial" w:cs="Arial"/>
          <w:b/>
          <w:color w:val="000000"/>
          <w:sz w:val="24"/>
          <w:u w:val="none"/>
        </w:rPr>
        <w:t xml:space="preserve">Reporting Agency.</w:t>
      </w:r>
      <w:r>
        <w:rPr>
          <w:rFonts w:eastAsia="Arial" w:cs="Arial"/>
          <w:color w:val="000000"/>
          <w:sz w:val="24"/>
          <w:u w:val="none"/>
        </w:rPr>
        <w:t xml:space="preserve">—The Director of the </w:t>
      </w:r>
      <w:hyperlink r:id="rId9" w:tooltip="https://www.cbo.gov/" w:history="1">
        <w:r>
          <w:rPr>
            <w:rStyle w:val="777"/>
            <w:rFonts w:eastAsia="Arial" w:cs="Arial"/>
            <w:b/>
            <w:color w:val="0000ee"/>
            <w:sz w:val="24"/>
            <w:u w:val="single"/>
          </w:rPr>
          <w:t xml:space="preserve">Congressional Budget Office (CBO)</w:t>
        </w:r>
      </w:hyperlink>
      <w:r>
        <w:rPr>
          <w:rFonts w:eastAsia="Arial" w:cs="Arial"/>
          <w:color w:val="000000"/>
          <w:sz w:val="24"/>
          <w:u w:val="none"/>
        </w:rPr>
        <w:t xml:space="preserve">, in consultation with the Bureau of Economic Analysis (BEA), shall issue a final, audited fiscal report within thirty (30) days following the end of each fiscal year.</w:t>
      </w:r>
      <w:r/>
    </w:p>
    <w:p>
      <w:pPr>
        <w:pStyle w:val="816"/>
        <w:numPr>
          <w:ilvl w:val="0"/>
          <w:numId w:val="1"/>
        </w:numPr>
        <w:pBdr/>
        <w:spacing w:after="180" w:before="0"/>
        <w:ind w:right="0" w:hanging="360" w:left="709"/>
        <w:contextualSpacing w:val="true"/>
        <w:rPr/>
      </w:pPr>
      <w:r>
        <w:rPr>
          <w:rFonts w:eastAsia="Arial" w:cs="Arial"/>
          <w:b/>
          <w:color w:val="000000"/>
          <w:sz w:val="24"/>
          <w:u w:val="none"/>
        </w:rPr>
        <w:t xml:space="preserve">Certification.</w:t>
      </w:r>
      <w:r>
        <w:rPr>
          <w:rFonts w:eastAsia="Arial" w:cs="Arial"/>
          <w:color w:val="000000"/>
          <w:sz w:val="24"/>
          <w:u w:val="none"/>
        </w:rPr>
        <w:t xml:space="preserve">—The report must certify the exact federal surplus as a percentage of that fiscal year's nominal GDP.</w:t>
      </w:r>
      <w:r/>
    </w:p>
    <w:p>
      <w:pPr>
        <w:pStyle w:val="738"/>
        <w:pBdr/>
        <w:spacing w:after="240" w:before="180"/>
        <w:ind w:right="0" w:firstLine="0" w:left="0"/>
        <w:rPr/>
      </w:pPr>
      <w:r>
        <w:rPr>
          <w:rFonts w:eastAsia="Arial" w:cs="Arial"/>
          <w:color w:val="000000"/>
          <w:sz w:val="24"/>
        </w:rPr>
        <w:t xml:space="preserve">(c) </w:t>
      </w:r>
      <w:r>
        <w:rPr>
          <w:rFonts w:eastAsia="Arial" w:cs="Arial"/>
          <w:b/>
          <w:color w:val="000000"/>
          <w:sz w:val="24"/>
          <w:u w:val="none"/>
        </w:rPr>
        <w:t xml:space="preserve">Enforcement by Election Authorities.</w:t>
      </w:r>
      <w:r>
        <w:rPr>
          <w:rFonts w:eastAsia="Arial" w:cs="Arial"/>
          <w:color w:val="000000"/>
          <w:sz w:val="24"/>
        </w:rPr>
        <w:t xml:space="preserve">—</w:t>
      </w:r>
      <w:r/>
    </w:p>
    <w:p>
      <w:pPr>
        <w:pStyle w:val="816"/>
        <w:numPr>
          <w:ilvl w:val="0"/>
          <w:numId w:val="1"/>
        </w:numPr>
        <w:pBdr/>
        <w:spacing w:after="0" w:before="0"/>
        <w:ind w:right="0" w:hanging="360" w:left="709"/>
        <w:contextualSpacing w:val="true"/>
        <w:rPr/>
      </w:pPr>
      <w:r>
        <w:rPr>
          <w:rFonts w:eastAsia="Arial" w:cs="Arial"/>
          <w:b/>
          <w:color w:val="000000"/>
          <w:sz w:val="24"/>
          <w:u w:val="none"/>
        </w:rPr>
        <w:t xml:space="preserve">Federal Election Commission (FEC).</w:t>
      </w:r>
      <w:r>
        <w:rPr>
          <w:rFonts w:eastAsia="Arial" w:cs="Arial"/>
          <w:color w:val="000000"/>
          <w:sz w:val="24"/>
          <w:u w:val="none"/>
        </w:rPr>
        <w:t xml:space="preserve">—Upon certification that the deficit exceeded the budget, the FEC shall ban affected individuals from registering political committees or raising funds for future congressional campaigns.</w:t>
      </w:r>
      <w:r/>
    </w:p>
    <w:p>
      <w:pPr>
        <w:pStyle w:val="816"/>
        <w:numPr>
          <w:ilvl w:val="0"/>
          <w:numId w:val="1"/>
        </w:numPr>
        <w:pBdr/>
        <w:spacing w:after="180" w:before="0"/>
        <w:ind w:right="0" w:hanging="360" w:left="709"/>
        <w:contextualSpacing w:val="true"/>
        <w:rPr/>
      </w:pPr>
      <w:r>
        <w:rPr>
          <w:rFonts w:eastAsia="Arial" w:cs="Arial"/>
          <w:b/>
          <w:color w:val="000000"/>
          <w:sz w:val="24"/>
          <w:u w:val="none"/>
        </w:rPr>
        <w:t xml:space="preserve">State Authorities.</w:t>
      </w:r>
      <w:r>
        <w:rPr>
          <w:rFonts w:eastAsia="Arial" w:cs="Arial"/>
          <w:color w:val="000000"/>
          <w:sz w:val="24"/>
          <w:u w:val="none"/>
        </w:rPr>
        <w:t xml:space="preserve">—Chief election officers of each State shall refuse to place the name of any ineligible individual on any primary, general, or special election ballot for federal office.</w:t>
      </w:r>
      <w:r/>
    </w:p>
    <w:p w14:paraId="26DC0F74">
      <w:pPr>
        <w:pBdr/>
        <w:spacing w:after="180" w:before="0"/>
        <w:ind w:right="0" w:firstLine="0" w:left="709"/>
        <w:contextualSpacing w:val="true"/>
        <w:rPr/>
      </w:pPr>
      <w:r>
        <w:rPr>
          <w:rFonts w:eastAsia="Arial" w:cs="Arial"/>
          <w:color w:val="000000"/>
          <w:sz w:val="24"/>
          <w:highlight w:val="none"/>
          <w:u w:val="none"/>
        </w:rPr>
      </w:r>
      <w:r>
        <w:rPr>
          <w:rFonts w:eastAsia="Arial" w:cs="Arial"/>
          <w:color w:val="000000"/>
          <w:sz w:val="24"/>
          <w:highlight w:val="none"/>
          <w:u w:val="none"/>
        </w:rPr>
      </w:r>
      <w:r/>
    </w:p>
    <w:p>
      <w:pPr>
        <w:pStyle w:val="817"/>
        <w:pBdr/>
        <w:spacing/>
        <w:ind/>
        <w:rPr>
          <w:sz w:val="24"/>
          <w:szCs w:val="24"/>
        </w:rPr>
      </w:pPr>
      <w:r>
        <w:rPr>
          <w:rFonts w:eastAsia="Arial" w:cs="Arial"/>
          <w:b/>
          <w:color w:val="000000"/>
          <w:sz w:val="24"/>
          <w:szCs w:val="24"/>
        </w:rPr>
        <w:t xml:space="preserve">3. EXCEPTIONS AND EXEMPTIONS</w:t>
      </w:r>
      <w:r>
        <w:rPr>
          <w:sz w:val="24"/>
          <w:szCs w:val="24"/>
        </w:rPr>
      </w:r>
      <w:r>
        <w:rPr>
          <w:sz w:val="24"/>
          <w:szCs w:val="24"/>
        </w:rPr>
      </w:r>
    </w:p>
    <w:p>
      <w:pPr>
        <w:pStyle w:val="738"/>
        <w:pBdr/>
        <w:spacing w:after="240" w:before="180"/>
        <w:ind w:right="0" w:firstLine="0" w:left="0"/>
        <w:rPr/>
      </w:pPr>
      <w:r>
        <w:rPr>
          <w:rFonts w:eastAsia="Arial" w:cs="Arial"/>
          <w:color w:val="000000"/>
          <w:sz w:val="24"/>
        </w:rPr>
        <w:t xml:space="preserve">(a) </w:t>
      </w:r>
      <w:r>
        <w:rPr>
          <w:rFonts w:eastAsia="Arial" w:cs="Arial"/>
          <w:b/>
          <w:color w:val="000000"/>
          <w:sz w:val="24"/>
          <w:u w:val="none"/>
        </w:rPr>
        <w:t xml:space="preserve">Declaration of War.</w:t>
      </w:r>
      <w:r>
        <w:rPr>
          <w:rFonts w:eastAsia="Arial" w:cs="Arial"/>
          <w:color w:val="000000"/>
          <w:sz w:val="24"/>
        </w:rPr>
        <w:t xml:space="preserve">—The provisions of Section 3 shall not apply if a formal declaration of war against a foreign nation is in effect pursuant to Article I, Section 8, Clause 11 of the United States Constitution during more than 180 days of the applicable fiscal year.</w:t>
      </w:r>
      <w:r/>
    </w:p>
    <w:p>
      <w:pPr>
        <w:pStyle w:val="738"/>
        <w:pBdr/>
        <w:spacing w:after="240" w:before="180"/>
        <w:ind w:right="0" w:firstLine="0" w:left="0"/>
        <w:rPr/>
      </w:pPr>
      <w: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503020204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lvl w:ilvl="0">
      <w:isLgl w:val="false"/>
      <w:lvlJc w:val="left"/>
      <w:lvlText w:val=""/>
      <w:numFmt w:val="none"/>
      <w:pPr>
        <w:pBdr/>
        <w:spacing/>
        <w:ind w:firstLine="0" w:left="0"/>
      </w:pPr>
      <w:rPr/>
      <w:start w:val="1"/>
      <w:suff w:val="nothing"/>
    </w:lvl>
    <w:lvl w:ilvl="1">
      <w:isLgl w:val="false"/>
      <w:lvlJc w:val="left"/>
      <w:lvlText w:val=""/>
      <w:numFmt w:val="none"/>
      <w:pPr>
        <w:pBdr/>
        <w:spacing/>
        <w:ind w:firstLine="0" w:left="0"/>
      </w:pPr>
      <w:rPr/>
      <w:start w:val="1"/>
      <w:suff w:val="nothing"/>
    </w:lvl>
    <w:lvl w:ilvl="2">
      <w:isLgl w:val="false"/>
      <w:lvlJc w:val="left"/>
      <w:lvlText w:val=""/>
      <w:numFmt w:val="none"/>
      <w:pPr>
        <w:pBdr/>
        <w:spacing/>
        <w:ind w:firstLine="0" w:left="0"/>
      </w:pPr>
      <w:rPr/>
      <w:start w:val="1"/>
      <w:suff w:val="nothing"/>
    </w:lvl>
    <w:lvl w:ilvl="3">
      <w:isLgl w:val="false"/>
      <w:lvlJc w:val="left"/>
      <w:lvlText w:val=""/>
      <w:numFmt w:val="none"/>
      <w:pPr>
        <w:pBdr/>
        <w:spacing/>
        <w:ind w:firstLine="0" w:left="0"/>
      </w:pPr>
      <w:rPr/>
      <w:start w:val="1"/>
      <w:suff w:val="nothing"/>
    </w:lvl>
    <w:lvl w:ilvl="4">
      <w:isLgl w:val="false"/>
      <w:lvlJc w:val="left"/>
      <w:lvlText w:val=""/>
      <w:numFmt w:val="none"/>
      <w:pPr>
        <w:pBdr/>
        <w:spacing/>
        <w:ind w:firstLine="0" w:left="0"/>
      </w:pPr>
      <w:rPr/>
      <w:start w:val="1"/>
      <w:suff w:val="nothing"/>
    </w:lvl>
    <w:lvl w:ilvl="5">
      <w:isLgl w:val="false"/>
      <w:lvlJc w:val="left"/>
      <w:lvlText w:val=""/>
      <w:numFmt w:val="none"/>
      <w:pPr>
        <w:pBdr/>
        <w:spacing/>
        <w:ind w:firstLine="0" w:left="0"/>
      </w:pPr>
      <w:rPr/>
      <w:start w:val="1"/>
      <w:suff w:val="nothing"/>
    </w:lvl>
    <w:lvl w:ilvl="6">
      <w:isLgl w:val="false"/>
      <w:lvlJc w:val="left"/>
      <w:lvlText w:val=""/>
      <w:numFmt w:val="none"/>
      <w:pPr>
        <w:pBdr/>
        <w:spacing/>
        <w:ind w:firstLine="0" w:left="0"/>
      </w:pPr>
      <w:rPr/>
      <w:start w:val="1"/>
      <w:suff w:val="nothing"/>
    </w:lvl>
    <w:lvl w:ilvl="7">
      <w:isLgl w:val="false"/>
      <w:lvlJc w:val="left"/>
      <w:lvlText w:val=""/>
      <w:numFmt w:val="none"/>
      <w:pPr>
        <w:pBdr/>
        <w:spacing/>
        <w:ind w:firstLine="0" w:left="0"/>
      </w:pPr>
      <w:rPr/>
      <w:start w:val="1"/>
      <w:suff w:val="nothing"/>
    </w:lvl>
    <w:lvl w:ilvl="8">
      <w:isLgl w:val="false"/>
      <w:lvlJc w:val="left"/>
      <w:lvlText w:val=""/>
      <w:numFmt w:val="none"/>
      <w:pPr>
        <w:pBdr/>
        <w:spacing/>
        <w:ind w:firstLine="0" w:left="0"/>
      </w:pPr>
      <w:rPr/>
      <w:start w:val="1"/>
      <w:suff w:val="nothing"/>
    </w:lvl>
  </w:abstractNum>
  <w:abstractNum w:abstractNumId="2">
    <w:nsid w:val="35F26F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20495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DEA55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12223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51E75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10027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51E75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720495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10027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3D3FE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0027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3D3FE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0027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0027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FEC99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35">
    <w:name w:val="footnote reference"/>
    <w:basedOn w:val="748"/>
    <w:uiPriority w:val="99"/>
    <w:semiHidden/>
    <w:unhideWhenUsed/>
    <w:pPr>
      <w:pBdr/>
      <w:spacing/>
      <w:ind/>
    </w:pPr>
    <w:rPr>
      <w:vertAlign w:val="superscript"/>
    </w:rPr>
  </w:style>
  <w:style w:type="character" w:styleId="736">
    <w:name w:val="endnote reference"/>
    <w:basedOn w:val="748"/>
    <w:uiPriority w:val="99"/>
    <w:semiHidden/>
    <w:unhideWhenUsed/>
    <w:pPr>
      <w:pBdr/>
      <w:spacing/>
      <w:ind/>
    </w:pPr>
    <w:rPr>
      <w:vertAlign w:val="superscript"/>
    </w:rPr>
  </w:style>
  <w:style w:type="character" w:styleId="737">
    <w:name w:val="Hyperlink"/>
    <w:basedOn w:val="748"/>
    <w:uiPriority w:val="99"/>
    <w:unhideWhenUsed/>
    <w:pPr>
      <w:pBdr/>
      <w:spacing/>
      <w:ind/>
    </w:pPr>
    <w:rPr>
      <w:color w:val="0563c1" w:themeColor="hyperlink"/>
      <w:u w:val="single"/>
    </w:rPr>
  </w:style>
  <w:style w:type="paragraph" w:styleId="738" w:default="1">
    <w:name w:val="Normal"/>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39">
    <w:name w:val="Heading 1"/>
    <w:basedOn w:val="738"/>
    <w:next w:val="73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40">
    <w:name w:val="Heading 2"/>
    <w:basedOn w:val="738"/>
    <w:next w:val="7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41">
    <w:name w:val="Heading 3"/>
    <w:basedOn w:val="738"/>
    <w:next w:val="7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42">
    <w:name w:val="Heading 4"/>
    <w:basedOn w:val="738"/>
    <w:next w:val="7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43">
    <w:name w:val="Heading 5"/>
    <w:basedOn w:val="738"/>
    <w:next w:val="73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44">
    <w:name w:val="Heading 6"/>
    <w:basedOn w:val="738"/>
    <w:next w:val="73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45">
    <w:name w:val="Heading 7"/>
    <w:basedOn w:val="738"/>
    <w:next w:val="73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46">
    <w:name w:val="Heading 8"/>
    <w:basedOn w:val="738"/>
    <w:next w:val="738"/>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47">
    <w:name w:val="Heading 9"/>
    <w:basedOn w:val="738"/>
    <w:next w:val="738"/>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48" w:default="1">
    <w:name w:val="Default Paragraph Font"/>
    <w:uiPriority w:val="1"/>
    <w:semiHidden/>
    <w:unhideWhenUsed/>
    <w:qFormat/>
    <w:pPr>
      <w:pBdr/>
      <w:spacing/>
      <w:ind/>
    </w:pPr>
  </w:style>
  <w:style w:type="character" w:styleId="749">
    <w:name w:val="Heading 1 Char"/>
    <w:basedOn w:val="748"/>
    <w:uiPriority w:val="9"/>
    <w:qFormat/>
    <w:pPr>
      <w:pBdr/>
      <w:spacing/>
      <w:ind/>
    </w:pPr>
    <w:rPr>
      <w:rFonts w:ascii="Arial" w:hAnsi="Arial" w:eastAsia="Arial" w:cs="Arial"/>
      <w:color w:val="0f4761" w:themeColor="accent1" w:themeShade="BF"/>
      <w:sz w:val="40"/>
      <w:szCs w:val="40"/>
    </w:rPr>
  </w:style>
  <w:style w:type="character" w:styleId="750">
    <w:name w:val="Heading 2 Char"/>
    <w:basedOn w:val="748"/>
    <w:uiPriority w:val="9"/>
    <w:qFormat/>
    <w:pPr>
      <w:pBdr/>
      <w:spacing/>
      <w:ind/>
    </w:pPr>
    <w:rPr>
      <w:rFonts w:ascii="Arial" w:hAnsi="Arial" w:eastAsia="Arial" w:cs="Arial"/>
      <w:color w:val="0f4761" w:themeColor="accent1" w:themeShade="BF"/>
      <w:sz w:val="32"/>
      <w:szCs w:val="32"/>
    </w:rPr>
  </w:style>
  <w:style w:type="character" w:styleId="751">
    <w:name w:val="Heading 3 Char"/>
    <w:basedOn w:val="748"/>
    <w:uiPriority w:val="9"/>
    <w:qFormat/>
    <w:pPr>
      <w:pBdr/>
      <w:spacing/>
      <w:ind/>
    </w:pPr>
    <w:rPr>
      <w:rFonts w:ascii="Arial" w:hAnsi="Arial" w:eastAsia="Arial" w:cs="Arial"/>
      <w:color w:val="0f4761" w:themeColor="accent1" w:themeShade="BF"/>
      <w:sz w:val="28"/>
      <w:szCs w:val="28"/>
    </w:rPr>
  </w:style>
  <w:style w:type="character" w:styleId="752">
    <w:name w:val="Heading 4 Char"/>
    <w:basedOn w:val="748"/>
    <w:uiPriority w:val="9"/>
    <w:qFormat/>
    <w:pPr>
      <w:pBdr/>
      <w:spacing/>
      <w:ind/>
    </w:pPr>
    <w:rPr>
      <w:rFonts w:ascii="Arial" w:hAnsi="Arial" w:eastAsia="Arial" w:cs="Arial"/>
      <w:i/>
      <w:iCs/>
      <w:color w:val="0f4761" w:themeColor="accent1" w:themeShade="BF"/>
    </w:rPr>
  </w:style>
  <w:style w:type="character" w:styleId="753">
    <w:name w:val="Heading 5 Char"/>
    <w:basedOn w:val="748"/>
    <w:uiPriority w:val="9"/>
    <w:qFormat/>
    <w:pPr>
      <w:pBdr/>
      <w:spacing/>
      <w:ind/>
    </w:pPr>
    <w:rPr>
      <w:rFonts w:ascii="Arial" w:hAnsi="Arial" w:eastAsia="Arial" w:cs="Arial"/>
      <w:color w:val="0f4761" w:themeColor="accent1" w:themeShade="BF"/>
    </w:rPr>
  </w:style>
  <w:style w:type="character" w:styleId="754">
    <w:name w:val="Heading 6 Char"/>
    <w:basedOn w:val="748"/>
    <w:uiPriority w:val="9"/>
    <w:qFormat/>
    <w:pPr>
      <w:pBdr/>
      <w:spacing/>
      <w:ind/>
    </w:pPr>
    <w:rPr>
      <w:rFonts w:ascii="Arial" w:hAnsi="Arial" w:eastAsia="Arial" w:cs="Arial"/>
      <w:i/>
      <w:iCs/>
      <w:color w:val="595959" w:themeColor="text1" w:themeTint="A6"/>
    </w:rPr>
  </w:style>
  <w:style w:type="character" w:styleId="755">
    <w:name w:val="Heading 7 Char"/>
    <w:basedOn w:val="748"/>
    <w:uiPriority w:val="9"/>
    <w:qFormat/>
    <w:pPr>
      <w:pBdr/>
      <w:spacing/>
      <w:ind/>
    </w:pPr>
    <w:rPr>
      <w:rFonts w:ascii="Arial" w:hAnsi="Arial" w:eastAsia="Arial" w:cs="Arial"/>
      <w:color w:val="595959" w:themeColor="text1" w:themeTint="A6"/>
    </w:rPr>
  </w:style>
  <w:style w:type="character" w:styleId="756">
    <w:name w:val="Heading 8 Char"/>
    <w:basedOn w:val="748"/>
    <w:uiPriority w:val="9"/>
    <w:qFormat/>
    <w:pPr>
      <w:pBdr/>
      <w:spacing/>
      <w:ind/>
    </w:pPr>
    <w:rPr>
      <w:rFonts w:ascii="Arial" w:hAnsi="Arial" w:eastAsia="Arial" w:cs="Arial"/>
      <w:i/>
      <w:iCs/>
      <w:color w:val="272727" w:themeColor="text1" w:themeTint="D8"/>
    </w:rPr>
  </w:style>
  <w:style w:type="character" w:styleId="757">
    <w:name w:val="Heading 9 Char"/>
    <w:basedOn w:val="748"/>
    <w:uiPriority w:val="9"/>
    <w:qFormat/>
    <w:pPr>
      <w:pBdr/>
      <w:spacing/>
      <w:ind/>
    </w:pPr>
    <w:rPr>
      <w:rFonts w:ascii="Arial" w:hAnsi="Arial" w:eastAsia="Arial" w:cs="Arial"/>
      <w:i/>
      <w:iCs/>
      <w:color w:val="272727" w:themeColor="text1" w:themeTint="D8"/>
    </w:rPr>
  </w:style>
  <w:style w:type="character" w:styleId="758">
    <w:name w:val="Title Char"/>
    <w:basedOn w:val="748"/>
    <w:uiPriority w:val="10"/>
    <w:qFormat/>
    <w:pPr>
      <w:pBdr/>
      <w:spacing/>
      <w:ind/>
    </w:pPr>
    <w:rPr>
      <w:rFonts w:ascii="Arial" w:hAnsi="Arial" w:eastAsia="Arial" w:cs="Arial"/>
      <w:spacing w:val="-10"/>
      <w:sz w:val="56"/>
      <w:szCs w:val="56"/>
    </w:rPr>
  </w:style>
  <w:style w:type="character" w:styleId="759">
    <w:name w:val="Subtitle Char"/>
    <w:basedOn w:val="748"/>
    <w:uiPriority w:val="11"/>
    <w:qFormat/>
    <w:pPr>
      <w:pBdr/>
      <w:spacing/>
      <w:ind/>
    </w:pPr>
    <w:rPr>
      <w:color w:val="595959" w:themeColor="text1" w:themeTint="A6"/>
      <w:spacing w:val="15"/>
      <w:sz w:val="28"/>
      <w:szCs w:val="28"/>
    </w:rPr>
  </w:style>
  <w:style w:type="character" w:styleId="760">
    <w:name w:val="Quote Char"/>
    <w:basedOn w:val="748"/>
    <w:uiPriority w:val="29"/>
    <w:qFormat/>
    <w:pPr>
      <w:pBdr/>
      <w:spacing/>
      <w:ind/>
    </w:pPr>
    <w:rPr>
      <w:i/>
      <w:iCs/>
      <w:color w:val="404040" w:themeColor="text1" w:themeTint="BF"/>
    </w:rPr>
  </w:style>
  <w:style w:type="character" w:styleId="761">
    <w:name w:val="Intense Emphasis"/>
    <w:basedOn w:val="748"/>
    <w:uiPriority w:val="21"/>
    <w:qFormat/>
    <w:pPr>
      <w:pBdr/>
      <w:spacing/>
      <w:ind/>
    </w:pPr>
    <w:rPr>
      <w:i/>
      <w:iCs/>
      <w:color w:val="0f4761" w:themeColor="accent1" w:themeShade="BF"/>
    </w:rPr>
  </w:style>
  <w:style w:type="character" w:styleId="762">
    <w:name w:val="Intense Quote Char"/>
    <w:basedOn w:val="748"/>
    <w:uiPriority w:val="30"/>
    <w:qFormat/>
    <w:pPr>
      <w:pBdr/>
      <w:spacing/>
      <w:ind/>
    </w:pPr>
    <w:rPr>
      <w:i/>
      <w:iCs/>
      <w:color w:val="0f4761" w:themeColor="accent1" w:themeShade="BF"/>
    </w:rPr>
  </w:style>
  <w:style w:type="character" w:styleId="763">
    <w:name w:val="Intense Reference"/>
    <w:basedOn w:val="748"/>
    <w:uiPriority w:val="32"/>
    <w:qFormat/>
    <w:pPr>
      <w:pBdr/>
      <w:spacing/>
      <w:ind/>
    </w:pPr>
    <w:rPr>
      <w:b/>
      <w:bCs/>
      <w:smallCaps/>
      <w:color w:val="0f4761" w:themeColor="accent1" w:themeShade="BF"/>
      <w:spacing w:val="5"/>
    </w:rPr>
  </w:style>
  <w:style w:type="character" w:styleId="764">
    <w:name w:val="Subtle Emphasis"/>
    <w:basedOn w:val="748"/>
    <w:uiPriority w:val="19"/>
    <w:qFormat/>
    <w:pPr>
      <w:pBdr/>
      <w:spacing/>
      <w:ind/>
    </w:pPr>
    <w:rPr>
      <w:i/>
      <w:iCs/>
      <w:color w:val="404040" w:themeColor="text1" w:themeTint="BF"/>
    </w:rPr>
  </w:style>
  <w:style w:type="character" w:styleId="765">
    <w:name w:val="Emphasis"/>
    <w:basedOn w:val="748"/>
    <w:uiPriority w:val="20"/>
    <w:qFormat/>
    <w:pPr>
      <w:pBdr/>
      <w:spacing/>
      <w:ind/>
    </w:pPr>
    <w:rPr>
      <w:i/>
      <w:iCs/>
    </w:rPr>
  </w:style>
  <w:style w:type="character" w:styleId="766">
    <w:name w:val="Strong"/>
    <w:basedOn w:val="748"/>
    <w:uiPriority w:val="22"/>
    <w:qFormat/>
    <w:pPr>
      <w:pBdr/>
      <w:spacing/>
      <w:ind/>
    </w:pPr>
    <w:rPr>
      <w:b/>
      <w:bCs/>
    </w:rPr>
  </w:style>
  <w:style w:type="character" w:styleId="767">
    <w:name w:val="Subtle Reference"/>
    <w:basedOn w:val="748"/>
    <w:uiPriority w:val="31"/>
    <w:qFormat/>
    <w:pPr>
      <w:pBdr/>
      <w:spacing/>
      <w:ind/>
    </w:pPr>
    <w:rPr>
      <w:smallCaps/>
      <w:color w:val="5a5a5a" w:themeColor="text1" w:themeTint="A5"/>
    </w:rPr>
  </w:style>
  <w:style w:type="character" w:styleId="768">
    <w:name w:val="Book Title"/>
    <w:basedOn w:val="748"/>
    <w:uiPriority w:val="33"/>
    <w:qFormat/>
    <w:pPr>
      <w:pBdr/>
      <w:spacing/>
      <w:ind/>
    </w:pPr>
    <w:rPr>
      <w:b/>
      <w:bCs/>
      <w:i/>
      <w:iCs/>
      <w:spacing w:val="5"/>
    </w:rPr>
  </w:style>
  <w:style w:type="character" w:styleId="769">
    <w:name w:val="Header Char"/>
    <w:basedOn w:val="748"/>
    <w:uiPriority w:val="99"/>
    <w:qFormat/>
    <w:pPr>
      <w:pBdr/>
      <w:spacing/>
      <w:ind/>
    </w:pPr>
  </w:style>
  <w:style w:type="character" w:styleId="770">
    <w:name w:val="Footer Char"/>
    <w:basedOn w:val="748"/>
    <w:uiPriority w:val="99"/>
    <w:qFormat/>
    <w:pPr>
      <w:pBdr/>
      <w:spacing/>
      <w:ind/>
    </w:pPr>
  </w:style>
  <w:style w:type="character" w:styleId="771">
    <w:name w:val="Footnote Text Char"/>
    <w:basedOn w:val="748"/>
    <w:uiPriority w:val="99"/>
    <w:semiHidden/>
    <w:qFormat/>
    <w:pPr>
      <w:pBdr/>
      <w:spacing/>
      <w:ind/>
    </w:pPr>
    <w:rPr>
      <w:sz w:val="20"/>
      <w:szCs w:val="20"/>
    </w:rPr>
  </w:style>
  <w:style w:type="character" w:styleId="772">
    <w:name w:val="Footnote Characters"/>
    <w:basedOn w:val="748"/>
    <w:uiPriority w:val="99"/>
    <w:semiHidden/>
    <w:unhideWhenUsed/>
    <w:qFormat/>
    <w:pPr>
      <w:pBdr/>
      <w:spacing/>
      <w:ind/>
    </w:pPr>
    <w:rPr>
      <w:vertAlign w:val="superscript"/>
    </w:rPr>
  </w:style>
  <w:style w:type="character" w:styleId="773">
    <w:name w:val="Footnote Anchor"/>
    <w:pPr>
      <w:pBdr/>
      <w:spacing/>
      <w:ind/>
    </w:pPr>
    <w:rPr>
      <w:vertAlign w:val="superscript"/>
    </w:rPr>
  </w:style>
  <w:style w:type="character" w:styleId="774">
    <w:name w:val="Endnote Text Char"/>
    <w:basedOn w:val="748"/>
    <w:uiPriority w:val="99"/>
    <w:semiHidden/>
    <w:qFormat/>
    <w:pPr>
      <w:pBdr/>
      <w:spacing/>
      <w:ind/>
    </w:pPr>
    <w:rPr>
      <w:sz w:val="20"/>
      <w:szCs w:val="20"/>
    </w:rPr>
  </w:style>
  <w:style w:type="character" w:styleId="775">
    <w:name w:val="Endnote Characters"/>
    <w:basedOn w:val="748"/>
    <w:uiPriority w:val="99"/>
    <w:semiHidden/>
    <w:unhideWhenUsed/>
    <w:qFormat/>
    <w:pPr>
      <w:pBdr/>
      <w:spacing/>
      <w:ind/>
    </w:pPr>
    <w:rPr>
      <w:vertAlign w:val="superscript"/>
    </w:rPr>
  </w:style>
  <w:style w:type="character" w:styleId="776">
    <w:name w:val="Endnote Anchor"/>
    <w:pPr>
      <w:pBdr/>
      <w:spacing/>
      <w:ind/>
    </w:pPr>
    <w:rPr>
      <w:vertAlign w:val="superscript"/>
    </w:rPr>
  </w:style>
  <w:style w:type="character" w:styleId="777">
    <w:name w:val="Internet Link"/>
    <w:basedOn w:val="748"/>
    <w:uiPriority w:val="99"/>
    <w:unhideWhenUsed/>
    <w:pPr>
      <w:pBdr/>
      <w:spacing/>
      <w:ind/>
    </w:pPr>
    <w:rPr>
      <w:color w:val="0563c1" w:themeColor="hyperlink"/>
      <w:u w:val="single"/>
    </w:rPr>
  </w:style>
  <w:style w:type="character" w:styleId="778">
    <w:name w:val="FollowedHyperlink"/>
    <w:basedOn w:val="748"/>
    <w:uiPriority w:val="99"/>
    <w:semiHidden/>
    <w:unhideWhenUsed/>
    <w:qFormat/>
    <w:pPr>
      <w:pBdr/>
      <w:spacing/>
      <w:ind/>
    </w:pPr>
    <w:rPr>
      <w:color w:val="954f72" w:themeColor="followedHyperlink"/>
      <w:u w:val="single"/>
    </w:rPr>
  </w:style>
  <w:style w:type="character" w:styleId="779">
    <w:name w:val="Placeholder Text"/>
    <w:basedOn w:val="748"/>
    <w:uiPriority w:val="99"/>
    <w:semiHidden/>
    <w:qFormat/>
    <w:pPr>
      <w:pBdr/>
      <w:spacing/>
      <w:ind/>
    </w:pPr>
    <w:rPr>
      <w:color w:val="666666"/>
    </w:rPr>
  </w:style>
  <w:style w:type="character" w:styleId="780">
    <w:name w:val="ListLabel 1"/>
    <w:qFormat/>
    <w:pPr>
      <w:pBdr/>
      <w:spacing/>
      <w:ind/>
    </w:pPr>
    <w:rPr>
      <w:rFonts w:eastAsia="Symbol" w:cs="Symbol"/>
    </w:rPr>
  </w:style>
  <w:style w:type="character" w:styleId="781">
    <w:name w:val="ListLabel 2"/>
    <w:qFormat/>
    <w:pPr>
      <w:pBdr/>
      <w:spacing/>
      <w:ind/>
    </w:pPr>
    <w:rPr>
      <w:rFonts w:eastAsia="Courier New" w:cs="Courier New"/>
    </w:rPr>
  </w:style>
  <w:style w:type="character" w:styleId="782">
    <w:name w:val="ListLabel 3"/>
    <w:qFormat/>
    <w:pPr>
      <w:pBdr/>
      <w:spacing/>
      <w:ind/>
    </w:pPr>
    <w:rPr>
      <w:rFonts w:eastAsia="Wingdings" w:cs="Wingdings"/>
    </w:rPr>
  </w:style>
  <w:style w:type="character" w:styleId="783">
    <w:name w:val="ListLabel 4"/>
    <w:qFormat/>
    <w:pPr>
      <w:pBdr/>
      <w:spacing/>
      <w:ind/>
    </w:pPr>
    <w:rPr>
      <w:rFonts w:eastAsia="Symbol" w:cs="Symbol"/>
    </w:rPr>
  </w:style>
  <w:style w:type="character" w:styleId="784">
    <w:name w:val="ListLabel 5"/>
    <w:qFormat/>
    <w:pPr>
      <w:pBdr/>
      <w:spacing/>
      <w:ind/>
    </w:pPr>
    <w:rPr>
      <w:rFonts w:eastAsia="Courier New" w:cs="Courier New"/>
    </w:rPr>
  </w:style>
  <w:style w:type="character" w:styleId="785">
    <w:name w:val="ListLabel 6"/>
    <w:qFormat/>
    <w:pPr>
      <w:pBdr/>
      <w:spacing/>
      <w:ind/>
    </w:pPr>
    <w:rPr>
      <w:rFonts w:eastAsia="Wingdings" w:cs="Wingdings"/>
    </w:rPr>
  </w:style>
  <w:style w:type="character" w:styleId="786">
    <w:name w:val="ListLabel 7"/>
    <w:qFormat/>
    <w:pPr>
      <w:pBdr/>
      <w:spacing/>
      <w:ind/>
    </w:pPr>
    <w:rPr>
      <w:rFonts w:eastAsia="Symbol" w:cs="Symbol"/>
    </w:rPr>
  </w:style>
  <w:style w:type="character" w:styleId="787">
    <w:name w:val="ListLabel 8"/>
    <w:qFormat/>
    <w:pPr>
      <w:pBdr/>
      <w:spacing/>
      <w:ind/>
    </w:pPr>
    <w:rPr>
      <w:rFonts w:eastAsia="Courier New" w:cs="Courier New"/>
    </w:rPr>
  </w:style>
  <w:style w:type="character" w:styleId="788">
    <w:name w:val="ListLabel 9"/>
    <w:qFormat/>
    <w:pPr>
      <w:pBdr/>
      <w:spacing/>
      <w:ind/>
    </w:pPr>
    <w:rPr>
      <w:rFonts w:eastAsia="Wingdings" w:cs="Wingdings"/>
    </w:rPr>
  </w:style>
  <w:style w:type="character" w:styleId="789">
    <w:name w:val="ListLabel 10"/>
    <w:qFormat/>
    <w:pPr>
      <w:pBdr/>
      <w:spacing/>
      <w:ind/>
    </w:pPr>
    <w:rPr>
      <w:rFonts w:ascii="Arial" w:hAnsi="Arial" w:eastAsia="Arial" w:cs="Arial"/>
      <w:color w:val="0000ee"/>
      <w:sz w:val="24"/>
      <w:u w:val="single"/>
    </w:rPr>
  </w:style>
  <w:style w:type="character" w:styleId="790">
    <w:name w:val="ListLabel 11"/>
    <w:qFormat/>
    <w:pPr>
      <w:pBdr/>
      <w:spacing/>
      <w:ind/>
    </w:pPr>
    <w:rPr>
      <w:rFonts w:ascii="Arial" w:hAnsi="Arial" w:eastAsia="Arial" w:cs="Arial"/>
      <w:b/>
      <w:color w:val="0000ee"/>
      <w:sz w:val="24"/>
      <w:u w:val="single"/>
    </w:rPr>
  </w:style>
  <w:style w:type="paragraph" w:styleId="791">
    <w:name w:val="Heading"/>
    <w:basedOn w:val="738"/>
    <w:next w:val="792"/>
    <w:qFormat/>
    <w:pPr>
      <w:keepNext w:val="true"/>
      <w:pBdr/>
      <w:spacing w:after="120" w:before="240"/>
      <w:ind/>
    </w:pPr>
    <w:rPr>
      <w:rFonts w:ascii="Arial" w:hAnsi="Arial" w:eastAsia="Microsoft YaHei" w:cs="Arial"/>
      <w:sz w:val="28"/>
      <w:szCs w:val="28"/>
    </w:rPr>
  </w:style>
  <w:style w:type="paragraph" w:styleId="792">
    <w:name w:val="Body Text"/>
    <w:basedOn w:val="738"/>
    <w:pPr>
      <w:pBdr/>
      <w:spacing w:after="140" w:before="0" w:line="276" w:lineRule="auto"/>
      <w:ind/>
    </w:pPr>
  </w:style>
  <w:style w:type="paragraph" w:styleId="793">
    <w:name w:val="List"/>
    <w:basedOn w:val="792"/>
    <w:pPr>
      <w:pBdr/>
      <w:spacing/>
      <w:ind/>
    </w:pPr>
    <w:rPr>
      <w:rFonts w:cs="Arial"/>
    </w:rPr>
  </w:style>
  <w:style w:type="paragraph" w:styleId="794">
    <w:name w:val="Caption"/>
    <w:basedOn w:val="738"/>
    <w:next w:val="738"/>
    <w:uiPriority w:val="35"/>
    <w:unhideWhenUsed/>
    <w:qFormat/>
    <w:pPr>
      <w:pBdr/>
      <w:spacing w:after="200" w:before="0" w:line="240" w:lineRule="auto"/>
      <w:ind/>
    </w:pPr>
    <w:rPr>
      <w:i/>
      <w:iCs/>
      <w:color w:val="0e2841" w:themeColor="text2"/>
      <w:sz w:val="18"/>
      <w:szCs w:val="18"/>
    </w:rPr>
  </w:style>
  <w:style w:type="paragraph" w:styleId="795">
    <w:name w:val="Index"/>
    <w:basedOn w:val="738"/>
    <w:qFormat/>
    <w:pPr>
      <w:suppressLineNumbers w:val="true"/>
      <w:pBdr/>
      <w:spacing/>
      <w:ind/>
    </w:pPr>
    <w:rPr>
      <w:rFonts w:cs="Arial"/>
    </w:rPr>
  </w:style>
  <w:style w:type="paragraph" w:styleId="796">
    <w:name w:val="Title"/>
    <w:basedOn w:val="738"/>
    <w:next w:val="738"/>
    <w:uiPriority w:val="10"/>
    <w:qFormat/>
    <w:pPr>
      <w:pBdr/>
      <w:spacing w:after="80" w:before="0" w:line="240" w:lineRule="auto"/>
      <w:ind/>
      <w:contextualSpacing w:val="true"/>
    </w:pPr>
    <w:rPr>
      <w:rFonts w:ascii="Arial" w:hAnsi="Arial" w:eastAsia="Arial" w:cs="Arial"/>
      <w:spacing w:val="-10"/>
      <w:sz w:val="56"/>
      <w:szCs w:val="56"/>
    </w:rPr>
  </w:style>
  <w:style w:type="paragraph" w:styleId="797">
    <w:name w:val="Subtitle"/>
    <w:basedOn w:val="738"/>
    <w:next w:val="738"/>
    <w:uiPriority w:val="11"/>
    <w:qFormat/>
    <w:pPr>
      <w:pBdr/>
      <w:spacing/>
      <w:ind/>
    </w:pPr>
    <w:rPr>
      <w:color w:val="595959" w:themeColor="text1" w:themeTint="A6"/>
      <w:spacing w:val="15"/>
      <w:sz w:val="28"/>
      <w:szCs w:val="28"/>
    </w:rPr>
  </w:style>
  <w:style w:type="paragraph" w:styleId="798">
    <w:name w:val="Quote"/>
    <w:basedOn w:val="738"/>
    <w:next w:val="738"/>
    <w:uiPriority w:val="29"/>
    <w:qFormat/>
    <w:pPr>
      <w:pBdr/>
      <w:spacing w:after="200" w:before="160"/>
      <w:ind/>
      <w:jc w:val="center"/>
    </w:pPr>
    <w:rPr>
      <w:i/>
      <w:iCs/>
      <w:color w:val="404040" w:themeColor="text1" w:themeTint="BF"/>
    </w:rPr>
  </w:style>
  <w:style w:type="paragraph" w:styleId="799">
    <w:name w:val="Intense Quote"/>
    <w:basedOn w:val="738"/>
    <w:next w:val="738"/>
    <w:uiPriority w:val="30"/>
    <w:qFormat/>
    <w:pPr>
      <w:pBdr>
        <w:top w:val="single" w:color="0f4761" w:sz="4" w:space="10"/>
        <w:bottom w:val="single" w:color="0f4761" w:sz="4" w:space="10"/>
      </w:pBdr>
      <w:spacing w:after="360" w:before="360"/>
      <w:ind w:right="864" w:firstLine="0" w:left="864"/>
      <w:jc w:val="center"/>
    </w:pPr>
    <w:rPr>
      <w:i/>
      <w:iCs/>
      <w:color w:val="0f4761" w:themeColor="accent1" w:themeShade="BF"/>
    </w:rPr>
  </w:style>
  <w:style w:type="paragraph" w:styleId="800">
    <w:name w:val="Header"/>
    <w:basedOn w:val="738"/>
    <w:uiPriority w:val="99"/>
    <w:unhideWhenUsed/>
    <w:pPr>
      <w:pBdr/>
      <w:tabs>
        <w:tab w:val="clear" w:leader="none" w:pos="708"/>
        <w:tab w:val="center" w:leader="none" w:pos="4844"/>
        <w:tab w:val="right" w:leader="none" w:pos="9689"/>
      </w:tabs>
      <w:spacing w:after="0" w:before="0" w:line="240" w:lineRule="auto"/>
      <w:ind/>
    </w:pPr>
  </w:style>
  <w:style w:type="paragraph" w:styleId="801">
    <w:name w:val="Footer"/>
    <w:basedOn w:val="738"/>
    <w:uiPriority w:val="99"/>
    <w:unhideWhenUsed/>
    <w:pPr>
      <w:pBdr/>
      <w:tabs>
        <w:tab w:val="clear" w:leader="none" w:pos="708"/>
        <w:tab w:val="center" w:leader="none" w:pos="4844"/>
        <w:tab w:val="right" w:leader="none" w:pos="9689"/>
      </w:tabs>
      <w:spacing w:after="0" w:before="0" w:line="240" w:lineRule="auto"/>
      <w:ind/>
    </w:pPr>
  </w:style>
  <w:style w:type="paragraph" w:styleId="802">
    <w:name w:val="footnote text"/>
    <w:basedOn w:val="738"/>
    <w:uiPriority w:val="99"/>
    <w:semiHidden/>
    <w:unhideWhenUsed/>
    <w:pPr>
      <w:pBdr/>
      <w:spacing w:after="0" w:before="0" w:line="240" w:lineRule="auto"/>
      <w:ind/>
    </w:pPr>
    <w:rPr>
      <w:sz w:val="20"/>
      <w:szCs w:val="20"/>
    </w:rPr>
  </w:style>
  <w:style w:type="paragraph" w:styleId="803">
    <w:name w:val="endnote text"/>
    <w:basedOn w:val="738"/>
    <w:uiPriority w:val="99"/>
    <w:semiHidden/>
    <w:unhideWhenUsed/>
    <w:pPr>
      <w:pBdr/>
      <w:spacing w:after="0" w:before="0" w:line="240" w:lineRule="auto"/>
      <w:ind/>
    </w:pPr>
    <w:rPr>
      <w:sz w:val="20"/>
      <w:szCs w:val="20"/>
    </w:rPr>
  </w:style>
  <w:style w:type="paragraph" w:styleId="804">
    <w:name w:val="toc 1"/>
    <w:basedOn w:val="738"/>
    <w:next w:val="738"/>
    <w:uiPriority w:val="39"/>
    <w:unhideWhenUsed/>
    <w:pPr>
      <w:pBdr/>
      <w:spacing w:after="100" w:before="0"/>
      <w:ind/>
    </w:pPr>
  </w:style>
  <w:style w:type="paragraph" w:styleId="805">
    <w:name w:val="toc 2"/>
    <w:basedOn w:val="738"/>
    <w:next w:val="738"/>
    <w:uiPriority w:val="39"/>
    <w:unhideWhenUsed/>
    <w:pPr>
      <w:pBdr/>
      <w:spacing w:after="100" w:before="0"/>
      <w:ind w:firstLine="0" w:left="220"/>
    </w:pPr>
  </w:style>
  <w:style w:type="paragraph" w:styleId="806">
    <w:name w:val="toc 3"/>
    <w:basedOn w:val="738"/>
    <w:next w:val="738"/>
    <w:uiPriority w:val="39"/>
    <w:unhideWhenUsed/>
    <w:pPr>
      <w:pBdr/>
      <w:spacing w:after="100" w:before="0"/>
      <w:ind w:firstLine="0" w:left="440"/>
    </w:pPr>
  </w:style>
  <w:style w:type="paragraph" w:styleId="807">
    <w:name w:val="toc 4"/>
    <w:basedOn w:val="738"/>
    <w:next w:val="738"/>
    <w:uiPriority w:val="39"/>
    <w:unhideWhenUsed/>
    <w:pPr>
      <w:pBdr/>
      <w:spacing w:after="100" w:before="0"/>
      <w:ind w:firstLine="0" w:left="660"/>
    </w:pPr>
  </w:style>
  <w:style w:type="paragraph" w:styleId="808">
    <w:name w:val="toc 5"/>
    <w:basedOn w:val="738"/>
    <w:next w:val="738"/>
    <w:uiPriority w:val="39"/>
    <w:unhideWhenUsed/>
    <w:pPr>
      <w:pBdr/>
      <w:spacing w:after="100" w:before="0"/>
      <w:ind w:firstLine="0" w:left="880"/>
    </w:pPr>
  </w:style>
  <w:style w:type="paragraph" w:styleId="809">
    <w:name w:val="toc 6"/>
    <w:basedOn w:val="738"/>
    <w:next w:val="738"/>
    <w:uiPriority w:val="39"/>
    <w:unhideWhenUsed/>
    <w:pPr>
      <w:pBdr/>
      <w:spacing w:after="100" w:before="0"/>
      <w:ind w:firstLine="0" w:left="1100"/>
    </w:pPr>
  </w:style>
  <w:style w:type="paragraph" w:styleId="810">
    <w:name w:val="toc 7"/>
    <w:basedOn w:val="738"/>
    <w:next w:val="738"/>
    <w:uiPriority w:val="39"/>
    <w:unhideWhenUsed/>
    <w:pPr>
      <w:pBdr/>
      <w:spacing w:after="100" w:before="0"/>
      <w:ind w:firstLine="0" w:left="1320"/>
    </w:pPr>
  </w:style>
  <w:style w:type="paragraph" w:styleId="811">
    <w:name w:val="toc 8"/>
    <w:basedOn w:val="738"/>
    <w:next w:val="738"/>
    <w:uiPriority w:val="39"/>
    <w:unhideWhenUsed/>
    <w:pPr>
      <w:pBdr/>
      <w:spacing w:after="100" w:before="0"/>
      <w:ind w:firstLine="0" w:left="1540"/>
    </w:pPr>
  </w:style>
  <w:style w:type="paragraph" w:styleId="812">
    <w:name w:val="toc 9"/>
    <w:basedOn w:val="738"/>
    <w:next w:val="738"/>
    <w:uiPriority w:val="39"/>
    <w:unhideWhenUsed/>
    <w:pPr>
      <w:pBdr/>
      <w:spacing w:after="100" w:before="0"/>
      <w:ind w:firstLine="0" w:left="1760"/>
    </w:pPr>
  </w:style>
  <w:style w:type="paragraph" w:styleId="813">
    <w:name w:val="TOC Heading"/>
    <w:uiPriority w:val="39"/>
    <w:unhideWhenUsed/>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814">
    <w:name w:val="table of figures"/>
    <w:basedOn w:val="738"/>
    <w:next w:val="738"/>
    <w:uiPriority w:val="99"/>
    <w:unhideWhenUsed/>
    <w:qFormat/>
    <w:pPr>
      <w:pBdr/>
      <w:spacing w:after="0" w:afterAutospacing="0" w:before="0"/>
      <w:ind/>
    </w:pPr>
  </w:style>
  <w:style w:type="paragraph" w:styleId="815">
    <w:name w:val="No Spacing"/>
    <w:basedOn w:val="738"/>
    <w:uiPriority w:val="1"/>
    <w:qFormat/>
    <w:pPr>
      <w:pBdr/>
      <w:spacing w:after="0" w:before="0" w:line="240" w:lineRule="auto"/>
      <w:ind/>
    </w:pPr>
  </w:style>
  <w:style w:type="paragraph" w:styleId="816">
    <w:name w:val="List Paragraph"/>
    <w:basedOn w:val="738"/>
    <w:uiPriority w:val="34"/>
    <w:qFormat/>
    <w:pPr>
      <w:pBdr/>
      <w:spacing w:after="200" w:before="0"/>
      <w:ind w:firstLine="0" w:left="720"/>
      <w:contextualSpacing w:val="true"/>
    </w:pPr>
  </w:style>
  <w:style w:type="numbering" w:styleId="817" w:default="1">
    <w:name w:val="No List"/>
    <w:uiPriority w:val="99"/>
    <w:semiHidden/>
    <w:unhideWhenUsed/>
    <w:qFormat/>
    <w:pPr>
      <w:pBdr/>
      <w:spacing/>
      <w:ind/>
    </w:pPr>
  </w:style>
  <w:style w:type="table" w:styleId="818">
    <w:name w:val="Table Grid"/>
    <w:basedOn w:val="9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Table Grid Light"/>
    <w:basedOn w:val="9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1"/>
    <w:basedOn w:val="9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2"/>
    <w:basedOn w:val="9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3"/>
    <w:basedOn w:val="94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4"/>
    <w:basedOn w:val="94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5"/>
    <w:basedOn w:val="944"/>
    <w:uiPriority w:val="99"/>
    <w:pPr>
      <w:pBdr/>
      <w:spacing w:after="0" w:line="240" w:lineRule="auto"/>
      <w:ind/>
    </w:pPr>
    <w:tblPr>
      <w:tblStyleRowBandSize w:val="1"/>
      <w:tblStyleColBandSize w:val="1"/>
      <w:tblInd w:w="0" w:type="dxa"/>
      <w:tblBorders/>
    </w:tblPr>
    <w:tcPr>
      <w:tcBorders/>
    </w:tcPr>
    <w:tblStylePr w:type="band1Horz">
      <w:rPr>
        <w:color w:val="404040"/>
        <w:sz w:val="22"/>
      </w:rPr>
      <w:pPr>
        <w:pBdr/>
        <w:spacing/>
        <w:ind/>
      </w:pPr>
      <w:tblPr>
        <w:tblBorders/>
      </w:tblPr>
      <w:tcPr>
        <w:shd w:val="clear" w:color="ffffff" w:fill="f2f2f2" w:themeFill="text1" w:themeFillTint="00"/>
        <w:tcBorders/>
      </w:tcPr>
    </w:tblStylePr>
    <w:tblStylePr w:type="band1Vert">
      <w:rPr>
        <w:color w:val="404040"/>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w:basedOn w:val="9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1"/>
    <w:basedOn w:val="9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color w:val="404040"/>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2"/>
    <w:basedOn w:val="9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color w:val="404040"/>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3"/>
    <w:basedOn w:val="9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color w:val="404040"/>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4"/>
    <w:basedOn w:val="9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color w:val="404040"/>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5"/>
    <w:basedOn w:val="9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color w:val="404040"/>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6"/>
    <w:basedOn w:val="9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color w:val="404040"/>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w:basedOn w:val="9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1"/>
    <w:basedOn w:val="9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color w:val="404040"/>
        <w:sz w:val="22"/>
      </w:rPr>
      <w:pPr>
        <w:pBdr/>
        <w:spacing/>
        <w:ind/>
      </w:pPr>
      <w:tblPr>
        <w:tblBorders/>
      </w:tblPr>
      <w:tcPr>
        <w:shd w:val="clear" w:color="ffffff" w:fill="deebf6" w:themeFill="accent1" w:themeFillTint="34"/>
        <w:tcBorders/>
      </w:tcPr>
    </w:tblStylePr>
    <w:tblStylePr w:type="band1Vert">
      <w:rPr>
        <w:color w:val="404040"/>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2"/>
    <w:basedOn w:val="9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3"/>
    <w:basedOn w:val="9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4"/>
    <w:basedOn w:val="9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5"/>
    <w:basedOn w:val="9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6"/>
    <w:basedOn w:val="9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w:basedOn w:val="9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1"/>
    <w:basedOn w:val="9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color w:val="404040"/>
        <w:sz w:val="22"/>
      </w:rPr>
      <w:pPr>
        <w:pBdr/>
        <w:spacing/>
        <w:ind/>
      </w:pPr>
      <w:tblPr>
        <w:tblBorders/>
      </w:tblPr>
      <w:tcPr>
        <w:shd w:val="clear" w:color="ffffff" w:fill="deebf6" w:themeFill="accent1" w:themeFillTint="34"/>
        <w:tcBorders/>
      </w:tcPr>
    </w:tblStylePr>
    <w:tblStylePr w:type="band1Vert">
      <w:rPr>
        <w:color w:val="404040"/>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2"/>
    <w:basedOn w:val="9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3"/>
    <w:basedOn w:val="9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4"/>
    <w:basedOn w:val="9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5"/>
    <w:basedOn w:val="9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6"/>
    <w:basedOn w:val="9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w:basedOn w:val="9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color w:val="404040"/>
        <w:sz w:val="22"/>
      </w:rPr>
      <w:pPr>
        <w:pBdr/>
        <w:spacing/>
        <w:ind/>
      </w:pPr>
      <w:tblPr>
        <w:tblBorders/>
      </w:tblPr>
      <w:tcPr>
        <w:shd w:val="clear" w:color="ffffff" w:fill="cbcbcb" w:themeFill="text1" w:themeFillTint="34"/>
        <w:tcBorders/>
      </w:tcPr>
    </w:tblStylePr>
    <w:tblStylePr w:type="band1Vert">
      <w:rPr>
        <w:color w:val="404040"/>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1"/>
    <w:basedOn w:val="9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color w:val="404040"/>
        <w:sz w:val="22"/>
      </w:rPr>
      <w:pPr>
        <w:pBdr/>
        <w:spacing/>
        <w:ind/>
      </w:pPr>
      <w:tblPr>
        <w:tblBorders/>
      </w:tblPr>
      <w:tcPr>
        <w:shd w:val="clear" w:color="ffffff" w:fill="dfebf7" w:themeFill="accent1" w:themeFillTint="32"/>
        <w:tcBorders/>
      </w:tcPr>
    </w:tblStylePr>
    <w:tblStylePr w:type="band1Vert">
      <w:rPr>
        <w:color w:val="404040"/>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2"/>
    <w:basedOn w:val="9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color w:val="404040"/>
        <w:sz w:val="22"/>
      </w:rPr>
      <w:pPr>
        <w:pBdr/>
        <w:spacing/>
        <w:ind/>
      </w:pPr>
      <w:tblPr>
        <w:tblBorders/>
      </w:tblPr>
      <w:tcPr>
        <w:shd w:val="clear" w:color="ffffff" w:fill="fbe6d7" w:themeFill="accent2" w:themeFillTint="32"/>
        <w:tcBorders/>
      </w:tcPr>
    </w:tblStylePr>
    <w:tblStylePr w:type="band1Vert">
      <w:rPr>
        <w:color w:val="404040"/>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3"/>
    <w:basedOn w:val="9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color w:val="404040"/>
        <w:sz w:val="22"/>
      </w:rPr>
      <w:pPr>
        <w:pBdr/>
        <w:spacing/>
        <w:ind/>
      </w:pPr>
      <w:tblPr>
        <w:tblBorders/>
      </w:tblPr>
      <w:tcPr>
        <w:shd w:val="clear" w:color="ffffff" w:fill="ededed" w:themeFill="accent3" w:themeFillTint="34"/>
        <w:tcBorders/>
      </w:tcPr>
    </w:tblStylePr>
    <w:tblStylePr w:type="band1Vert">
      <w:rPr>
        <w:color w:val="404040"/>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4"/>
    <w:basedOn w:val="9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color w:val="404040"/>
        <w:sz w:val="22"/>
      </w:rPr>
      <w:pPr>
        <w:pBdr/>
        <w:spacing/>
        <w:ind/>
      </w:pPr>
      <w:tblPr>
        <w:tblBorders/>
      </w:tblPr>
      <w:tcPr>
        <w:shd w:val="clear" w:color="ffffff" w:fill="fff2cb" w:themeFill="accent4" w:themeFillTint="34"/>
        <w:tcBorders/>
      </w:tcPr>
    </w:tblStylePr>
    <w:tblStylePr w:type="band1Vert">
      <w:rPr>
        <w:color w:val="404040"/>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5"/>
    <w:basedOn w:val="9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404040"/>
        <w:sz w:val="22"/>
      </w:rPr>
      <w:pPr>
        <w:pBdr/>
        <w:spacing/>
        <w:ind/>
      </w:pPr>
      <w:tblPr>
        <w:tblBorders/>
      </w:tblPr>
      <w:tcPr>
        <w:shd w:val="clear" w:color="ffffff" w:fill="d9e2f3" w:themeFill="accent5" w:themeFillTint="34"/>
        <w:tcBorders/>
      </w:tcPr>
    </w:tblStylePr>
    <w:tblStylePr w:type="band1Vert">
      <w:rPr>
        <w:color w:val="404040"/>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6"/>
    <w:basedOn w:val="9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04040"/>
        <w:sz w:val="22"/>
      </w:rPr>
      <w:pPr>
        <w:pBdr/>
        <w:spacing/>
        <w:ind/>
      </w:pPr>
      <w:tblPr>
        <w:tblBorders/>
      </w:tblPr>
      <w:tcPr>
        <w:shd w:val="clear" w:color="ffffff" w:fill="e2efd9" w:themeFill="accent6" w:themeFillTint="34"/>
        <w:tcBorders/>
      </w:tcPr>
    </w:tblStylePr>
    <w:tblStylePr w:type="band1Vert">
      <w:rPr>
        <w:color w:val="404040"/>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000000" w:themeFill="text1"/>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ffffff"/>
        <w:sz w:val="22"/>
      </w:rPr>
      <w:pPr>
        <w:pBdr/>
        <w:spacing/>
        <w:ind/>
      </w:pPr>
      <w:tblPr>
        <w:tblBorders/>
      </w:tblPr>
      <w:tcPr>
        <w:shd w:val="clear" w:color="ffffff" w:fill="000000" w:themeFill="text1"/>
        <w:tcBorders/>
      </w:tcPr>
    </w:tblStylePr>
    <w:tblStylePr w:type="lastRow">
      <w:rPr>
        <w:b/>
        <w:color w:val="ffffff"/>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1"/>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5b9bd5" w:themeFill="accent1"/>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ffffff"/>
        <w:sz w:val="22"/>
      </w:rPr>
      <w:pPr>
        <w:pBdr/>
        <w:spacing/>
        <w:ind/>
      </w:pPr>
      <w:tblPr>
        <w:tblBorders/>
      </w:tblPr>
      <w:tcPr>
        <w:shd w:val="clear" w:color="ffffff" w:fill="5b9bd5" w:themeFill="accent1"/>
        <w:tcBorders/>
      </w:tcPr>
    </w:tblStylePr>
    <w:tblStylePr w:type="lastRow">
      <w:rPr>
        <w:b/>
        <w:color w:val="ffffff"/>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2"/>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ed7d31" w:themeFill="accent2"/>
        <w:tcBorders/>
      </w:tcPr>
    </w:tblStylePr>
    <w:tblStylePr w:type="firstRow">
      <w:rPr>
        <w:b/>
        <w:color w:val="ffffff"/>
        <w:sz w:val="22"/>
      </w:rPr>
      <w:pPr>
        <w:pBdr/>
        <w:spacing/>
        <w:ind/>
      </w:pPr>
      <w:tblPr>
        <w:tblBorders/>
      </w:tblPr>
      <w:tcPr>
        <w:shd w:val="clear" w:color="ffffff" w:fill="ed7d31" w:themeFill="accent2"/>
        <w:tcBorders/>
      </w:tcPr>
    </w:tblStylePr>
    <w:tblStylePr w:type="lastCol">
      <w:rPr>
        <w:b/>
        <w:color w:val="ffffff"/>
        <w:sz w:val="22"/>
      </w:rPr>
      <w:pPr>
        <w:pBdr/>
        <w:spacing/>
        <w:ind/>
      </w:pPr>
      <w:tblPr>
        <w:tblBorders/>
      </w:tblPr>
      <w:tcPr>
        <w:shd w:val="clear" w:color="ffffff" w:fill="ed7d31" w:themeFill="accent2"/>
        <w:tcBorders/>
      </w:tcPr>
    </w:tblStylePr>
    <w:tblStylePr w:type="lastRow">
      <w:rPr>
        <w:b/>
        <w:color w:val="ffffff"/>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3"/>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a5a5a5" w:themeFill="accent3"/>
        <w:tcBorders/>
      </w:tcPr>
    </w:tblStylePr>
    <w:tblStylePr w:type="firstRow">
      <w:rPr>
        <w:b/>
        <w:color w:val="ffffff"/>
        <w:sz w:val="22"/>
      </w:rPr>
      <w:pPr>
        <w:pBdr/>
        <w:spacing/>
        <w:ind/>
      </w:pPr>
      <w:tblPr>
        <w:tblBorders/>
      </w:tblPr>
      <w:tcPr>
        <w:shd w:val="clear" w:color="ffffff" w:fill="a5a5a5" w:themeFill="accent3"/>
        <w:tcBorders/>
      </w:tcPr>
    </w:tblStylePr>
    <w:tblStylePr w:type="lastCol">
      <w:rPr>
        <w:b/>
        <w:color w:val="ffffff"/>
        <w:sz w:val="22"/>
      </w:rPr>
      <w:pPr>
        <w:pBdr/>
        <w:spacing/>
        <w:ind/>
      </w:pPr>
      <w:tblPr>
        <w:tblBorders/>
      </w:tblPr>
      <w:tcPr>
        <w:shd w:val="clear" w:color="ffffff" w:fill="a5a5a5" w:themeFill="accent3"/>
        <w:tcBorders/>
      </w:tcPr>
    </w:tblStylePr>
    <w:tblStylePr w:type="lastRow">
      <w:rPr>
        <w:b/>
        <w:color w:val="ffffff"/>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4"/>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ffc000" w:themeFill="accent4"/>
        <w:tcBorders/>
      </w:tcPr>
    </w:tblStylePr>
    <w:tblStylePr w:type="firstRow">
      <w:rPr>
        <w:b/>
        <w:color w:val="ffffff"/>
        <w:sz w:val="22"/>
      </w:rPr>
      <w:pPr>
        <w:pBdr/>
        <w:spacing/>
        <w:ind/>
      </w:pPr>
      <w:tblPr>
        <w:tblBorders/>
      </w:tblPr>
      <w:tcPr>
        <w:shd w:val="clear" w:color="ffffff" w:fill="ffc000" w:themeFill="accent4"/>
        <w:tcBorders/>
      </w:tcPr>
    </w:tblStylePr>
    <w:tblStylePr w:type="lastCol">
      <w:rPr>
        <w:b/>
        <w:color w:val="ffffff"/>
        <w:sz w:val="22"/>
      </w:rPr>
      <w:pPr>
        <w:pBdr/>
        <w:spacing/>
        <w:ind/>
      </w:pPr>
      <w:tblPr>
        <w:tblBorders/>
      </w:tblPr>
      <w:tcPr>
        <w:shd w:val="clear" w:color="ffffff" w:fill="ffc000" w:themeFill="accent4"/>
        <w:tcBorders/>
      </w:tcPr>
    </w:tblStylePr>
    <w:tblStylePr w:type="lastRow">
      <w:rPr>
        <w:b/>
        <w:color w:val="ffffff"/>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5"/>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4472c4" w:themeFill="accent5"/>
        <w:tcBorders/>
      </w:tcPr>
    </w:tblStylePr>
    <w:tblStylePr w:type="firstRow">
      <w:rPr>
        <w:b/>
        <w:color w:val="ffffff"/>
        <w:sz w:val="22"/>
      </w:rPr>
      <w:pPr>
        <w:pBdr/>
        <w:spacing/>
        <w:ind/>
      </w:pPr>
      <w:tblPr>
        <w:tblBorders/>
      </w:tblPr>
      <w:tcPr>
        <w:shd w:val="clear" w:color="ffffff" w:fill="4472c4" w:themeFill="accent5"/>
        <w:tcBorders/>
      </w:tcPr>
    </w:tblStylePr>
    <w:tblStylePr w:type="lastCol">
      <w:rPr>
        <w:b/>
        <w:color w:val="ffffff"/>
        <w:sz w:val="22"/>
      </w:rPr>
      <w:pPr>
        <w:pBdr/>
        <w:spacing/>
        <w:ind/>
      </w:pPr>
      <w:tblPr>
        <w:tblBorders/>
      </w:tblPr>
      <w:tcPr>
        <w:shd w:val="clear" w:color="ffffff" w:fill="4472c4" w:themeFill="accent5"/>
        <w:tcBorders/>
      </w:tcPr>
    </w:tblStylePr>
    <w:tblStylePr w:type="lastRow">
      <w:rPr>
        <w:b/>
        <w:color w:val="ffffff"/>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6"/>
    <w:basedOn w:val="9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ffff" w:fill="70ad47" w:themeFill="accent6"/>
        <w:tcBorders/>
      </w:tcPr>
    </w:tblStylePr>
    <w:tblStylePr w:type="firstRow">
      <w:rPr>
        <w:b/>
        <w:color w:val="ffffff"/>
        <w:sz w:val="22"/>
      </w:rPr>
      <w:pPr>
        <w:pBdr/>
        <w:spacing/>
        <w:ind/>
      </w:pPr>
      <w:tblPr>
        <w:tblBorders/>
      </w:tblPr>
      <w:tcPr>
        <w:shd w:val="clear" w:color="ffffff" w:fill="70ad47" w:themeFill="accent6"/>
        <w:tcBorders/>
      </w:tcPr>
    </w:tblStylePr>
    <w:tblStylePr w:type="lastCol">
      <w:rPr>
        <w:b/>
        <w:color w:val="ffffff"/>
        <w:sz w:val="22"/>
      </w:rPr>
      <w:pPr>
        <w:pBdr/>
        <w:spacing/>
        <w:ind/>
      </w:pPr>
      <w:tblPr>
        <w:tblBorders/>
      </w:tblPr>
      <w:tcPr>
        <w:shd w:val="clear" w:color="ffffff" w:fill="70ad47" w:themeFill="accent6"/>
        <w:tcBorders/>
      </w:tcPr>
    </w:tblStylePr>
    <w:tblStylePr w:type="lastRow">
      <w:rPr>
        <w:b/>
        <w:color w:val="ffffff"/>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w:basedOn w:val="9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61">
    <w:name w:val="Grid Table 6 Colorful - Accent 1"/>
    <w:basedOn w:val="9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62">
    <w:name w:val="Grid Table 6 Colorful - Accent 2"/>
    <w:basedOn w:val="9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63">
    <w:name w:val="Grid Table 6 Colorful - Accent 3"/>
    <w:basedOn w:val="9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64">
    <w:name w:val="Grid Table 6 Colorful - Accent 4"/>
    <w:basedOn w:val="9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65">
    <w:name w:val="Grid Table 6 Colorful - Accent 5"/>
    <w:basedOn w:val="9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6">
    <w:name w:val="Grid Table 6 Colorful - Accent 6"/>
    <w:basedOn w:val="9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7">
    <w:name w:val="Grid Table 7 Colorful"/>
    <w:basedOn w:val="9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1"/>
    <w:basedOn w:val="9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2"/>
    <w:basedOn w:val="9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3"/>
    <w:basedOn w:val="9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4"/>
    <w:basedOn w:val="9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5"/>
    <w:basedOn w:val="9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6"/>
    <w:basedOn w:val="9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1"/>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2"/>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3"/>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4"/>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5"/>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6"/>
    <w:basedOn w:val="9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w:basedOn w:val="9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color w:val="404040"/>
        <w:sz w:val="22"/>
      </w:rPr>
      <w:pPr>
        <w:pBdr/>
        <w:spacing/>
        <w:ind/>
      </w:pPr>
      <w:tblPr>
        <w:tblBorders/>
      </w:tblPr>
      <w:tcPr>
        <w:shd w:val="clear" w:color="ffffff" w:fill="bfbfbf" w:themeFill="text1" w:themeFillTint="40"/>
        <w:tcBorders/>
      </w:tcPr>
    </w:tblStylePr>
    <w:tblStylePr w:type="band1Vert">
      <w:rPr>
        <w:color w:val="404040"/>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1"/>
    <w:basedOn w:val="9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color w:val="404040"/>
        <w:sz w:val="22"/>
      </w:rPr>
      <w:pPr>
        <w:pBdr/>
        <w:spacing/>
        <w:ind/>
      </w:pPr>
      <w:tblPr>
        <w:tblBorders/>
      </w:tblPr>
      <w:tcPr>
        <w:shd w:val="clear" w:color="ffffff" w:fill="d6e6f4" w:themeFill="accent1" w:themeFillTint="40"/>
        <w:tcBorders/>
      </w:tcPr>
    </w:tblStylePr>
    <w:tblStylePr w:type="band1Vert">
      <w:rPr>
        <w:color w:val="404040"/>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2"/>
    <w:basedOn w:val="9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color w:val="404040"/>
        <w:sz w:val="22"/>
      </w:rPr>
      <w:pPr>
        <w:pBdr/>
        <w:spacing/>
        <w:ind/>
      </w:pPr>
      <w:tblPr>
        <w:tblBorders/>
      </w:tblPr>
      <w:tcPr>
        <w:shd w:val="clear" w:color="ffffff" w:fill="fadecb" w:themeFill="accent2" w:themeFillTint="40"/>
        <w:tcBorders/>
      </w:tcPr>
    </w:tblStylePr>
    <w:tblStylePr w:type="band1Vert">
      <w:rPr>
        <w:color w:val="404040"/>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3"/>
    <w:basedOn w:val="9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color w:val="404040"/>
        <w:sz w:val="22"/>
      </w:rPr>
      <w:pPr>
        <w:pBdr/>
        <w:spacing/>
        <w:ind/>
      </w:pPr>
      <w:tblPr>
        <w:tblBorders/>
      </w:tblPr>
      <w:tcPr>
        <w:shd w:val="clear" w:color="ffffff" w:fill="e8e8e8" w:themeFill="accent3" w:themeFillTint="40"/>
        <w:tcBorders/>
      </w:tcPr>
    </w:tblStylePr>
    <w:tblStylePr w:type="band1Vert">
      <w:rPr>
        <w:color w:val="404040"/>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4"/>
    <w:basedOn w:val="9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color w:val="404040"/>
        <w:sz w:val="22"/>
      </w:rPr>
      <w:pPr>
        <w:pBdr/>
        <w:spacing/>
        <w:ind/>
      </w:pPr>
      <w:tblPr>
        <w:tblBorders/>
      </w:tblPr>
      <w:tcPr>
        <w:shd w:val="clear" w:color="ffffff" w:fill="ffefbf" w:themeFill="accent4" w:themeFillTint="40"/>
        <w:tcBorders/>
      </w:tcPr>
    </w:tblStylePr>
    <w:tblStylePr w:type="band1Vert">
      <w:rPr>
        <w:color w:val="404040"/>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5"/>
    <w:basedOn w:val="9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color w:val="404040"/>
        <w:sz w:val="22"/>
      </w:rPr>
      <w:pPr>
        <w:pBdr/>
        <w:spacing/>
        <w:ind/>
      </w:pPr>
      <w:tblPr>
        <w:tblBorders/>
      </w:tblPr>
      <w:tcPr>
        <w:shd w:val="clear" w:color="ffffff" w:fill="d0dcf0" w:themeFill="accent5" w:themeFillTint="40"/>
        <w:tcBorders/>
      </w:tcPr>
    </w:tblStylePr>
    <w:tblStylePr w:type="band1Vert">
      <w:rPr>
        <w:color w:val="404040"/>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6"/>
    <w:basedOn w:val="9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color w:val="404040"/>
        <w:sz w:val="22"/>
      </w:rPr>
      <w:pPr>
        <w:pBdr/>
        <w:spacing/>
        <w:ind/>
      </w:pPr>
      <w:tblPr>
        <w:tblBorders/>
      </w:tblPr>
      <w:tcPr>
        <w:shd w:val="clear" w:color="ffffff" w:fill="dbecd0" w:themeFill="accent6" w:themeFillTint="40"/>
        <w:tcBorders/>
      </w:tcPr>
    </w:tblStylePr>
    <w:tblStylePr w:type="band1Vert">
      <w:rPr>
        <w:color w:val="404040"/>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w:basedOn w:val="9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1"/>
    <w:basedOn w:val="9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2"/>
    <w:basedOn w:val="9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color w:val="404040"/>
        <w:sz w:val="22"/>
      </w:rPr>
      <w:pPr>
        <w:pBdr/>
        <w:spacing/>
        <w:ind/>
      </w:pPr>
      <w:tblPr>
        <w:tblBorders/>
      </w:tblPr>
      <w:tcPr>
        <w:tcBorders>
          <w:top w:val="single" w:color="000000" w:themeColor="accent2" w:sz="4" w:space="0"/>
          <w:bottom w:val="single" w:color="000000" w:themeColor="accent2" w:sz="4" w:space="0"/>
        </w:tcBorders>
      </w:tcPr>
    </w:tblStylePr>
    <w:tblStylePr w:type="band1Vert">
      <w:rPr>
        <w:color w:val="404040"/>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3"/>
    <w:basedOn w:val="9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color w:val="404040"/>
        <w:sz w:val="22"/>
      </w:rPr>
      <w:pPr>
        <w:pBdr/>
        <w:spacing/>
        <w:ind/>
      </w:pPr>
      <w:tblPr>
        <w:tblBorders/>
      </w:tblPr>
      <w:tcPr>
        <w:tcBorders>
          <w:top w:val="single" w:color="000000" w:themeColor="accent3" w:sz="4" w:space="0"/>
          <w:bottom w:val="single" w:color="000000" w:themeColor="accent3" w:sz="4" w:space="0"/>
        </w:tcBorders>
      </w:tcPr>
    </w:tblStylePr>
    <w:tblStylePr w:type="band1Vert">
      <w:rPr>
        <w:color w:val="404040"/>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4"/>
    <w:basedOn w:val="9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color w:val="404040"/>
        <w:sz w:val="22"/>
      </w:rPr>
      <w:pPr>
        <w:pBdr/>
        <w:spacing/>
        <w:ind/>
      </w:pPr>
      <w:tblPr>
        <w:tblBorders/>
      </w:tblPr>
      <w:tcPr>
        <w:tcBorders>
          <w:top w:val="single" w:color="000000" w:themeColor="accent4" w:sz="4" w:space="0"/>
          <w:bottom w:val="single" w:color="000000" w:themeColor="accent4" w:sz="4" w:space="0"/>
        </w:tcBorders>
      </w:tcPr>
    </w:tblStylePr>
    <w:tblStylePr w:type="band1Vert">
      <w:rPr>
        <w:color w:val="404040"/>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5"/>
    <w:basedOn w:val="9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color w:val="404040"/>
        <w:sz w:val="22"/>
      </w:rPr>
      <w:pPr>
        <w:pBdr/>
        <w:spacing/>
        <w:ind/>
      </w:pPr>
      <w:tblPr>
        <w:tblBorders/>
      </w:tblPr>
      <w:tcPr>
        <w:tcBorders>
          <w:top w:val="single" w:color="000000" w:themeColor="accent5" w:sz="4" w:space="0"/>
          <w:bottom w:val="single" w:color="000000" w:themeColor="accent5" w:sz="4" w:space="0"/>
        </w:tcBorders>
      </w:tcPr>
    </w:tblStylePr>
    <w:tblStylePr w:type="band1Vert">
      <w:rPr>
        <w:color w:val="404040"/>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6"/>
    <w:basedOn w:val="9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color w:val="404040"/>
        <w:sz w:val="22"/>
      </w:rPr>
      <w:pPr>
        <w:pBdr/>
        <w:spacing/>
        <w:ind/>
      </w:pPr>
      <w:tblPr>
        <w:tblBorders/>
      </w:tblPr>
      <w:tcPr>
        <w:tcBorders>
          <w:top w:val="single" w:color="000000" w:themeColor="accent6" w:sz="4" w:space="0"/>
          <w:bottom w:val="single" w:color="000000" w:themeColor="accent6" w:sz="4" w:space="0"/>
        </w:tcBorders>
      </w:tcPr>
    </w:tblStylePr>
    <w:tblStylePr w:type="band1Vert">
      <w:rPr>
        <w:color w:val="404040"/>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w:basedOn w:val="9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ffffff" w:fill="bfbfbf" w:themeFill="text1" w:themeFillTint="40"/>
        <w:tcBorders/>
      </w:tcPr>
    </w:tblStylePr>
    <w:tblStylePr w:type="band1Vert">
      <w:rPr>
        <w:color w:val="404040"/>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1"/>
    <w:basedOn w:val="9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color w:val="404040"/>
        <w:sz w:val="22"/>
      </w:rPr>
      <w:pPr>
        <w:pBdr/>
        <w:spacing/>
        <w:ind/>
      </w:pPr>
      <w:tblPr>
        <w:tblBorders/>
      </w:tblPr>
      <w:tcPr>
        <w:shd w:val="clear" w:color="ffffff" w:fill="d6e6f4" w:themeFill="accent1" w:themeFillTint="40"/>
        <w:tcBorders/>
      </w:tcPr>
    </w:tblStylePr>
    <w:tblStylePr w:type="band1Vert">
      <w:rPr>
        <w:color w:val="404040"/>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2"/>
    <w:basedOn w:val="9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color w:val="404040"/>
        <w:sz w:val="22"/>
      </w:rPr>
      <w:pPr>
        <w:pBdr/>
        <w:spacing/>
        <w:ind/>
      </w:pPr>
      <w:tblPr>
        <w:tblBorders/>
      </w:tblPr>
      <w:tcPr>
        <w:shd w:val="clear" w:color="ffffff" w:fill="fadecb" w:themeFill="accent2" w:themeFillTint="40"/>
        <w:tcBorders/>
      </w:tcPr>
    </w:tblStylePr>
    <w:tblStylePr w:type="band1Vert">
      <w:rPr>
        <w:color w:val="404040"/>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3"/>
    <w:basedOn w:val="9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color w:val="404040"/>
        <w:sz w:val="22"/>
      </w:rPr>
      <w:pPr>
        <w:pBdr/>
        <w:spacing/>
        <w:ind/>
      </w:pPr>
      <w:tblPr>
        <w:tblBorders/>
      </w:tblPr>
      <w:tcPr>
        <w:shd w:val="clear" w:color="ffffff" w:fill="e8e8e8" w:themeFill="accent3" w:themeFillTint="40"/>
        <w:tcBorders/>
      </w:tcPr>
    </w:tblStylePr>
    <w:tblStylePr w:type="band1Vert">
      <w:rPr>
        <w:color w:val="404040"/>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4"/>
    <w:basedOn w:val="9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color w:val="404040"/>
        <w:sz w:val="22"/>
      </w:rPr>
      <w:pPr>
        <w:pBdr/>
        <w:spacing/>
        <w:ind/>
      </w:pPr>
      <w:tblPr>
        <w:tblBorders/>
      </w:tblPr>
      <w:tcPr>
        <w:shd w:val="clear" w:color="ffffff" w:fill="ffefbf" w:themeFill="accent4" w:themeFillTint="40"/>
        <w:tcBorders/>
      </w:tcPr>
    </w:tblStylePr>
    <w:tblStylePr w:type="band1Vert">
      <w:rPr>
        <w:color w:val="404040"/>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5"/>
    <w:basedOn w:val="9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color w:val="404040"/>
        <w:sz w:val="22"/>
      </w:rPr>
      <w:pPr>
        <w:pBdr/>
        <w:spacing/>
        <w:ind/>
      </w:pPr>
      <w:tblPr>
        <w:tblBorders/>
      </w:tblPr>
      <w:tcPr>
        <w:shd w:val="clear" w:color="ffffff" w:fill="d0dcf0" w:themeFill="accent5" w:themeFillTint="40"/>
        <w:tcBorders/>
      </w:tcPr>
    </w:tblStylePr>
    <w:tblStylePr w:type="band1Vert">
      <w:rPr>
        <w:color w:val="404040"/>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6"/>
    <w:basedOn w:val="9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color w:val="404040"/>
        <w:sz w:val="22"/>
      </w:rPr>
      <w:pPr>
        <w:pBdr/>
        <w:spacing/>
        <w:ind/>
      </w:pPr>
      <w:tblPr>
        <w:tblBorders/>
      </w:tblPr>
      <w:tcPr>
        <w:shd w:val="clear" w:color="ffffff" w:fill="dbecd0" w:themeFill="accent6" w:themeFillTint="40"/>
        <w:tcBorders/>
      </w:tcPr>
    </w:tblStylePr>
    <w:tblStylePr w:type="band1Vert">
      <w:rPr>
        <w:color w:val="404040"/>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ffff"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w:basedOn w:val="9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3">
    <w:name w:val="List Table 5 Dark - Accent 1"/>
    <w:basedOn w:val="9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4">
    <w:name w:val="List Table 5 Dark - Accent 2"/>
    <w:basedOn w:val="9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5">
    <w:name w:val="List Table 5 Dark - Accent 3"/>
    <w:basedOn w:val="9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6">
    <w:name w:val="List Table 5 Dark - Accent 4"/>
    <w:basedOn w:val="9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7">
    <w:name w:val="List Table 5 Dark - Accent 5"/>
    <w:basedOn w:val="9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8">
    <w:name w:val="List Table 5 Dark - Accent 6"/>
    <w:basedOn w:val="9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9">
    <w:name w:val="List Table 6 Colorful"/>
    <w:basedOn w:val="9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1"/>
    <w:basedOn w:val="9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2"/>
    <w:basedOn w:val="9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3"/>
    <w:basedOn w:val="9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4"/>
    <w:basedOn w:val="9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5"/>
    <w:basedOn w:val="9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6"/>
    <w:basedOn w:val="9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w:basedOn w:val="9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17">
    <w:name w:val="List Table 7 Colorful - Accent 1"/>
    <w:basedOn w:val="9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918">
    <w:name w:val="List Table 7 Colorful - Accent 2"/>
    <w:basedOn w:val="9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919">
    <w:name w:val="List Table 7 Colorful - Accent 3"/>
    <w:basedOn w:val="9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920">
    <w:name w:val="List Table 7 Colorful - Accent 4"/>
    <w:basedOn w:val="9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921">
    <w:name w:val="List Table 7 Colorful - Accent 5"/>
    <w:basedOn w:val="9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aa1"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aa1"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aa1"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aa1" w:themeColor="accent5" w:themeTint="9A" w:themeShade="95"/>
        <w:sz w:val="22"/>
      </w:rPr>
      <w:pPr>
        <w:pBdr/>
        <w:spacing/>
        <w:ind/>
      </w:pPr>
      <w:tblPr>
        <w:tblBorders/>
      </w:tblPr>
      <w:tcPr>
        <w:tcBorders/>
      </w:tcPr>
    </w:tblStylePr>
  </w:style>
  <w:style w:type="table" w:styleId="922">
    <w:name w:val="List Table 7 Colorful - Accent 6"/>
    <w:basedOn w:val="9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923">
    <w:name w:val="Lined - Accent"/>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2f2f2" w:themeFill="text1" w:themeFillTint="00"/>
        <w:tcBorders/>
      </w:tcPr>
    </w:tblStylePr>
    <w:tblStylePr w:type="band2Vert">
      <w:rPr>
        <w:color w:val="404040"/>
        <w:sz w:val="22"/>
      </w:rPr>
      <w:pPr>
        <w:pBdr/>
        <w:spacing/>
        <w:ind/>
      </w:pPr>
      <w:tblPr>
        <w:tblBorders/>
      </w:tblPr>
      <w:tcPr>
        <w:shd w:val="clear" w:color="ffffff" w:fill="f2f2f2" w:themeFill="text1" w:themeFillTint="00"/>
        <w:tcBorders/>
      </w:tcPr>
    </w:tblStylePr>
    <w:tblStylePr w:type="firstCol">
      <w:rPr>
        <w:color w:val="f2f2f2"/>
        <w:sz w:val="22"/>
      </w:rPr>
      <w:pPr>
        <w:pBdr/>
        <w:spacing/>
        <w:ind/>
      </w:pPr>
      <w:tblPr>
        <w:tblBorders/>
      </w:tblPr>
      <w:tcPr>
        <w:shd w:val="clear" w:color="ffffff" w:fill="7f7f7f" w:themeFill="text1" w:themeFillTint="80"/>
        <w:tcBorders/>
      </w:tcPr>
    </w:tblStylePr>
    <w:tblStylePr w:type="firstRow">
      <w:rPr>
        <w:color w:val="f2f2f2"/>
        <w:sz w:val="22"/>
      </w:rPr>
      <w:pPr>
        <w:pBdr/>
        <w:spacing/>
        <w:ind/>
      </w:pPr>
      <w:tblPr>
        <w:tblBorders/>
      </w:tblPr>
      <w:tcPr>
        <w:shd w:val="clear" w:color="ffffff" w:fill="7f7f7f" w:themeFill="text1" w:themeFillTint="80"/>
        <w:tcBorders/>
      </w:tcPr>
    </w:tblStylePr>
    <w:tblStylePr w:type="lastCol">
      <w:rPr>
        <w:color w:val="f2f2f2"/>
        <w:sz w:val="22"/>
      </w:rPr>
      <w:pPr>
        <w:pBdr/>
        <w:spacing/>
        <w:ind/>
      </w:pPr>
      <w:tblPr>
        <w:tblBorders/>
      </w:tblPr>
      <w:tcPr>
        <w:shd w:val="clear" w:color="ffffff" w:fill="7f7f7f" w:themeFill="text1" w:themeFillTint="80"/>
        <w:tcBorders/>
      </w:tcPr>
    </w:tblStylePr>
    <w:tblStylePr w:type="lastRow">
      <w:rPr>
        <w:color w:val="f2f2f2"/>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1"/>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cce0f2" w:themeFill="accent1" w:themeFillTint="50"/>
        <w:tcBorders/>
      </w:tcPr>
    </w:tblStylePr>
    <w:tblStylePr w:type="band2Vert">
      <w:rPr>
        <w:color w:val="404040"/>
        <w:sz w:val="22"/>
      </w:rPr>
      <w:pPr>
        <w:pBdr/>
        <w:spacing/>
        <w:ind/>
      </w:pPr>
      <w:tblPr>
        <w:tblBorders/>
      </w:tblPr>
      <w:tcPr>
        <w:shd w:val="clear" w:color="ffffff" w:fill="cce0f2" w:themeFill="accent1" w:themeFillTint="50"/>
        <w:tcBorders/>
      </w:tcPr>
    </w:tblStylePr>
    <w:tblStylePr w:type="firstCol">
      <w:rPr>
        <w:color w:val="f2f2f2"/>
        <w:sz w:val="22"/>
      </w:rPr>
      <w:pPr>
        <w:pBdr/>
        <w:spacing/>
        <w:ind/>
      </w:pPr>
      <w:tblPr>
        <w:tblBorders/>
      </w:tblPr>
      <w:tcPr>
        <w:shd w:val="clear" w:color="ffffff" w:fill="69a3d8" w:themeFill="accent1" w:themeFillTint="EA"/>
        <w:tcBorders/>
      </w:tcPr>
    </w:tblStylePr>
    <w:tblStylePr w:type="firstRow">
      <w:rPr>
        <w:color w:val="f2f2f2"/>
        <w:sz w:val="22"/>
      </w:rPr>
      <w:pPr>
        <w:pBdr/>
        <w:spacing/>
        <w:ind/>
      </w:pPr>
      <w:tblPr>
        <w:tblBorders/>
      </w:tblPr>
      <w:tcPr>
        <w:shd w:val="clear" w:color="ffffff" w:fill="69a3d8" w:themeFill="accent1" w:themeFillTint="EA"/>
        <w:tcBorders/>
      </w:tcPr>
    </w:tblStylePr>
    <w:tblStylePr w:type="lastCol">
      <w:rPr>
        <w:color w:val="f2f2f2"/>
        <w:sz w:val="22"/>
      </w:rPr>
      <w:pPr>
        <w:pBdr/>
        <w:spacing/>
        <w:ind/>
      </w:pPr>
      <w:tblPr>
        <w:tblBorders/>
      </w:tblPr>
      <w:tcPr>
        <w:shd w:val="clear" w:color="ffffff" w:fill="69a3d8" w:themeFill="accent1" w:themeFillTint="EA"/>
        <w:tcBorders/>
      </w:tcPr>
    </w:tblStylePr>
    <w:tblStylePr w:type="lastRow">
      <w:rPr>
        <w:color w:val="f2f2f2"/>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2"/>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be6d7" w:themeFill="accent2" w:themeFillTint="32"/>
        <w:tcBorders/>
      </w:tcPr>
    </w:tblStylePr>
    <w:tblStylePr w:type="band2Vert">
      <w:rPr>
        <w:color w:val="404040"/>
        <w:sz w:val="22"/>
      </w:rPr>
      <w:pPr>
        <w:pBdr/>
        <w:spacing/>
        <w:ind/>
      </w:pPr>
      <w:tblPr>
        <w:tblBorders/>
      </w:tblPr>
      <w:tcPr>
        <w:shd w:val="clear" w:color="ffffff" w:fill="fbe6d7" w:themeFill="accent2" w:themeFillTint="32"/>
        <w:tcBorders/>
      </w:tcPr>
    </w:tblStylePr>
    <w:tblStylePr w:type="firstCol">
      <w:rPr>
        <w:color w:val="f2f2f2"/>
        <w:sz w:val="22"/>
      </w:rPr>
      <w:pPr>
        <w:pBdr/>
        <w:spacing/>
        <w:ind/>
      </w:pPr>
      <w:tblPr>
        <w:tblBorders/>
      </w:tblPr>
      <w:tcPr>
        <w:shd w:val="clear" w:color="ffffff" w:fill="f4b285" w:themeFill="accent2" w:themeFillTint="97"/>
        <w:tcBorders/>
      </w:tcPr>
    </w:tblStylePr>
    <w:tblStylePr w:type="firstRow">
      <w:rPr>
        <w:color w:val="f2f2f2"/>
        <w:sz w:val="22"/>
      </w:rPr>
      <w:pPr>
        <w:pBdr/>
        <w:spacing/>
        <w:ind/>
      </w:pPr>
      <w:tblPr>
        <w:tblBorders/>
      </w:tblPr>
      <w:tcPr>
        <w:shd w:val="clear" w:color="ffffff" w:fill="f4b285" w:themeFill="accent2" w:themeFillTint="97"/>
        <w:tcBorders/>
      </w:tcPr>
    </w:tblStylePr>
    <w:tblStylePr w:type="lastCol">
      <w:rPr>
        <w:color w:val="f2f2f2"/>
        <w:sz w:val="22"/>
      </w:rPr>
      <w:pPr>
        <w:pBdr/>
        <w:spacing/>
        <w:ind/>
      </w:pPr>
      <w:tblPr>
        <w:tblBorders/>
      </w:tblPr>
      <w:tcPr>
        <w:shd w:val="clear" w:color="ffffff" w:fill="f4b285" w:themeFill="accent2" w:themeFillTint="97"/>
        <w:tcBorders/>
      </w:tcPr>
    </w:tblStylePr>
    <w:tblStylePr w:type="lastRow">
      <w:rPr>
        <w:color w:val="f2f2f2"/>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3"/>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deded" w:themeFill="accent3" w:themeFillTint="34"/>
        <w:tcBorders/>
      </w:tcPr>
    </w:tblStylePr>
    <w:tblStylePr w:type="band2Vert">
      <w:rPr>
        <w:color w:val="404040"/>
        <w:sz w:val="22"/>
      </w:rPr>
      <w:pPr>
        <w:pBdr/>
        <w:spacing/>
        <w:ind/>
      </w:pPr>
      <w:tblPr>
        <w:tblBorders/>
      </w:tblPr>
      <w:tcPr>
        <w:shd w:val="clear" w:color="ffffff" w:fill="ededed" w:themeFill="accent3" w:themeFillTint="34"/>
        <w:tcBorders/>
      </w:tcPr>
    </w:tblStylePr>
    <w:tblStylePr w:type="firstCol">
      <w:rPr>
        <w:color w:val="f2f2f2"/>
        <w:sz w:val="22"/>
      </w:rPr>
      <w:pPr>
        <w:pBdr/>
        <w:spacing/>
        <w:ind/>
      </w:pPr>
      <w:tblPr>
        <w:tblBorders/>
      </w:tblPr>
      <w:tcPr>
        <w:shd w:val="clear" w:color="ffffff" w:fill="a5a5a5" w:themeFill="accent3" w:themeFillTint="FE"/>
        <w:tcBorders/>
      </w:tcPr>
    </w:tblStylePr>
    <w:tblStylePr w:type="firstRow">
      <w:rPr>
        <w:color w:val="f2f2f2"/>
        <w:sz w:val="22"/>
      </w:rPr>
      <w:pPr>
        <w:pBdr/>
        <w:spacing/>
        <w:ind/>
      </w:pPr>
      <w:tblPr>
        <w:tblBorders/>
      </w:tblPr>
      <w:tcPr>
        <w:shd w:val="clear" w:color="ffffff" w:fill="a5a5a5" w:themeFill="accent3" w:themeFillTint="FE"/>
        <w:tcBorders/>
      </w:tcPr>
    </w:tblStylePr>
    <w:tblStylePr w:type="lastCol">
      <w:rPr>
        <w:color w:val="f2f2f2"/>
        <w:sz w:val="22"/>
      </w:rPr>
      <w:pPr>
        <w:pBdr/>
        <w:spacing/>
        <w:ind/>
      </w:pPr>
      <w:tblPr>
        <w:tblBorders/>
      </w:tblPr>
      <w:tcPr>
        <w:shd w:val="clear" w:color="ffffff" w:fill="a5a5a5" w:themeFill="accent3" w:themeFillTint="FE"/>
        <w:tcBorders/>
      </w:tcPr>
    </w:tblStylePr>
    <w:tblStylePr w:type="lastRow">
      <w:rPr>
        <w:color w:val="f2f2f2"/>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4"/>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ff2cb" w:themeFill="accent4" w:themeFillTint="34"/>
        <w:tcBorders/>
      </w:tcPr>
    </w:tblStylePr>
    <w:tblStylePr w:type="band2Vert">
      <w:rPr>
        <w:color w:val="404040"/>
        <w:sz w:val="22"/>
      </w:rPr>
      <w:pPr>
        <w:pBdr/>
        <w:spacing/>
        <w:ind/>
      </w:pPr>
      <w:tblPr>
        <w:tblBorders/>
      </w:tblPr>
      <w:tcPr>
        <w:shd w:val="clear" w:color="ffffff" w:fill="fff2cb" w:themeFill="accent4" w:themeFillTint="34"/>
        <w:tcBorders/>
      </w:tcPr>
    </w:tblStylePr>
    <w:tblStylePr w:type="firstCol">
      <w:rPr>
        <w:color w:val="f2f2f2"/>
        <w:sz w:val="22"/>
      </w:rPr>
      <w:pPr>
        <w:pBdr/>
        <w:spacing/>
        <w:ind/>
      </w:pPr>
      <w:tblPr>
        <w:tblBorders/>
      </w:tblPr>
      <w:tcPr>
        <w:shd w:val="clear" w:color="ffffff" w:fill="ffd965" w:themeFill="accent4" w:themeFillTint="9A"/>
        <w:tcBorders/>
      </w:tcPr>
    </w:tblStylePr>
    <w:tblStylePr w:type="firstRow">
      <w:rPr>
        <w:color w:val="f2f2f2"/>
        <w:sz w:val="22"/>
      </w:rPr>
      <w:pPr>
        <w:pBdr/>
        <w:spacing/>
        <w:ind/>
      </w:pPr>
      <w:tblPr>
        <w:tblBorders/>
      </w:tblPr>
      <w:tcPr>
        <w:shd w:val="clear" w:color="ffffff" w:fill="ffd965" w:themeFill="accent4" w:themeFillTint="9A"/>
        <w:tcBorders/>
      </w:tcPr>
    </w:tblStylePr>
    <w:tblStylePr w:type="lastCol">
      <w:rPr>
        <w:color w:val="f2f2f2"/>
        <w:sz w:val="22"/>
      </w:rPr>
      <w:pPr>
        <w:pBdr/>
        <w:spacing/>
        <w:ind/>
      </w:pPr>
      <w:tblPr>
        <w:tblBorders/>
      </w:tblPr>
      <w:tcPr>
        <w:shd w:val="clear" w:color="ffffff" w:fill="ffd965" w:themeFill="accent4" w:themeFillTint="9A"/>
        <w:tcBorders/>
      </w:tcPr>
    </w:tblStylePr>
    <w:tblStylePr w:type="lastRow">
      <w:rPr>
        <w:color w:val="f2f2f2"/>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5"/>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d9e2f3" w:themeFill="accent5" w:themeFillTint="34"/>
        <w:tcBorders/>
      </w:tcPr>
    </w:tblStylePr>
    <w:tblStylePr w:type="band2Vert">
      <w:rPr>
        <w:color w:val="404040"/>
        <w:sz w:val="22"/>
      </w:rPr>
      <w:pPr>
        <w:pBdr/>
        <w:spacing/>
        <w:ind/>
      </w:pPr>
      <w:tblPr>
        <w:tblBorders/>
      </w:tblPr>
      <w:tcPr>
        <w:shd w:val="clear" w:color="ffffff" w:fill="d9e2f3" w:themeFill="accent5" w:themeFillTint="34"/>
        <w:tcBorders/>
      </w:tcPr>
    </w:tblStylePr>
    <w:tblStylePr w:type="firstCol">
      <w:rPr>
        <w:color w:val="f2f2f2"/>
        <w:sz w:val="22"/>
      </w:rPr>
      <w:pPr>
        <w:pBdr/>
        <w:spacing/>
        <w:ind/>
      </w:pPr>
      <w:tblPr>
        <w:tblBorders/>
      </w:tblPr>
      <w:tcPr>
        <w:shd w:val="clear" w:color="ffffff" w:fill="4472c4" w:themeFill="accent5"/>
        <w:tcBorders/>
      </w:tcPr>
    </w:tblStylePr>
    <w:tblStylePr w:type="firstRow">
      <w:rPr>
        <w:color w:val="f2f2f2"/>
        <w:sz w:val="22"/>
      </w:rPr>
      <w:pPr>
        <w:pBdr/>
        <w:spacing/>
        <w:ind/>
      </w:pPr>
      <w:tblPr>
        <w:tblBorders/>
      </w:tblPr>
      <w:tcPr>
        <w:shd w:val="clear" w:color="ffffff" w:fill="4472c4" w:themeFill="accent5"/>
        <w:tcBorders/>
      </w:tcPr>
    </w:tblStylePr>
    <w:tblStylePr w:type="lastCol">
      <w:rPr>
        <w:color w:val="f2f2f2"/>
        <w:sz w:val="22"/>
      </w:rPr>
      <w:pPr>
        <w:pBdr/>
        <w:spacing/>
        <w:ind/>
      </w:pPr>
      <w:tblPr>
        <w:tblBorders/>
      </w:tblPr>
      <w:tcPr>
        <w:shd w:val="clear" w:color="ffffff" w:fill="4472c4" w:themeFill="accent5"/>
        <w:tcBorders/>
      </w:tcPr>
    </w:tblStylePr>
    <w:tblStylePr w:type="lastRow">
      <w:rPr>
        <w:color w:val="f2f2f2"/>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6"/>
    <w:basedOn w:val="944"/>
    <w:uiPriority w:val="99"/>
    <w:pPr>
      <w:pBdr/>
      <w:spacing w:after="0" w:line="240" w:lineRule="auto"/>
      <w:ind/>
    </w:pPr>
    <w:rPr>
      <w:color w:val="404040"/>
    </w:rPr>
    <w:tblPr>
      <w:tblStyleRowBandSize w:val="1"/>
      <w:tblStyleColBandSize w:val="1"/>
      <w:tblInd w:w="0" w:type="dxa"/>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2efd9" w:themeFill="accent6" w:themeFillTint="34"/>
        <w:tcBorders/>
      </w:tcPr>
    </w:tblStylePr>
    <w:tblStylePr w:type="band2Vert">
      <w:rPr>
        <w:color w:val="404040"/>
        <w:sz w:val="22"/>
      </w:rPr>
      <w:pPr>
        <w:pBdr/>
        <w:spacing/>
        <w:ind/>
      </w:pPr>
      <w:tblPr>
        <w:tblBorders/>
      </w:tblPr>
      <w:tcPr>
        <w:shd w:val="clear" w:color="ffffff" w:fill="e2efd9" w:themeFill="accent6" w:themeFillTint="34"/>
        <w:tcBorders/>
      </w:tcPr>
    </w:tblStylePr>
    <w:tblStylePr w:type="firstCol">
      <w:rPr>
        <w:color w:val="f2f2f2"/>
        <w:sz w:val="22"/>
      </w:rPr>
      <w:pPr>
        <w:pBdr/>
        <w:spacing/>
        <w:ind/>
      </w:pPr>
      <w:tblPr>
        <w:tblBorders/>
      </w:tblPr>
      <w:tcPr>
        <w:shd w:val="clear" w:color="ffffff" w:fill="70ad47" w:themeFill="accent6"/>
        <w:tcBorders/>
      </w:tcPr>
    </w:tblStylePr>
    <w:tblStylePr w:type="firstRow">
      <w:rPr>
        <w:color w:val="f2f2f2"/>
        <w:sz w:val="22"/>
      </w:rPr>
      <w:pPr>
        <w:pBdr/>
        <w:spacing/>
        <w:ind/>
      </w:pPr>
      <w:tblPr>
        <w:tblBorders/>
      </w:tblPr>
      <w:tcPr>
        <w:shd w:val="clear" w:color="ffffff" w:fill="70ad47" w:themeFill="accent6"/>
        <w:tcBorders/>
      </w:tcPr>
    </w:tblStylePr>
    <w:tblStylePr w:type="lastCol">
      <w:rPr>
        <w:color w:val="f2f2f2"/>
        <w:sz w:val="22"/>
      </w:rPr>
      <w:pPr>
        <w:pBdr/>
        <w:spacing/>
        <w:ind/>
      </w:pPr>
      <w:tblPr>
        <w:tblBorders/>
      </w:tblPr>
      <w:tcPr>
        <w:shd w:val="clear" w:color="ffffff" w:fill="70ad47" w:themeFill="accent6"/>
        <w:tcBorders/>
      </w:tcPr>
    </w:tblStylePr>
    <w:tblStylePr w:type="lastRow">
      <w:rPr>
        <w:color w:val="f2f2f2"/>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w:basedOn w:val="9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2f2f2" w:themeFill="text1" w:themeFillTint="00"/>
        <w:tcBorders/>
      </w:tcPr>
    </w:tblStylePr>
    <w:tblStylePr w:type="band2Vert">
      <w:rPr>
        <w:color w:val="404040"/>
        <w:sz w:val="22"/>
      </w:rPr>
      <w:pPr>
        <w:pBdr/>
        <w:spacing/>
        <w:ind/>
      </w:pPr>
      <w:tblPr>
        <w:tblBorders/>
      </w:tblPr>
      <w:tcPr>
        <w:shd w:val="clear" w:color="ffffff" w:fill="f2f2f2" w:themeFill="text1" w:themeFillTint="00"/>
        <w:tcBorders/>
      </w:tcPr>
    </w:tblStylePr>
    <w:tblStylePr w:type="firstCol">
      <w:rPr>
        <w:color w:val="f2f2f2"/>
        <w:sz w:val="22"/>
      </w:rPr>
      <w:pPr>
        <w:pBdr/>
        <w:spacing/>
        <w:ind/>
      </w:pPr>
      <w:tblPr>
        <w:tblBorders/>
      </w:tblPr>
      <w:tcPr>
        <w:shd w:val="clear" w:color="ffffff" w:fill="7f7f7f" w:themeFill="text1" w:themeFillTint="80"/>
        <w:tcBorders/>
      </w:tcPr>
    </w:tblStylePr>
    <w:tblStylePr w:type="firstRow">
      <w:rPr>
        <w:color w:val="f2f2f2"/>
        <w:sz w:val="22"/>
      </w:rPr>
      <w:pPr>
        <w:pBdr/>
        <w:spacing/>
        <w:ind/>
      </w:pPr>
      <w:tblPr>
        <w:tblBorders/>
      </w:tblPr>
      <w:tcPr>
        <w:shd w:val="clear" w:color="ffffff" w:fill="7f7f7f" w:themeFill="text1" w:themeFillTint="80"/>
        <w:tcBorders/>
      </w:tcPr>
    </w:tblStylePr>
    <w:tblStylePr w:type="lastCol">
      <w:rPr>
        <w:color w:val="f2f2f2"/>
        <w:sz w:val="22"/>
      </w:rPr>
      <w:pPr>
        <w:pBdr/>
        <w:spacing/>
        <w:ind/>
      </w:pPr>
      <w:tblPr>
        <w:tblBorders/>
      </w:tblPr>
      <w:tcPr>
        <w:shd w:val="clear" w:color="ffffff" w:fill="7f7f7f" w:themeFill="text1" w:themeFillTint="80"/>
        <w:tcBorders/>
      </w:tcPr>
    </w:tblStylePr>
    <w:tblStylePr w:type="lastRow">
      <w:rPr>
        <w:color w:val="f2f2f2"/>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1"/>
    <w:basedOn w:val="944"/>
    <w:uiPriority w:val="99"/>
    <w:pPr>
      <w:pBdr/>
      <w:spacing w:after="0" w:line="240" w:lineRule="auto"/>
      <w:ind/>
    </w:pPr>
    <w:rPr>
      <w:color w:val="404040"/>
    </w:r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cce0f2" w:themeFill="accent1" w:themeFillTint="50"/>
        <w:tcBorders/>
      </w:tcPr>
    </w:tblStylePr>
    <w:tblStylePr w:type="band2Vert">
      <w:rPr>
        <w:color w:val="404040"/>
        <w:sz w:val="22"/>
      </w:rPr>
      <w:pPr>
        <w:pBdr/>
        <w:spacing/>
        <w:ind/>
      </w:pPr>
      <w:tblPr>
        <w:tblBorders/>
      </w:tblPr>
      <w:tcPr>
        <w:shd w:val="clear" w:color="ffffff" w:fill="cce0f2" w:themeFill="accent1" w:themeFillTint="50"/>
        <w:tcBorders/>
      </w:tcPr>
    </w:tblStylePr>
    <w:tblStylePr w:type="firstCol">
      <w:rPr>
        <w:color w:val="f2f2f2"/>
        <w:sz w:val="22"/>
      </w:rPr>
      <w:pPr>
        <w:pBdr/>
        <w:spacing/>
        <w:ind/>
      </w:pPr>
      <w:tblPr>
        <w:tblBorders/>
      </w:tblPr>
      <w:tcPr>
        <w:shd w:val="clear" w:color="ffffff" w:fill="69a3d8" w:themeFill="accent1" w:themeFillTint="EA"/>
        <w:tcBorders/>
      </w:tcPr>
    </w:tblStylePr>
    <w:tblStylePr w:type="firstRow">
      <w:rPr>
        <w:color w:val="f2f2f2"/>
        <w:sz w:val="22"/>
      </w:rPr>
      <w:pPr>
        <w:pBdr/>
        <w:spacing/>
        <w:ind/>
      </w:pPr>
      <w:tblPr>
        <w:tblBorders/>
      </w:tblPr>
      <w:tcPr>
        <w:shd w:val="clear" w:color="ffffff" w:fill="69a3d8" w:themeFill="accent1" w:themeFillTint="EA"/>
        <w:tcBorders/>
      </w:tcPr>
    </w:tblStylePr>
    <w:tblStylePr w:type="lastCol">
      <w:rPr>
        <w:color w:val="f2f2f2"/>
        <w:sz w:val="22"/>
      </w:rPr>
      <w:pPr>
        <w:pBdr/>
        <w:spacing/>
        <w:ind/>
      </w:pPr>
      <w:tblPr>
        <w:tblBorders/>
      </w:tblPr>
      <w:tcPr>
        <w:shd w:val="clear" w:color="ffffff" w:fill="69a3d8" w:themeFill="accent1" w:themeFillTint="EA"/>
        <w:tcBorders/>
      </w:tcPr>
    </w:tblStylePr>
    <w:tblStylePr w:type="lastRow">
      <w:rPr>
        <w:color w:val="f2f2f2"/>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2"/>
    <w:basedOn w:val="944"/>
    <w:uiPriority w:val="99"/>
    <w:pPr>
      <w:pBdr/>
      <w:spacing w:after="0" w:line="240" w:lineRule="auto"/>
      <w:ind/>
    </w:pPr>
    <w:rPr>
      <w:color w:val="404040"/>
    </w:rPr>
    <w:tblPr>
      <w:tblStyleRowBandSize w:val="1"/>
      <w:tblStyleColBandSize w:val="1"/>
      <w:tblInd w:w="0" w:type="dxa"/>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be6d7" w:themeFill="accent2" w:themeFillTint="32"/>
        <w:tcBorders/>
      </w:tcPr>
    </w:tblStylePr>
    <w:tblStylePr w:type="band2Vert">
      <w:rPr>
        <w:color w:val="404040"/>
        <w:sz w:val="22"/>
      </w:rPr>
      <w:pPr>
        <w:pBdr/>
        <w:spacing/>
        <w:ind/>
      </w:pPr>
      <w:tblPr>
        <w:tblBorders/>
      </w:tblPr>
      <w:tcPr>
        <w:shd w:val="clear" w:color="ffffff" w:fill="fbe6d7" w:themeFill="accent2" w:themeFillTint="32"/>
        <w:tcBorders/>
      </w:tcPr>
    </w:tblStylePr>
    <w:tblStylePr w:type="firstCol">
      <w:rPr>
        <w:color w:val="f2f2f2"/>
        <w:sz w:val="22"/>
      </w:rPr>
      <w:pPr>
        <w:pBdr/>
        <w:spacing/>
        <w:ind/>
      </w:pPr>
      <w:tblPr>
        <w:tblBorders/>
      </w:tblPr>
      <w:tcPr>
        <w:shd w:val="clear" w:color="ffffff" w:fill="f4b285" w:themeFill="accent2" w:themeFillTint="97"/>
        <w:tcBorders/>
      </w:tcPr>
    </w:tblStylePr>
    <w:tblStylePr w:type="firstRow">
      <w:rPr>
        <w:color w:val="f2f2f2"/>
        <w:sz w:val="22"/>
      </w:rPr>
      <w:pPr>
        <w:pBdr/>
        <w:spacing/>
        <w:ind/>
      </w:pPr>
      <w:tblPr>
        <w:tblBorders/>
      </w:tblPr>
      <w:tcPr>
        <w:shd w:val="clear" w:color="ffffff" w:fill="f4b285" w:themeFill="accent2" w:themeFillTint="97"/>
        <w:tcBorders/>
      </w:tcPr>
    </w:tblStylePr>
    <w:tblStylePr w:type="lastCol">
      <w:rPr>
        <w:color w:val="f2f2f2"/>
        <w:sz w:val="22"/>
      </w:rPr>
      <w:pPr>
        <w:pBdr/>
        <w:spacing/>
        <w:ind/>
      </w:pPr>
      <w:tblPr>
        <w:tblBorders/>
      </w:tblPr>
      <w:tcPr>
        <w:shd w:val="clear" w:color="ffffff" w:fill="f4b285" w:themeFill="accent2" w:themeFillTint="97"/>
        <w:tcBorders/>
      </w:tcPr>
    </w:tblStylePr>
    <w:tblStylePr w:type="lastRow">
      <w:rPr>
        <w:color w:val="f2f2f2"/>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3"/>
    <w:basedOn w:val="944"/>
    <w:uiPriority w:val="99"/>
    <w:pPr>
      <w:pBdr/>
      <w:spacing w:after="0" w:line="240" w:lineRule="auto"/>
      <w:ind/>
    </w:pPr>
    <w:rPr>
      <w:color w:val="404040"/>
    </w:rPr>
    <w:tblPr>
      <w:tblStyleRowBandSize w:val="1"/>
      <w:tblStyleColBandSize w:val="1"/>
      <w:tblInd w:w="0" w:type="dxa"/>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deded" w:themeFill="accent3" w:themeFillTint="34"/>
        <w:tcBorders/>
      </w:tcPr>
    </w:tblStylePr>
    <w:tblStylePr w:type="band2Vert">
      <w:rPr>
        <w:color w:val="404040"/>
        <w:sz w:val="22"/>
      </w:rPr>
      <w:pPr>
        <w:pBdr/>
        <w:spacing/>
        <w:ind/>
      </w:pPr>
      <w:tblPr>
        <w:tblBorders/>
      </w:tblPr>
      <w:tcPr>
        <w:shd w:val="clear" w:color="ffffff" w:fill="ededed" w:themeFill="accent3" w:themeFillTint="34"/>
        <w:tcBorders/>
      </w:tcPr>
    </w:tblStylePr>
    <w:tblStylePr w:type="firstCol">
      <w:rPr>
        <w:color w:val="f2f2f2"/>
        <w:sz w:val="22"/>
      </w:rPr>
      <w:pPr>
        <w:pBdr/>
        <w:spacing/>
        <w:ind/>
      </w:pPr>
      <w:tblPr>
        <w:tblBorders/>
      </w:tblPr>
      <w:tcPr>
        <w:shd w:val="clear" w:color="ffffff" w:fill="a5a5a5" w:themeFill="accent3" w:themeFillTint="FE"/>
        <w:tcBorders/>
      </w:tcPr>
    </w:tblStylePr>
    <w:tblStylePr w:type="firstRow">
      <w:rPr>
        <w:color w:val="f2f2f2"/>
        <w:sz w:val="22"/>
      </w:rPr>
      <w:pPr>
        <w:pBdr/>
        <w:spacing/>
        <w:ind/>
      </w:pPr>
      <w:tblPr>
        <w:tblBorders/>
      </w:tblPr>
      <w:tcPr>
        <w:shd w:val="clear" w:color="ffffff" w:fill="a5a5a5" w:themeFill="accent3" w:themeFillTint="FE"/>
        <w:tcBorders/>
      </w:tcPr>
    </w:tblStylePr>
    <w:tblStylePr w:type="lastCol">
      <w:rPr>
        <w:color w:val="f2f2f2"/>
        <w:sz w:val="22"/>
      </w:rPr>
      <w:pPr>
        <w:pBdr/>
        <w:spacing/>
        <w:ind/>
      </w:pPr>
      <w:tblPr>
        <w:tblBorders/>
      </w:tblPr>
      <w:tcPr>
        <w:shd w:val="clear" w:color="ffffff" w:fill="a5a5a5" w:themeFill="accent3" w:themeFillTint="FE"/>
        <w:tcBorders/>
      </w:tcPr>
    </w:tblStylePr>
    <w:tblStylePr w:type="lastRow">
      <w:rPr>
        <w:color w:val="f2f2f2"/>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4"/>
    <w:basedOn w:val="944"/>
    <w:uiPriority w:val="99"/>
    <w:pPr>
      <w:pBdr/>
      <w:spacing w:after="0" w:line="240" w:lineRule="auto"/>
      <w:ind/>
    </w:pPr>
    <w:rPr>
      <w:color w:val="404040"/>
    </w:rPr>
    <w:tblPr>
      <w:tblStyleRowBandSize w:val="1"/>
      <w:tblStyleColBandSize w:val="1"/>
      <w:tblInd w:w="0" w:type="dxa"/>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fff2cb" w:themeFill="accent4" w:themeFillTint="34"/>
        <w:tcBorders/>
      </w:tcPr>
    </w:tblStylePr>
    <w:tblStylePr w:type="band2Vert">
      <w:rPr>
        <w:color w:val="404040"/>
        <w:sz w:val="22"/>
      </w:rPr>
      <w:pPr>
        <w:pBdr/>
        <w:spacing/>
        <w:ind/>
      </w:pPr>
      <w:tblPr>
        <w:tblBorders/>
      </w:tblPr>
      <w:tcPr>
        <w:shd w:val="clear" w:color="ffffff" w:fill="fff2cb" w:themeFill="accent4" w:themeFillTint="34"/>
        <w:tcBorders/>
      </w:tcPr>
    </w:tblStylePr>
    <w:tblStylePr w:type="firstCol">
      <w:rPr>
        <w:color w:val="f2f2f2"/>
        <w:sz w:val="22"/>
      </w:rPr>
      <w:pPr>
        <w:pBdr/>
        <w:spacing/>
        <w:ind/>
      </w:pPr>
      <w:tblPr>
        <w:tblBorders/>
      </w:tblPr>
      <w:tcPr>
        <w:shd w:val="clear" w:color="ffffff" w:fill="ffd965" w:themeFill="accent4" w:themeFillTint="9A"/>
        <w:tcBorders/>
      </w:tcPr>
    </w:tblStylePr>
    <w:tblStylePr w:type="firstRow">
      <w:rPr>
        <w:color w:val="f2f2f2"/>
        <w:sz w:val="22"/>
      </w:rPr>
      <w:pPr>
        <w:pBdr/>
        <w:spacing/>
        <w:ind/>
      </w:pPr>
      <w:tblPr>
        <w:tblBorders/>
      </w:tblPr>
      <w:tcPr>
        <w:shd w:val="clear" w:color="ffffff" w:fill="ffd965" w:themeFill="accent4" w:themeFillTint="9A"/>
        <w:tcBorders/>
      </w:tcPr>
    </w:tblStylePr>
    <w:tblStylePr w:type="lastCol">
      <w:rPr>
        <w:color w:val="f2f2f2"/>
        <w:sz w:val="22"/>
      </w:rPr>
      <w:pPr>
        <w:pBdr/>
        <w:spacing/>
        <w:ind/>
      </w:pPr>
      <w:tblPr>
        <w:tblBorders/>
      </w:tblPr>
      <w:tcPr>
        <w:shd w:val="clear" w:color="ffffff" w:fill="ffd965" w:themeFill="accent4" w:themeFillTint="9A"/>
        <w:tcBorders/>
      </w:tcPr>
    </w:tblStylePr>
    <w:tblStylePr w:type="lastRow">
      <w:rPr>
        <w:color w:val="f2f2f2"/>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5"/>
    <w:basedOn w:val="944"/>
    <w:uiPriority w:val="99"/>
    <w:pPr>
      <w:pBdr/>
      <w:spacing w:after="0" w:line="240" w:lineRule="auto"/>
      <w:ind/>
    </w:pPr>
    <w:rPr>
      <w:color w:val="404040"/>
    </w:r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d9e2f3" w:themeFill="accent5" w:themeFillTint="34"/>
        <w:tcBorders/>
      </w:tcPr>
    </w:tblStylePr>
    <w:tblStylePr w:type="band2Vert">
      <w:rPr>
        <w:color w:val="404040"/>
        <w:sz w:val="22"/>
      </w:rPr>
      <w:pPr>
        <w:pBdr/>
        <w:spacing/>
        <w:ind/>
      </w:pPr>
      <w:tblPr>
        <w:tblBorders/>
      </w:tblPr>
      <w:tcPr>
        <w:shd w:val="clear" w:color="ffffff" w:fill="d9e2f3" w:themeFill="accent5" w:themeFillTint="34"/>
        <w:tcBorders/>
      </w:tcPr>
    </w:tblStylePr>
    <w:tblStylePr w:type="firstCol">
      <w:rPr>
        <w:color w:val="f2f2f2"/>
        <w:sz w:val="22"/>
      </w:rPr>
      <w:pPr>
        <w:pBdr/>
        <w:spacing/>
        <w:ind/>
      </w:pPr>
      <w:tblPr>
        <w:tblBorders/>
      </w:tblPr>
      <w:tcPr>
        <w:shd w:val="clear" w:color="ffffff" w:fill="4472c4" w:themeFill="accent5"/>
        <w:tcBorders/>
      </w:tcPr>
    </w:tblStylePr>
    <w:tblStylePr w:type="firstRow">
      <w:rPr>
        <w:color w:val="f2f2f2"/>
        <w:sz w:val="22"/>
      </w:rPr>
      <w:pPr>
        <w:pBdr/>
        <w:spacing/>
        <w:ind/>
      </w:pPr>
      <w:tblPr>
        <w:tblBorders/>
      </w:tblPr>
      <w:tcPr>
        <w:shd w:val="clear" w:color="ffffff" w:fill="4472c4" w:themeFill="accent5"/>
        <w:tcBorders/>
      </w:tcPr>
    </w:tblStylePr>
    <w:tblStylePr w:type="lastCol">
      <w:rPr>
        <w:color w:val="f2f2f2"/>
        <w:sz w:val="22"/>
      </w:rPr>
      <w:pPr>
        <w:pBdr/>
        <w:spacing/>
        <w:ind/>
      </w:pPr>
      <w:tblPr>
        <w:tblBorders/>
      </w:tblPr>
      <w:tcPr>
        <w:shd w:val="clear" w:color="ffffff" w:fill="4472c4" w:themeFill="accent5"/>
        <w:tcBorders/>
      </w:tcPr>
    </w:tblStylePr>
    <w:tblStylePr w:type="lastRow">
      <w:rPr>
        <w:color w:val="f2f2f2"/>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6"/>
    <w:basedOn w:val="944"/>
    <w:uiPriority w:val="99"/>
    <w:pPr>
      <w:pBdr/>
      <w:spacing w:after="0" w:line="240" w:lineRule="auto"/>
      <w:ind/>
    </w:pPr>
    <w:rPr>
      <w:color w:val="404040"/>
    </w:r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fff" w:fill="e2efd9" w:themeFill="accent6" w:themeFillTint="34"/>
        <w:tcBorders/>
      </w:tcPr>
    </w:tblStylePr>
    <w:tblStylePr w:type="band2Vert">
      <w:rPr>
        <w:color w:val="404040"/>
        <w:sz w:val="22"/>
      </w:rPr>
      <w:pPr>
        <w:pBdr/>
        <w:spacing/>
        <w:ind/>
      </w:pPr>
      <w:tblPr>
        <w:tblBorders/>
      </w:tblPr>
      <w:tcPr>
        <w:shd w:val="clear" w:color="ffffff" w:fill="e2efd9" w:themeFill="accent6" w:themeFillTint="34"/>
        <w:tcBorders/>
      </w:tcPr>
    </w:tblStylePr>
    <w:tblStylePr w:type="firstCol">
      <w:rPr>
        <w:color w:val="f2f2f2"/>
        <w:sz w:val="22"/>
      </w:rPr>
      <w:pPr>
        <w:pBdr/>
        <w:spacing/>
        <w:ind/>
      </w:pPr>
      <w:tblPr>
        <w:tblBorders/>
      </w:tblPr>
      <w:tcPr>
        <w:shd w:val="clear" w:color="ffffff" w:fill="70ad47" w:themeFill="accent6"/>
        <w:tcBorders/>
      </w:tcPr>
    </w:tblStylePr>
    <w:tblStylePr w:type="firstRow">
      <w:rPr>
        <w:color w:val="f2f2f2"/>
        <w:sz w:val="22"/>
      </w:rPr>
      <w:pPr>
        <w:pBdr/>
        <w:spacing/>
        <w:ind/>
      </w:pPr>
      <w:tblPr>
        <w:tblBorders/>
      </w:tblPr>
      <w:tcPr>
        <w:shd w:val="clear" w:color="ffffff" w:fill="70ad47" w:themeFill="accent6"/>
        <w:tcBorders/>
      </w:tcPr>
    </w:tblStylePr>
    <w:tblStylePr w:type="lastCol">
      <w:rPr>
        <w:color w:val="f2f2f2"/>
        <w:sz w:val="22"/>
      </w:rPr>
      <w:pPr>
        <w:pBdr/>
        <w:spacing/>
        <w:ind/>
      </w:pPr>
      <w:tblPr>
        <w:tblBorders/>
      </w:tblPr>
      <w:tcPr>
        <w:shd w:val="clear" w:color="ffffff" w:fill="70ad47" w:themeFill="accent6"/>
        <w:tcBorders/>
      </w:tcPr>
    </w:tblStylePr>
    <w:tblStylePr w:type="lastRow">
      <w:rPr>
        <w:color w:val="f2f2f2"/>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w:basedOn w:val="9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color w:val="404040"/>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text1" w:sz="12" w:space="0"/>
        </w:tcBorders>
      </w:tcPr>
    </w:tblStylePr>
    <w:tblStylePr w:type="lastCol">
      <w:rPr>
        <w:color w:val="404040"/>
        <w:sz w:val="22"/>
      </w:rPr>
      <w:pPr>
        <w:pBdr/>
        <w:spacing/>
        <w:ind/>
      </w:pPr>
      <w:tblPr>
        <w:tblBorders/>
      </w:tblPr>
      <w:tcPr>
        <w:tcBorders>
          <w:left w:val="single" w:color="000000" w:themeColor="text1" w:sz="12" w:space="0"/>
        </w:tcBorders>
      </w:tcPr>
    </w:tblStylePr>
    <w:tblStylePr w:type="lastRow">
      <w:rPr>
        <w:color w:val="404040"/>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1"/>
    <w:basedOn w:val="9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color w:val="404040"/>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1" w:sz="12" w:space="0"/>
        </w:tcBorders>
      </w:tcPr>
    </w:tblStylePr>
    <w:tblStylePr w:type="lastCol">
      <w:rPr>
        <w:color w:val="404040"/>
        <w:sz w:val="22"/>
      </w:rPr>
      <w:pPr>
        <w:pBdr/>
        <w:spacing/>
        <w:ind/>
      </w:pPr>
      <w:tblPr>
        <w:tblBorders/>
      </w:tblPr>
      <w:tcPr>
        <w:tcBorders>
          <w:left w:val="single" w:color="000000" w:themeColor="accent1" w:sz="12" w:space="0"/>
        </w:tcBorders>
      </w:tcPr>
    </w:tblStylePr>
    <w:tblStylePr w:type="lastRow">
      <w:rPr>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2"/>
    <w:basedOn w:val="9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color w:val="404040"/>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2" w:sz="12" w:space="0"/>
        </w:tcBorders>
      </w:tcPr>
    </w:tblStylePr>
    <w:tblStylePr w:type="lastCol">
      <w:rPr>
        <w:color w:val="404040"/>
        <w:sz w:val="22"/>
      </w:rPr>
      <w:pPr>
        <w:pBdr/>
        <w:spacing/>
        <w:ind/>
      </w:pPr>
      <w:tblPr>
        <w:tblBorders/>
      </w:tblPr>
      <w:tcPr>
        <w:tcBorders>
          <w:left w:val="single" w:color="000000" w:themeColor="accent2" w:sz="12" w:space="0"/>
        </w:tcBorders>
      </w:tcPr>
    </w:tblStylePr>
    <w:tblStylePr w:type="lastRow">
      <w:rPr>
        <w:color w:val="404040"/>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3"/>
    <w:basedOn w:val="9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color w:val="404040"/>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3" w:sz="12" w:space="0"/>
        </w:tcBorders>
      </w:tcPr>
    </w:tblStylePr>
    <w:tblStylePr w:type="lastCol">
      <w:rPr>
        <w:color w:val="404040"/>
        <w:sz w:val="22"/>
      </w:rPr>
      <w:pPr>
        <w:pBdr/>
        <w:spacing/>
        <w:ind/>
      </w:pPr>
      <w:tblPr>
        <w:tblBorders/>
      </w:tblPr>
      <w:tcPr>
        <w:tcBorders>
          <w:left w:val="single" w:color="000000" w:themeColor="accent3" w:sz="12" w:space="0"/>
        </w:tcBorders>
      </w:tcPr>
    </w:tblStylePr>
    <w:tblStylePr w:type="lastRow">
      <w:rPr>
        <w:color w:val="404040"/>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4"/>
    <w:basedOn w:val="9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color w:val="404040"/>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4" w:sz="12" w:space="0"/>
        </w:tcBorders>
      </w:tcPr>
    </w:tblStylePr>
    <w:tblStylePr w:type="lastCol">
      <w:rPr>
        <w:color w:val="404040"/>
        <w:sz w:val="22"/>
      </w:rPr>
      <w:pPr>
        <w:pBdr/>
        <w:spacing/>
        <w:ind/>
      </w:pPr>
      <w:tblPr>
        <w:tblBorders/>
      </w:tblPr>
      <w:tcPr>
        <w:tcBorders>
          <w:left w:val="single" w:color="000000" w:themeColor="accent4" w:sz="12" w:space="0"/>
        </w:tcBorders>
      </w:tcPr>
    </w:tblStylePr>
    <w:tblStylePr w:type="lastRow">
      <w:rPr>
        <w:color w:val="404040"/>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5"/>
    <w:basedOn w:val="9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color w:val="404040"/>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5" w:sz="12" w:space="0"/>
        </w:tcBorders>
      </w:tcPr>
    </w:tblStylePr>
    <w:tblStylePr w:type="lastCol">
      <w:rPr>
        <w:color w:val="404040"/>
        <w:sz w:val="22"/>
      </w:rPr>
      <w:pPr>
        <w:pBdr/>
        <w:spacing/>
        <w:ind/>
      </w:pPr>
      <w:tblPr>
        <w:tblBorders/>
      </w:tblPr>
      <w:tcPr>
        <w:tcBorders>
          <w:left w:val="single" w:color="000000" w:themeColor="accent5" w:sz="12" w:space="0"/>
        </w:tcBorders>
      </w:tcPr>
    </w:tblStylePr>
    <w:tblStylePr w:type="lastRow">
      <w:rPr>
        <w:color w:val="404040"/>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6"/>
    <w:basedOn w:val="9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color w:val="404040"/>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themeColor="accent6" w:sz="12" w:space="0"/>
        </w:tcBorders>
      </w:tcPr>
    </w:tblStylePr>
    <w:tblStylePr w:type="lastCol">
      <w:rPr>
        <w:color w:val="404040"/>
        <w:sz w:val="22"/>
      </w:rPr>
      <w:pPr>
        <w:pBdr/>
        <w:spacing/>
        <w:ind/>
      </w:pPr>
      <w:tblPr>
        <w:tblBorders/>
      </w:tblPr>
      <w:tcPr>
        <w:tcBorders>
          <w:left w:val="single" w:color="000000" w:themeColor="accent6" w:sz="12" w:space="0"/>
        </w:tcBorders>
      </w:tcPr>
    </w:tblStylePr>
    <w:tblStylePr w:type="lastRow">
      <w:rPr>
        <w:color w:val="404040"/>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cbo.gov/"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4</cp:revision>
  <dcterms:modified xsi:type="dcterms:W3CDTF">2026-08-21T17:58:06Z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