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B590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To truly balance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affordability, innovation, speed, and fairness</w:t>
      </w:r>
      <w:r>
        <w:rPr>
          <w:rFonts w:ascii="Arial" w:hAnsi="Arial" w:eastAsia="Arial" w:cs="Arial"/>
          <w:color w:val="000000"/>
          <w:sz w:val="24"/>
        </w:rPr>
        <w:t xml:space="preserve">, the global health system must move away from the current "all-or-nothing" approach—where we either give drug companies total monopoly power or threaten them with strict price caps.</w:t>
      </w:r>
      <w:r/>
    </w:p>
    <w:p w14:paraId="18151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A realistic, balanced proposal would pivot the system toward a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"De-Risked, Tiered-Reward" model</w:t>
      </w:r>
      <w:r>
        <w:rPr>
          <w:rFonts w:ascii="Arial" w:hAnsi="Arial" w:eastAsia="Arial" w:cs="Arial"/>
          <w:color w:val="000000"/>
          <w:sz w:val="24"/>
        </w:rPr>
        <w:t xml:space="preserve">. This approach uses public funds to eliminate the financial risk of early failure, while using market competition to ensure speed and affordability.</w:t>
      </w:r>
      <w:r/>
    </w:p>
    <w:p w14:paraId="41B17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Here is the four-part framework to achieve this balance:</w:t>
      </w:r>
      <w:r/>
    </w:p>
    <w:p w14:paraId="5D4D7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1. The Global "Launchpad" Fund (Fosters Innovation &amp; Fairness)</w:t>
      </w:r>
      <w:r/>
    </w:p>
    <w:p w14:paraId="02F54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Instead of forcing countries to spend a flat percentage of GDP on general R&amp;D, all participating nations would contribute to a centralized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Global Health Launchpad Fund</w:t>
      </w:r>
      <w:r>
        <w:rPr>
          <w:rFonts w:ascii="Arial" w:hAnsi="Arial" w:eastAsia="Arial" w:cs="Arial"/>
          <w:color w:val="000000"/>
          <w:sz w:val="24"/>
        </w:rPr>
        <w:t xml:space="preserve">, scaled to their economic size.</w:t>
      </w:r>
      <w:r/>
    </w:p>
    <w:p w14:paraId="056B7FB5"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Publicly Funding the Risk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: This fund completely finances Phase 1 and Phase 2 clinical trials for high-priority global health targets (e.g., new antibiotics, Alzheimers, rare diseases).</w:t>
      </w:r>
      <w:r/>
    </w:p>
    <w:p w14:paraId="27D463C3"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Why it works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: By using public money to cover the stage where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90% of drugs fail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, private companies and venture capitalists no longer face existential financial ruin. This eliminates the justification for 20-year, high-priced monopolies while ensuring neglected diseases finally get funded.</w:t>
      </w:r>
      <w:r/>
    </w:p>
    <w:p w14:paraId="139E3D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2. Milestone "Prizes" Instead of Monopolies (Ensures Speed &amp; Agility)</w:t>
      </w:r>
      <w:r/>
    </w:p>
    <w:p w14:paraId="7384D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Once a drug successfully passes Phase 2 trials using public funding, governments would transition from funding the science to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incentivizing the speed of delivery</w:t>
      </w:r>
      <w:r>
        <w:rPr>
          <w:rFonts w:ascii="Arial" w:hAnsi="Arial" w:eastAsia="Arial" w:cs="Arial"/>
          <w:color w:val="000000"/>
          <w:sz w:val="24"/>
        </w:rPr>
        <w:t xml:space="preserve"> through massive cash "prizes."</w:t>
      </w:r>
      <w:r/>
    </w:p>
    <w:p w14:paraId="4693044D"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The Race to Market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: The first private company to successfully guide the drug through large-scale Phase 3 trials and secure regulatory approval wins a multi-billion-dollar cash prize funded by the global pool.</w:t>
      </w:r>
      <w:r/>
    </w:p>
    <w:p w14:paraId="1FB87655"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Why it works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: Private pharmaceutical companies are spectacularly agile at running global trials and navigating bureaucracy because they are profit-driven. The massive cash prize preserves that fierce corporate urgency and speed, but strips away their right to control 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the final price.</w:t>
      </w:r>
      <w:r/>
    </w:p>
    <w:p w14:paraId="20CDD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3. Open-Source Manufacturing Licences (Guarantees Affordability)</w:t>
      </w:r>
      <w:r/>
    </w:p>
    <w:p w14:paraId="2F5EF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In exchange for the government funding the early risk and paying out a massive success prize, the final chemical recipe for the drug becomes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open-source public property</w:t>
      </w:r>
      <w:r>
        <w:rPr>
          <w:rFonts w:ascii="Arial" w:hAnsi="Arial" w:eastAsia="Arial" w:cs="Arial"/>
          <w:color w:val="000000"/>
          <w:sz w:val="24"/>
        </w:rPr>
        <w:t xml:space="preserve"> the day it is approved.</w:t>
      </w:r>
      <w:r/>
    </w:p>
    <w:p w14:paraId="3CFB3166"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Immediate Generic Competition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: Any qualified manufacturing facility in the world (whether in the U.S., India, or Mexico) can immediately begin mass-producing the medicine.</w:t>
      </w:r>
      <w:r/>
    </w:p>
    <w:p w14:paraId="12531503"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Why it works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: True affordability is not achieved through government price caps, which require massive bureaucracy. It is achieved through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immediate market competition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 When ten different generic companies compete to sell the same pill, the price naturally plummets to just pennies above the cost of making it.</w:t>
      </w:r>
      <w:r/>
    </w:p>
    <w:p w14:paraId="319A9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4. Wealth-Indexed "Value Tariffs" (Balances Geopolitical Fairness)</w:t>
      </w:r>
      <w:r/>
    </w:p>
    <w:p w14:paraId="67CB87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To ensure global fairness without causing trade wars, the cost of funding the launchpad and the success prizes would be divided using a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Wealth Index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 w14:paraId="37D711C3"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Tiered Contributions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: High-income nations would pay higher upfront contributions into the global fund. Low-income nations would pay nothing, or a nominal fee, ensuring they have equal access to the open-source drug recipes without being financially squeezed.</w:t>
      </w:r>
      <w:r/>
    </w:p>
    <w:p w14:paraId="60BC7861"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The Corporate Incentive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: Drug companies still make massive, predictable profits via the upfront success prizes, meaning their shareholders stay happy and venture capital keeps flowing into biotechnology.</w:t>
      </w:r>
      <w:r/>
    </w:p>
    <w:p w14:paraId="1C0621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0"/>
        </w:rPr>
        <w:t xml:space="preserve">Summary of the Balance</w:t>
      </w:r>
      <w:r/>
    </w:p>
    <w:p w14:paraId="4E5CED65"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Affordability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: Achieved via immediate open-source generic competition.</w:t>
      </w:r>
      <w:r/>
    </w:p>
    <w:p w14:paraId="3F4FE64F"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Innovation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: Achieved by removing the financial risk of early-stage scientific failure.</w:t>
      </w:r>
      <w:r/>
    </w:p>
    <w:p w14:paraId="3B086398"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Speed &amp; Agility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: Achieved by keeping private companies in charge of clinical trials via massive cash rewards for fast approval.</w:t>
      </w:r>
      <w:r/>
    </w:p>
    <w:p w14:paraId="5872C8B8"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Fairness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: Achieved by ending the system where American patients single-handedly subsidize the rest of the world's medicine.</w:t>
      </w:r>
      <w:r/>
    </w:p>
    <w:p w14:paraId="0A30B477">
      <w:pPr>
        <w:pStyle w:val="673"/>
        <w:pBdr/>
        <w:tabs>
          <w:tab w:val="left" w:leader="none" w:pos="0"/>
          <w:tab w:val="clear" w:leader="none" w:pos="709"/>
        </w:tabs>
        <w:spacing w:after="0" w:before="0"/>
        <w:ind w:right="0"/>
        <w:rPr/>
      </w:pPr>
      <w:r>
        <w:rPr>
          <w:rFonts w:ascii="Arial" w:hAnsi="Arial"/>
          <w:b w:val="0"/>
          <w:strike w:val="0"/>
          <w:sz w:val="24"/>
          <w:szCs w:val="24"/>
          <w:highlight w:val="none"/>
          <w:u w:val="none"/>
        </w:rPr>
      </w:r>
      <w:r>
        <w:rPr>
          <w:rFonts w:ascii="Arial" w:hAnsi="Arial"/>
          <w:b w:val="0"/>
          <w:strike w:val="0"/>
          <w:sz w:val="24"/>
          <w:szCs w:val="24"/>
          <w:highlight w:val="none"/>
          <w:u w:val="none"/>
        </w:rPr>
      </w:r>
      <w:r>
        <w:rPr>
          <w:rFonts w:ascii="Arial" w:hAnsi="Arial"/>
          <w:b w:val="0"/>
          <w:strike w:val="0"/>
          <w:sz w:val="24"/>
          <w:szCs w:val="24"/>
          <w:highlight w:val="none"/>
          <w:u w:val="none"/>
        </w:rPr>
      </w:r>
    </w:p>
    <w:p>
      <w:pPr>
        <w:pStyle w:val="668"/>
        <w:pBdr/>
        <w:spacing/>
        <w:ind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667"/>
        <w:pBdr/>
        <w:spacing/>
        <w:ind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sectPr>
      <w:footnotePr/>
      <w:endnotePr/>
      <w:type w:val="nextPage"/>
      <w:pgSz w:h="15840" w:orient="portrait" w:w="12240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OpenSymbol">
    <w:panose1 w:val="05010000000000000000"/>
  </w:font>
  <w:font w:name="NSimSun">
    <w:panose1 w:val="02010609030101010101"/>
  </w:font>
  <w:font w:name="Arial">
    <w:panose1 w:val="020B0604020202020204"/>
  </w:font>
  <w:font w:name="Microsoft YaHei">
    <w:panose1 w:val="020B0503020204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spacing/>
        <w:ind w:firstLine="0" w:left="0"/>
      </w:pPr>
      <w:pStyle w:val="668"/>
      <w:rPr/>
      <w:start w:val="1"/>
      <w:suff w:val="nothing"/>
    </w:lvl>
    <w:lvl w:ilvl="3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283" w:left="0"/>
      </w:pPr>
      <w:rPr>
        <w:rFonts w:cs="Open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14"/>
        </w:tabs>
        <w:spacing/>
        <w:ind w:hanging="283" w:left="1414"/>
      </w:pPr>
      <w:rPr>
        <w:rFonts w:cs="Open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21"/>
        </w:tabs>
        <w:spacing/>
        <w:ind w:hanging="283" w:left="2121"/>
      </w:pPr>
      <w:rPr>
        <w:rFonts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28"/>
        </w:tabs>
        <w:spacing/>
        <w:ind w:hanging="283" w:left="2828"/>
      </w:pPr>
      <w:rPr>
        <w:rFonts w:cs="Open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535"/>
        </w:tabs>
        <w:spacing/>
        <w:ind w:hanging="283" w:left="3535"/>
      </w:pPr>
      <w:rPr>
        <w:rFonts w:cs="Open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242"/>
        </w:tabs>
        <w:spacing/>
        <w:ind w:hanging="283" w:left="4242"/>
      </w:pPr>
      <w:rPr>
        <w:rFonts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949"/>
        </w:tabs>
        <w:spacing/>
        <w:ind w:hanging="283" w:left="4949"/>
      </w:pPr>
      <w:rPr>
        <w:rFonts w:cs="Open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656"/>
        </w:tabs>
        <w:spacing/>
        <w:ind w:hanging="283" w:left="5656"/>
      </w:pPr>
      <w:rPr>
        <w:rFonts w:cs="Open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363"/>
        </w:tabs>
        <w:spacing/>
        <w:ind w:hanging="283" w:left="6363"/>
      </w:pPr>
      <w:rPr>
        <w:rFonts w:cs="OpenSymbol"/>
      </w:rPr>
      <w:start w:val="1"/>
      <w:suff w:val="tab"/>
    </w:lvl>
  </w:abstractNum>
  <w:abstractNum w:abstractNumId="2">
    <w:nsid w:val="430766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NSimSun" w:cs="Arial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7"/>
    <w:next w:val="667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7"/>
    <w:next w:val="66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2">
    <w:name w:val="Heading 4"/>
    <w:basedOn w:val="667"/>
    <w:next w:val="66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7"/>
    <w:next w:val="66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7"/>
    <w:next w:val="66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7"/>
    <w:next w:val="66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7"/>
    <w:next w:val="66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7"/>
    <w:next w:val="66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7"/>
    <w:next w:val="66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7"/>
    <w:next w:val="66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7"/>
    <w:next w:val="66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7"/>
    <w:next w:val="66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widowControl w:val="true"/>
      <w:pBdr/>
      <w:spacing/>
      <w:ind/>
    </w:pPr>
    <w:rPr>
      <w:rFonts w:ascii="Times New Roman" w:hAnsi="Times New Roman" w:eastAsia="NSimSun" w:cs="Arial"/>
      <w:color w:val="auto"/>
      <w:sz w:val="24"/>
      <w:szCs w:val="24"/>
      <w:lang w:val="en-US" w:eastAsia="zh-CN" w:bidi="hi-IN"/>
    </w:rPr>
  </w:style>
  <w:style w:type="paragraph" w:styleId="668">
    <w:name w:val="Heading 3"/>
    <w:basedOn w:val="672"/>
    <w:next w:val="673"/>
    <w:qFormat/>
    <w:pPr>
      <w:numPr>
        <w:ilvl w:val="2"/>
        <w:numId w:val="1"/>
      </w:numPr>
      <w:pBdr/>
      <w:spacing w:after="120" w:before="140"/>
      <w:ind/>
      <w:outlineLvl w:val="2"/>
    </w:pPr>
    <w:rPr>
      <w:b/>
      <w:bCs/>
      <w:sz w:val="28"/>
      <w:szCs w:val="28"/>
    </w:rPr>
  </w:style>
  <w:style w:type="character" w:styleId="669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character" w:styleId="670">
    <w:name w:val="Strong Emphasis"/>
    <w:qFormat/>
    <w:pPr>
      <w:pBdr/>
      <w:spacing/>
      <w:ind/>
    </w:pPr>
    <w:rPr>
      <w:b/>
      <w:bCs/>
    </w:rPr>
  </w:style>
  <w:style w:type="character" w:styleId="671">
    <w:name w:val="Internet Link"/>
    <w:pPr>
      <w:pBdr/>
      <w:spacing/>
      <w:ind/>
    </w:pPr>
    <w:rPr>
      <w:color w:val="000080"/>
      <w:u w:val="single"/>
    </w:rPr>
  </w:style>
  <w:style w:type="paragraph" w:styleId="672">
    <w:name w:val="Heading"/>
    <w:basedOn w:val="667"/>
    <w:next w:val="673"/>
    <w:qFormat/>
    <w:pPr>
      <w:keepNext w:val="true"/>
      <w:pBdr/>
      <w:spacing w:after="120" w:before="240"/>
      <w:ind/>
    </w:pPr>
    <w:rPr>
      <w:rFonts w:ascii="Arial" w:hAnsi="Arial" w:eastAsia="Microsoft YaHei" w:cs="Arial"/>
      <w:sz w:val="28"/>
      <w:szCs w:val="28"/>
    </w:rPr>
  </w:style>
  <w:style w:type="paragraph" w:styleId="673">
    <w:name w:val="Body Text"/>
    <w:basedOn w:val="667"/>
    <w:pPr>
      <w:pBdr/>
      <w:spacing w:after="140" w:before="0" w:line="276" w:lineRule="auto"/>
      <w:ind/>
    </w:pPr>
  </w:style>
  <w:style w:type="paragraph" w:styleId="674">
    <w:name w:val="List"/>
    <w:basedOn w:val="673"/>
    <w:pPr>
      <w:pBdr/>
      <w:spacing/>
      <w:ind/>
    </w:pPr>
    <w:rPr>
      <w:rFonts w:cs="Arial"/>
    </w:rPr>
  </w:style>
  <w:style w:type="paragraph" w:styleId="675">
    <w:name w:val="Caption"/>
    <w:basedOn w:val="667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676">
    <w:name w:val="Index"/>
    <w:basedOn w:val="667"/>
    <w:qFormat/>
    <w:pPr>
      <w:suppressLineNumbers w:val="true"/>
      <w:pBdr/>
      <w:spacing/>
      <w:ind/>
    </w:pPr>
    <w:rPr>
      <w:rFonts w:cs="Arial"/>
    </w:rPr>
  </w:style>
  <w:style w:type="paragraph" w:styleId="677">
    <w:name w:val="Horizontal Line"/>
    <w:basedOn w:val="667"/>
    <w:next w:val="673"/>
    <w:qFormat/>
    <w:pPr>
      <w:suppressLineNumbers w:val="true"/>
      <w:pBdr>
        <w:bottom w:val="single" w:color="808080" w:sz="2" w:space="0"/>
      </w:pBdr>
      <w:spacing w:after="283" w:before="0"/>
      <w:ind/>
    </w:pPr>
    <w:rPr>
      <w:sz w:val="12"/>
      <w:szCs w:val="1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2</cp:revision>
  <dcterms:created xsi:type="dcterms:W3CDTF">2026-07-11T11:11:48Z</dcterms:created>
  <dcterms:modified xsi:type="dcterms:W3CDTF">2026-07-19T01:34:59Z</dcterms:modified>
</cp:coreProperties>
</file>