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0ADE17A">
      <w:pPr>
        <w:pBdr/>
        <w:spacing/>
        <w:ind/>
        <w:rPr>
          <w:b/>
          <w:bCs/>
          <w14:ligatures w14:val="none"/>
        </w:rPr>
      </w:pPr>
      <w:r>
        <w:rPr>
          <w:b/>
          <w:bCs/>
        </w:rPr>
        <w:t xml:space="preserve">The massive gap between drug prices in the U.S. and the rest of the world has ignited unprecedented international trade tensions, investigations, and tariffs.</w:t>
      </w:r>
      <w:r>
        <w:rPr>
          <w:b/>
          <w:bCs/>
        </w:rPr>
        <w:t xml:space="preserve"> [</w:t>
      </w:r>
      <w:hyperlink r:id="rId9" w:tooltip="https://intuitionlabs.ai/articles/pharma-tariffs-2026-supply-chain-onshoring" w:history="1">
        <w:r>
          <w:rPr>
            <w:b/>
            <w:bCs/>
          </w:rPr>
          <w:t xml:space="preserve">1</w:t>
        </w:r>
      </w:hyperlink>
      <w:r>
        <w:rPr>
          <w:b/>
          <w:bCs/>
        </w:rPr>
        <w:t xml:space="preserve">, </w:t>
      </w:r>
      <w:hyperlink r:id="rId10" w:tooltip="https://finance.yahoo.com/healthcare/articles/us-launches-trade-probe-germany-070638602.html" w:history="1">
        <w:r>
          <w:rPr>
            <w:b/>
            <w:bCs/>
          </w:rPr>
          <w:t xml:space="preserve">2</w:t>
        </w:r>
      </w:hyperlink>
      <w:r>
        <w:rPr>
          <w:b/>
          <w:bCs/>
        </w:rPr>
        <w:t xml:space="preserve">, </w:t>
      </w:r>
      <w:hyperlink r:id="rId11" w:tooltip="https://services.thebmc.co.uk/first-dry/US-Threatens-Tariffs-on-Germany-Over-Drug-Pricing-Practices-32-16690" w:history="1">
        <w:r>
          <w:rPr>
            <w:b/>
            <w:bCs/>
          </w:rPr>
          <w:t xml:space="preserve">3</w:t>
        </w:r>
      </w:hyperlink>
      <w:r>
        <w:rPr>
          <w:b/>
          <w:bCs/>
        </w:rPr>
        <w:t xml:space="preserve">]</w:t>
      </w:r>
      <w:r>
        <w:rPr>
          <w:b/>
          <w:bCs/>
        </w:rPr>
      </w:r>
      <w:r>
        <w:rPr>
          <w:b/>
          <w:bCs/>
          <w14:ligatures w14:val="none"/>
        </w:rPr>
      </w:r>
    </w:p>
    <w:p w14:paraId="2EB8AE37">
      <w:pPr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14:ligatures w14:val="none"/>
        </w:rPr>
      </w:r>
    </w:p>
    <w:p w14:paraId="3FB04177">
      <w:pPr>
        <w:pBdr/>
        <w:spacing/>
        <w:ind/>
        <w:rPr>
          <w:highlight w:val="none"/>
          <w14:ligatures w14:val="none"/>
        </w:rPr>
      </w:pPr>
      <w:r>
        <w:t xml:space="preserve">Because American patients pay significantly higher prices for innovative medications, the U.S. government argues that other developed countries are "free-riding" on American financial investments in pharmaceutical R&amp;D. This friction has boiled over into se</w:t>
      </w:r>
      <w:r>
        <w:t xml:space="preserve">veral highly aggressive trade conflicts.</w:t>
      </w:r>
      <w:r>
        <w:rPr>
          <w:highlight w:val="none"/>
        </w:rPr>
      </w:r>
      <w:r>
        <w:rPr>
          <w:highlight w:val="none"/>
          <w14:ligatures w14:val="none"/>
        </w:rPr>
      </w:r>
    </w:p>
    <w:p w14:paraId="086E7D88"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B590F8C">
      <w:pPr>
        <w:pBdr/>
        <w:spacing/>
        <w:ind/>
        <w:rPr>
          <w:highlight w:val="none"/>
          <w14:ligatures w14:val="none"/>
        </w:rPr>
      </w:pPr>
      <w:r>
        <w:t xml:space="preserve">European and North American allies view healthcare as a public utility and use price negotiation to protect their citizens. The U.S. views healthcare as a strategic innovation market and </w:t>
      </w:r>
      <w:r>
        <w:t xml:space="preserve">is actively using its massive trade leverage—through tariffs and legal probes—to force other nations to pay more, or force drug companies to charge Americans less.</w:t>
      </w:r>
      <w:r>
        <w:rPr>
          <w:highlight w:val="none"/>
        </w:rPr>
      </w:r>
      <w:r>
        <w:rPr>
          <w:highlight w:val="none"/>
          <w14:ligatures w14:val="none"/>
        </w:rPr>
      </w:r>
    </w:p>
    <w:p w14:paraId="662A07D3">
      <w:pPr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14:ligatures w14:val="none"/>
        </w:rPr>
      </w:r>
    </w:p>
    <w:p w14:paraId="44DC238A">
      <w:pPr>
        <w:pBdr/>
        <w:spacing/>
        <w:ind/>
        <w:rPr>
          <w:highlight w:val="none"/>
          <w14:ligatures w14:val="none"/>
        </w:rPr>
      </w:pPr>
      <w:r>
        <w:t xml:space="preserve">To truly balance </w:t>
      </w:r>
      <w:r>
        <w:t xml:space="preserve">affordability, innovation, speed, and fairness</w:t>
      </w:r>
      <w:r>
        <w:t xml:space="preserve">, the global health system must move away from the current "all-or-nothing" approach—where we either give drug companies total monopoly power or threaten them with strict price caps.  </w:t>
      </w:r>
      <w:r>
        <w:rPr>
          <w:highlight w:val="none"/>
        </w:rPr>
      </w:r>
      <w:r>
        <w:rPr>
          <w:highlight w:val="none"/>
          <w14:ligatures w14:val="none"/>
        </w:rPr>
      </w:r>
      <w:r>
        <w:t xml:space="preserve">A realistic, balanced proposal would pivot the system toward a </w:t>
      </w:r>
      <w:r>
        <w:t xml:space="preserve">"</w:t>
      </w:r>
      <w:r>
        <w:rPr>
          <w:b/>
          <w:bCs/>
        </w:rPr>
        <w:t xml:space="preserve">De-Risked, Tiered-Reward"</w:t>
      </w:r>
      <w:r>
        <w:t xml:space="preserve"> model</w:t>
      </w:r>
      <w:r>
        <w:t xml:space="preserve">. This approach uses public funds to eliminate the financial risk of early failure, while using market competition to ensure speed and affordability.</w:t>
      </w:r>
      <w:r>
        <w:rPr>
          <w:highlight w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42810010">
      <w:pPr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14:ligatures w14:val="none"/>
        </w:rPr>
      </w:r>
    </w:p>
    <w:p w14:paraId="41B17DE5">
      <w:pPr>
        <w:pBdr/>
        <w:spacing/>
        <w:ind/>
        <w:rPr>
          <w14:ligatures w14:val="none"/>
        </w:rPr>
      </w:pPr>
      <w:r>
        <w:t xml:space="preserve">Here is the three-part framework to achieve this balance:</w:t>
      </w:r>
      <w:r>
        <w:rPr>
          <w14:ligatures w14:val="none"/>
        </w:rPr>
      </w:r>
    </w:p>
    <w:p w14:paraId="5D4D7909">
      <w:pPr>
        <w:pBdr/>
        <w:spacing/>
        <w:ind/>
        <w:rPr>
          <w:b/>
          <w:bCs/>
          <w14:ligatures w14:val="none"/>
        </w:rPr>
      </w:pPr>
      <w:r>
        <w:rPr>
          <w:b/>
          <w:bCs/>
        </w:rPr>
        <w:t xml:space="preserve">1. The Global "Launchpad" Fund (Fosters Innovation &amp; Fairness)</w:t>
      </w:r>
      <w:r>
        <w:rPr>
          <w:b/>
          <w:bCs/>
        </w:rPr>
      </w:r>
      <w:r>
        <w:rPr>
          <w:b/>
          <w:bCs/>
          <w14:ligatures w14:val="none"/>
        </w:rPr>
      </w:r>
    </w:p>
    <w:p w14:paraId="02F54F3C">
      <w:pPr>
        <w:pBdr/>
        <w:spacing/>
        <w:ind/>
        <w:rPr>
          <w14:ligatures w14:val="none"/>
        </w:rPr>
      </w:pPr>
      <w:r>
        <w:t xml:space="preserve">Participating countries would contribute a flat percentage of GDP to a centralized </w:t>
      </w:r>
      <w:r>
        <w:t xml:space="preserve">Global Health Launchpad Fund</w:t>
      </w:r>
      <w:r>
        <w:t xml:space="preserve"> which would be used to fund general R&amp;D around the world.</w:t>
      </w:r>
      <w:r>
        <w:rPr>
          <w14:ligatures w14:val="none"/>
        </w:rPr>
      </w:r>
    </w:p>
    <w:p w14:paraId="056B7FB5">
      <w:pPr>
        <w:pBdr/>
        <w:spacing/>
        <w:ind/>
        <w:rPr>
          <w14:ligatures w14:val="none"/>
        </w:rPr>
      </w:pPr>
      <w:r>
        <w:rPr>
          <w:b/>
          <w:bCs/>
        </w:rPr>
        <w:t xml:space="preserve">Publicly Funding the Risk</w:t>
      </w:r>
      <w:r>
        <w:rPr>
          <w:b/>
          <w:bCs/>
        </w:rPr>
        <w:t xml:space="preserve">:</w:t>
      </w:r>
      <w:r>
        <w:t xml:space="preserve"> This fund completely finances Phase 1 and Phase 2 clinical trials for high-priority global health targets (e.g., new antibiotics, Alzheimers, rare diseases).</w:t>
      </w:r>
      <w:r>
        <w:rPr>
          <w14:ligatures w14:val="none"/>
        </w:rPr>
      </w:r>
    </w:p>
    <w:p w14:paraId="27D463C3">
      <w:pPr>
        <w:pBdr/>
        <w:spacing/>
        <w:ind/>
        <w:rPr>
          <w:highlight w:val="none"/>
          <w14:ligatures w14:val="none"/>
        </w:rPr>
      </w:pPr>
      <w:r>
        <w:rPr>
          <w:b/>
          <w:bCs/>
        </w:rPr>
        <w:t xml:space="preserve">Why it works</w:t>
      </w:r>
      <w:r>
        <w:rPr>
          <w:b/>
          <w:bCs/>
        </w:rPr>
        <w:t xml:space="preserve">: </w:t>
      </w:r>
      <w:r>
        <w:t xml:space="preserve">By using public money to cover the stage where </w:t>
      </w:r>
      <w:r>
        <w:t xml:space="preserve">90% of drugs fail</w:t>
      </w:r>
      <w:r>
        <w:t xml:space="preserve">, private companies and venture capitalists no longer face existential financial ruin. This eliminates the justification for 20-year, high-priced monopolies while ensuring neglected diseases finally get funded.</w:t>
      </w:r>
      <w:r>
        <w:rPr>
          <w:highlight w:val="none"/>
          <w14:ligatures w14:val="none"/>
        </w:rPr>
      </w:r>
    </w:p>
    <w:p w14:paraId="1EA578E1">
      <w:pPr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14:ligatures w14:val="none"/>
        </w:rPr>
      </w:r>
    </w:p>
    <w:p w14:paraId="139E3DEE">
      <w:pPr>
        <w:pBdr/>
        <w:spacing/>
        <w:ind/>
        <w:rPr>
          <w:b/>
          <w:bCs/>
          <w14:ligatures w14:val="none"/>
        </w:rPr>
      </w:pPr>
      <w:r>
        <w:rPr>
          <w:b/>
          <w:bCs/>
        </w:rPr>
        <w:t xml:space="preserve">2. Milestone "Prizes" Instead of Monopolies (Ensures Speed &amp; Agility)</w:t>
      </w:r>
      <w:r>
        <w:rPr>
          <w:b/>
          <w:bCs/>
        </w:rPr>
      </w:r>
      <w:r>
        <w:rPr>
          <w:b/>
          <w:bCs/>
          <w14:ligatures w14:val="none"/>
        </w:rPr>
      </w:r>
    </w:p>
    <w:p w14:paraId="7384DB8F">
      <w:pPr>
        <w:pBdr/>
        <w:spacing/>
        <w:ind/>
        <w:rPr>
          <w14:ligatures w14:val="none"/>
        </w:rPr>
      </w:pPr>
      <w:r>
        <w:t xml:space="preserve">Once a drug successfully passes Phase 2 trials using public funding, governments would transition from funding the science to </w:t>
      </w:r>
      <w:r>
        <w:t xml:space="preserve">incentivizing the speed of delivery</w:t>
      </w:r>
      <w:r>
        <w:t xml:space="preserve"> through massive cash "prizes."</w:t>
      </w:r>
      <w:r>
        <w:rPr>
          <w14:ligatures w14:val="none"/>
        </w:rPr>
      </w:r>
    </w:p>
    <w:p w14:paraId="0020E8C2">
      <w:pPr>
        <w:pBdr/>
        <w:spacing/>
        <w:ind/>
        <w:rPr>
          <w14:ligatures w14:val="none"/>
        </w:rPr>
      </w:pPr>
      <w:r>
        <w:rPr>
          <w:b/>
          <w:bCs/>
        </w:rPr>
        <w:t xml:space="preserve">The Race to Market</w:t>
      </w:r>
      <w:r>
        <w:rPr>
          <w:b/>
          <w:bCs/>
        </w:rPr>
        <w:t xml:space="preserve">:</w:t>
      </w:r>
      <w:r>
        <w:t xml:space="preserve"> The first private company to successfully guide the drug through large-scale Phase 3 trials and secure regulatory approval wins a multi-billion-dollar cash prize funded by the global pool.</w:t>
      </w:r>
      <w:r>
        <w:t xml:space="preserve"> </w:t>
      </w:r>
      <w:r>
        <w:t xml:space="preserve">Drug companies still make massive, predictable profits via the upfront success prizes, meaning their shareholders stay happy and venture capital keeps flowing into biotechnology.</w:t>
      </w:r>
      <w:r>
        <w:t xml:space="preserve"> </w:t>
      </w:r>
      <w:r>
        <w:rPr>
          <w14:ligatures w14:val="none"/>
        </w:rPr>
      </w:r>
    </w:p>
    <w:p w14:paraId="1FB87655">
      <w:pPr>
        <w:pBdr/>
        <w:spacing/>
        <w:ind/>
        <w:rPr>
          <w:highlight w:val="none"/>
          <w14:ligatures w14:val="none"/>
        </w:rPr>
      </w:pPr>
      <w:r>
        <w:rPr>
          <w:b/>
          <w:bCs/>
        </w:rPr>
        <w:t xml:space="preserve">Why it works</w:t>
      </w:r>
      <w:r>
        <w:rPr>
          <w:b/>
          <w:bCs/>
        </w:rPr>
        <w:t xml:space="preserve">:</w:t>
      </w:r>
      <w:r>
        <w:t xml:space="preserve"> Private pharmaceutical companies are spectacularly agile at running global trials and navigating bureaucracy because they are profit-driven. The massive cash prize preserves that fierce corporate urgency and speed, but strips away their right to control </w:t>
      </w:r>
      <w:r>
        <w:t xml:space="preserve">the final price.</w:t>
      </w:r>
      <w:r>
        <w:rPr>
          <w:highlight w:val="none"/>
          <w14:ligatures w14:val="none"/>
        </w:rPr>
      </w:r>
    </w:p>
    <w:p w14:paraId="098CEDAB">
      <w:pPr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14:ligatures w14:val="none"/>
        </w:rPr>
      </w:r>
    </w:p>
    <w:p w14:paraId="20CDDBF3">
      <w:pPr>
        <w:pBdr/>
        <w:spacing/>
        <w:ind/>
        <w:rPr>
          <w:b/>
          <w:bCs/>
          <w14:ligatures w14:val="none"/>
        </w:rPr>
      </w:pPr>
      <w:r>
        <w:rPr>
          <w:b/>
          <w:bCs/>
        </w:rPr>
        <w:t xml:space="preserve">3. Open-Source Manufacturing Licenses (Guarantees Affordability)</w:t>
      </w:r>
      <w:r>
        <w:rPr>
          <w:b/>
          <w:bCs/>
        </w:rPr>
      </w:r>
      <w:r>
        <w:rPr>
          <w:b/>
          <w:bCs/>
          <w14:ligatures w14:val="none"/>
        </w:rPr>
      </w:r>
    </w:p>
    <w:p w14:paraId="2F5EF220">
      <w:pPr>
        <w:pBdr/>
        <w:spacing/>
        <w:ind/>
        <w:rPr>
          <w14:ligatures w14:val="none"/>
        </w:rPr>
      </w:pPr>
      <w:r>
        <w:t xml:space="preserve">In exchange for the government funding the early risk and paying out a massive success prize, the final chemical recipe for the drug becomes </w:t>
      </w:r>
      <w:r>
        <w:t xml:space="preserve">open-source public property</w:t>
      </w:r>
      <w:r>
        <w:t xml:space="preserve"> the day it is approved.</w:t>
      </w:r>
      <w:r>
        <w:rPr>
          <w14:ligatures w14:val="none"/>
        </w:rPr>
      </w:r>
    </w:p>
    <w:p w14:paraId="3CFB3166">
      <w:pPr>
        <w:pBdr/>
        <w:spacing/>
        <w:ind/>
        <w:rPr>
          <w:highlight w:val="none"/>
          <w14:ligatures w14:val="none"/>
        </w:rPr>
      </w:pPr>
      <w:r>
        <w:t xml:space="preserve">Immediate Generic Competition</w:t>
      </w:r>
      <w:r>
        <w:t xml:space="preserve">: Any qualified manufacturing facility in the world (whether in the U.S., India, or Mexico) can immediately begin mass-producing the medicine.</w:t>
      </w:r>
      <w:r>
        <w:rPr>
          <w:highlight w:val="none"/>
          <w14:ligatures w14:val="none"/>
        </w:rPr>
      </w:r>
    </w:p>
    <w:p w14:paraId="5327E7D1">
      <w:pPr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14:ligatures w14:val="none"/>
        </w:rPr>
      </w:r>
    </w:p>
    <w:p w14:paraId="12531503">
      <w:pPr>
        <w:pBdr/>
        <w:spacing/>
        <w:ind/>
        <w:rPr>
          <w:highlight w:val="none"/>
          <w14:ligatures w14:val="none"/>
        </w:rPr>
      </w:pPr>
      <w:r>
        <w:rPr>
          <w:b/>
          <w:bCs/>
        </w:rPr>
        <w:t xml:space="preserve">Why it works</w:t>
      </w:r>
      <w:r>
        <w:rPr>
          <w:b/>
          <w:bCs/>
        </w:rPr>
        <w:t xml:space="preserve">:</w:t>
      </w:r>
      <w:r>
        <w:t xml:space="preserve"> True affordability is not achieved through government price caps, which require massive bureaucracy. It is achieved through </w:t>
      </w:r>
      <w:r>
        <w:t xml:space="preserve">immediate market competition</w:t>
      </w:r>
      <w:r>
        <w:t xml:space="preserve">. When ten different generic companies compete to sell the same pill, the price naturally plummets to just pennies above the cost of making it.</w:t>
      </w:r>
      <w:r>
        <w:rPr>
          <w:highlight w:val="none"/>
          <w14:ligatures w14:val="none"/>
        </w:rPr>
      </w:r>
    </w:p>
    <w:p w14:paraId="19C1121D">
      <w:pPr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14:ligatures w14:val="none"/>
        </w:rPr>
      </w:r>
    </w:p>
    <w:p w14:paraId="1C062196">
      <w:pPr>
        <w:pBdr/>
        <w:spacing/>
        <w:ind/>
        <w:rPr>
          <w:b/>
          <w:bCs/>
          <w14:ligatures w14:val="none"/>
        </w:rPr>
      </w:pPr>
      <w:r>
        <w:rPr>
          <w:b/>
          <w:bCs/>
        </w:rPr>
        <w:t xml:space="preserve">Summary of the Balance</w:t>
      </w:r>
      <w:r>
        <w:rPr>
          <w:b/>
          <w:bCs/>
        </w:rPr>
      </w:r>
      <w:r>
        <w:rPr>
          <w:b/>
          <w:bCs/>
          <w14:ligatures w14:val="none"/>
        </w:rPr>
      </w:r>
    </w:p>
    <w:p w14:paraId="4E5CED65">
      <w:pPr>
        <w:pStyle w:val="865"/>
        <w:numPr>
          <w:ilvl w:val="0"/>
          <w:numId w:val="6"/>
        </w:numPr>
        <w:pBdr/>
        <w:spacing/>
        <w:ind/>
        <w:rPr>
          <w14:ligatures w14:val="none"/>
        </w:rPr>
      </w:pPr>
      <w:r>
        <w:t xml:space="preserve">Affordability</w:t>
      </w:r>
      <w:r>
        <w:t xml:space="preserve">: Achieved via immediate open-source generic competition.</w:t>
      </w:r>
      <w:r>
        <w:rPr>
          <w14:ligatures w14:val="none"/>
        </w:rPr>
      </w:r>
    </w:p>
    <w:p w14:paraId="3F4FE64F">
      <w:pPr>
        <w:pStyle w:val="865"/>
        <w:numPr>
          <w:ilvl w:val="0"/>
          <w:numId w:val="6"/>
        </w:numPr>
        <w:pBdr/>
        <w:spacing/>
        <w:ind/>
        <w:rPr>
          <w14:ligatures w14:val="none"/>
        </w:rPr>
      </w:pPr>
      <w:r>
        <w:t xml:space="preserve">Innovation</w:t>
      </w:r>
      <w:r>
        <w:t xml:space="preserve">: Achieved by removing the financial risk of early-stage scientific failure.</w:t>
      </w:r>
      <w:r>
        <w:rPr>
          <w14:ligatures w14:val="none"/>
        </w:rPr>
      </w:r>
    </w:p>
    <w:p w14:paraId="3B086398">
      <w:pPr>
        <w:pStyle w:val="865"/>
        <w:numPr>
          <w:ilvl w:val="0"/>
          <w:numId w:val="6"/>
        </w:numPr>
        <w:pBdr/>
        <w:spacing/>
        <w:ind/>
        <w:rPr>
          <w14:ligatures w14:val="none"/>
        </w:rPr>
      </w:pPr>
      <w:r>
        <w:t xml:space="preserve">Speed &amp; Agility</w:t>
      </w:r>
      <w:r>
        <w:t xml:space="preserve">: Achieved by keeping private companies in charge of clinical trials via massive cash rewards for fast approval.</w:t>
      </w:r>
      <w:r>
        <w:rPr>
          <w14:ligatures w14:val="none"/>
        </w:rPr>
      </w:r>
    </w:p>
    <w:p w14:paraId="5872C8B8">
      <w:pPr>
        <w:pStyle w:val="865"/>
        <w:numPr>
          <w:ilvl w:val="0"/>
          <w:numId w:val="6"/>
        </w:numPr>
        <w:pBdr/>
        <w:spacing/>
        <w:ind/>
        <w:rPr>
          <w14:ligatures w14:val="none"/>
        </w:rPr>
      </w:pPr>
      <w:r>
        <w:t xml:space="preserve">Fairness</w:t>
      </w:r>
      <w:r>
        <w:t xml:space="preserve">: Achieved by ending the system where American patients single-handedly subsidize the rest of the world's medicine.</w:t>
      </w:r>
      <w:r>
        <w:rPr>
          <w14:ligatures w14:val="none"/>
        </w:rPr>
      </w:r>
    </w:p>
    <w:p w14:paraId="5D9443ED">
      <w:pPr>
        <w:pBdr/>
        <w:spacing/>
        <w:ind/>
        <w:rPr>
          <w:b/>
          <w:bCs/>
          <w14:ligatures w14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/>
        <w:rPr>
          <w:b/>
          <w:bCs/>
          <w:highlight w:val="none"/>
          <w14:ligatures w14:val="none"/>
        </w:rPr>
      </w:pPr>
      <w:r>
        <w:rPr>
          <w:b/>
          <w:bCs/>
        </w:rPr>
      </w:r>
      <w:r>
        <w:rPr>
          <w:b/>
          <w:bCs/>
        </w:rPr>
        <w:t xml:space="preserve">Would you favor a </w:t>
      </w:r>
      <w:r>
        <w:rPr>
          <w:b/>
          <w:bCs/>
          <w:highlight w:val="white"/>
        </w:rPr>
        <w:t xml:space="preserve">"De-</w:t>
      </w:r>
      <w:r>
        <w:rPr>
          <w:b/>
          <w:bCs/>
          <w:highlight w:val="white"/>
        </w:rPr>
        <w:t xml:space="preserve">Risked, Tiered-Reward" model</w:t>
      </w:r>
      <w:r>
        <w:rPr>
          <w:b/>
          <w:bCs/>
        </w:rPr>
        <w:t xml:space="preserve">?</w:t>
      </w:r>
      <w:r>
        <w:rPr>
          <w:b/>
          <w:bCs/>
        </w:rPr>
      </w:r>
      <w:r>
        <w:rPr>
          <w:b/>
          <w:bCs/>
          <w14:ligatures w14:val="none"/>
        </w:rPr>
      </w:r>
    </w:p>
    <w:p>
      <w:pPr>
        <w:pBdr/>
        <w:spacing/>
        <w:ind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</w:p>
    <w:sectPr>
      <w:footnotePr/>
      <w:endnotePr/>
      <w:type w:val="continuous"/>
      <w:pgSz w:h="15840" w:orient="portrait" w:w="12240"/>
      <w:pgMar w:top="1134" w:right="1134" w:bottom="1134" w:left="1134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Symbol">
    <w:panose1 w:val="05050102010706020507"/>
  </w:font>
  <w:font w:name="Courier New">
    <w:panose1 w:val="02070309020205020404"/>
  </w:font>
  <w:font w:name="OpenSymbol">
    <w:panose1 w:val="05010000000000000000"/>
  </w:font>
  <w:font w:name="NSimSun">
    <w:panose1 w:val="02010609030101010101"/>
  </w:font>
  <w:font w:name="Arial">
    <w:panose1 w:val="020B0604020202020204"/>
  </w:font>
  <w:font w:name="Microsoft YaHei">
    <w:panose1 w:val="020B0503020204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"/>
      <w:numFmt w:val="none"/>
      <w:pPr>
        <w:pBdr/>
        <w:spacing/>
        <w:ind w:firstLine="0" w:left="0"/>
      </w:pPr>
      <w:rPr/>
      <w:start w:val="1"/>
      <w:suff w:val="nothing"/>
    </w:lvl>
    <w:lvl w:ilvl="1">
      <w:isLgl w:val="false"/>
      <w:lvlJc w:val="left"/>
      <w:lvlText w:val=""/>
      <w:numFmt w:val="none"/>
      <w:pPr>
        <w:pBdr/>
        <w:spacing/>
        <w:ind w:firstLine="0" w:left="0"/>
      </w:pPr>
      <w:rPr/>
      <w:start w:val="1"/>
      <w:suff w:val="nothing"/>
    </w:lvl>
    <w:lvl w:ilvl="2">
      <w:isLgl w:val="false"/>
      <w:lvlJc w:val="left"/>
      <w:lvlText w:val=""/>
      <w:numFmt w:val="none"/>
      <w:pPr>
        <w:pBdr/>
        <w:spacing/>
        <w:ind w:firstLine="0" w:left="0"/>
      </w:pPr>
      <w:pStyle w:val="901"/>
      <w:rPr/>
      <w:start w:val="1"/>
      <w:suff w:val="nothing"/>
    </w:lvl>
    <w:lvl w:ilvl="3">
      <w:isLgl w:val="false"/>
      <w:lvlJc w:val="left"/>
      <w:lvlText w:val=""/>
      <w:numFmt w:val="none"/>
      <w:pPr>
        <w:pBdr/>
        <w:spacing/>
        <w:ind w:firstLine="0" w:left="0"/>
      </w:pPr>
      <w:rPr/>
      <w:start w:val="1"/>
      <w:suff w:val="nothing"/>
    </w:lvl>
    <w:lvl w:ilvl="4">
      <w:isLgl w:val="false"/>
      <w:lvlJc w:val="left"/>
      <w:lvlText w:val=""/>
      <w:numFmt w:val="none"/>
      <w:pPr>
        <w:pBdr/>
        <w:spacing/>
        <w:ind w:firstLine="0" w:left="0"/>
      </w:pPr>
      <w:rPr/>
      <w:start w:val="1"/>
      <w:suff w:val="nothing"/>
    </w:lvl>
    <w:lvl w:ilvl="5">
      <w:isLgl w:val="false"/>
      <w:lvlJc w:val="left"/>
      <w:lvlText w:val=""/>
      <w:numFmt w:val="none"/>
      <w:pPr>
        <w:pBdr/>
        <w:spacing/>
        <w:ind w:firstLine="0" w:left="0"/>
      </w:pPr>
      <w:rPr/>
      <w:start w:val="1"/>
      <w:suff w:val="nothing"/>
    </w:lvl>
    <w:lvl w:ilvl="6">
      <w:isLgl w:val="false"/>
      <w:lvlJc w:val="left"/>
      <w:lvlText w:val=""/>
      <w:numFmt w:val="none"/>
      <w:pPr>
        <w:pBdr/>
        <w:spacing/>
        <w:ind w:firstLine="0" w:left="0"/>
      </w:pPr>
      <w:rPr/>
      <w:start w:val="1"/>
      <w:suff w:val="nothing"/>
    </w:lvl>
    <w:lvl w:ilvl="7">
      <w:isLgl w:val="false"/>
      <w:lvlJc w:val="left"/>
      <w:lvlText w:val=""/>
      <w:numFmt w:val="none"/>
      <w:pPr>
        <w:pBdr/>
        <w:spacing/>
        <w:ind w:firstLine="0" w:left="0"/>
      </w:pPr>
      <w:rPr/>
      <w:start w:val="1"/>
      <w:suff w:val="nothing"/>
    </w:lvl>
    <w:lvl w:ilvl="8">
      <w:isLgl w:val="false"/>
      <w:lvlJc w:val="left"/>
      <w:lvlText w:val=""/>
      <w:numFmt w:val="none"/>
      <w:pPr>
        <w:pBdr/>
        <w:spacing/>
        <w:ind w:firstLine="0" w:left="0"/>
      </w:pPr>
      <w:rPr/>
      <w:start w:val="1"/>
      <w:suff w:val="nothing"/>
    </w:lvl>
  </w:abstractNum>
  <w:abstractNum w:abstractNumId="1">
    <w:lvl w:ilvl="0">
      <w:isLgl w:val="false"/>
      <w:lvlJc w:val="left"/>
      <w:lvlText w:val=""/>
      <w:numFmt w:val="bullet"/>
      <w:pPr>
        <w:pBdr/>
        <w:spacing/>
        <w:ind w:hanging="283" w:left="0"/>
      </w:pPr>
      <w:rPr>
        <w:rFonts w:cs="OpenSymbol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14"/>
        </w:tabs>
        <w:spacing/>
        <w:ind w:hanging="283" w:left="1414"/>
      </w:pPr>
      <w:rPr>
        <w:rFonts w:cs="OpenSymbol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21"/>
        </w:tabs>
        <w:spacing/>
        <w:ind w:hanging="283" w:left="2121"/>
      </w:pPr>
      <w:rPr>
        <w:rFonts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28"/>
        </w:tabs>
        <w:spacing/>
        <w:ind w:hanging="283" w:left="2828"/>
      </w:pPr>
      <w:rPr>
        <w:rFonts w:cs="OpenSymbol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535"/>
        </w:tabs>
        <w:spacing/>
        <w:ind w:hanging="283" w:left="3535"/>
      </w:pPr>
      <w:rPr>
        <w:rFonts w:cs="OpenSymbol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242"/>
        </w:tabs>
        <w:spacing/>
        <w:ind w:hanging="283" w:left="4242"/>
      </w:pPr>
      <w:rPr>
        <w:rFonts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4949"/>
        </w:tabs>
        <w:spacing/>
        <w:ind w:hanging="283" w:left="4949"/>
      </w:pPr>
      <w:rPr>
        <w:rFonts w:cs="OpenSymbol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656"/>
        </w:tabs>
        <w:spacing/>
        <w:ind w:hanging="283" w:left="5656"/>
      </w:pPr>
      <w:rPr>
        <w:rFonts w:cs="OpenSymbol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363"/>
        </w:tabs>
        <w:spacing/>
        <w:ind w:hanging="283" w:left="6363"/>
      </w:pPr>
      <w:rPr>
        <w:rFonts w:cs="OpenSymbol"/>
      </w:rPr>
      <w:start w:val="1"/>
      <w:suff w:val="tab"/>
    </w:lvl>
  </w:abstractNum>
  <w:abstractNum w:abstractNumId="2">
    <w:nsid w:val="4307668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4307668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4307668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7C9C07D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NSimSun" w:cs="Arial"/>
        <w:sz w:val="24"/>
        <w:szCs w:val="24"/>
        <w:lang w:val="en-US" w:eastAsia="zh-CN" w:bidi="hi-I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Table Grid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Table Grid Light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1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2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Plain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Plain Table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1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2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3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4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- Accent 5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 - Accent 6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1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2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3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 4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 5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 6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1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2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3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4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 5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 6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0">
    <w:name w:val="Heading 1"/>
    <w:basedOn w:val="900"/>
    <w:next w:val="900"/>
    <w:link w:val="8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1">
    <w:name w:val="Heading 2"/>
    <w:basedOn w:val="900"/>
    <w:next w:val="900"/>
    <w:link w:val="8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2">
    <w:name w:val="Heading 4"/>
    <w:basedOn w:val="900"/>
    <w:next w:val="900"/>
    <w:link w:val="8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3">
    <w:name w:val="Heading 5"/>
    <w:basedOn w:val="900"/>
    <w:next w:val="900"/>
    <w:link w:val="8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4">
    <w:name w:val="Heading 6"/>
    <w:basedOn w:val="900"/>
    <w:next w:val="900"/>
    <w:link w:val="8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5">
    <w:name w:val="Heading 7"/>
    <w:basedOn w:val="900"/>
    <w:next w:val="900"/>
    <w:link w:val="8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6">
    <w:name w:val="Heading 8"/>
    <w:basedOn w:val="900"/>
    <w:next w:val="900"/>
    <w:link w:val="8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7">
    <w:name w:val="Heading 9"/>
    <w:basedOn w:val="900"/>
    <w:next w:val="900"/>
    <w:link w:val="8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8" w:default="1">
    <w:name w:val="Default Paragraph Font"/>
    <w:uiPriority w:val="1"/>
    <w:semiHidden/>
    <w:unhideWhenUsed/>
    <w:pPr>
      <w:pBdr/>
      <w:spacing/>
      <w:ind/>
    </w:pPr>
  </w:style>
  <w:style w:type="numbering" w:styleId="849" w:default="1">
    <w:name w:val="No List"/>
    <w:uiPriority w:val="99"/>
    <w:semiHidden/>
    <w:unhideWhenUsed/>
    <w:pPr>
      <w:pBdr/>
      <w:spacing/>
      <w:ind/>
    </w:pPr>
  </w:style>
  <w:style w:type="character" w:styleId="850">
    <w:name w:val="Heading 1 Char"/>
    <w:basedOn w:val="848"/>
    <w:link w:val="8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1">
    <w:name w:val="Heading 2 Char"/>
    <w:basedOn w:val="848"/>
    <w:link w:val="8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2">
    <w:name w:val="Heading 3 Char"/>
    <w:basedOn w:val="848"/>
    <w:link w:val="9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3">
    <w:name w:val="Heading 4 Char"/>
    <w:basedOn w:val="848"/>
    <w:link w:val="8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4">
    <w:name w:val="Heading 5 Char"/>
    <w:basedOn w:val="848"/>
    <w:link w:val="8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5">
    <w:name w:val="Heading 6 Char"/>
    <w:basedOn w:val="848"/>
    <w:link w:val="8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6">
    <w:name w:val="Heading 7 Char"/>
    <w:basedOn w:val="848"/>
    <w:link w:val="8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7">
    <w:name w:val="Heading 8 Char"/>
    <w:basedOn w:val="848"/>
    <w:link w:val="8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8">
    <w:name w:val="Heading 9 Char"/>
    <w:basedOn w:val="848"/>
    <w:link w:val="8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9">
    <w:name w:val="Title"/>
    <w:basedOn w:val="900"/>
    <w:next w:val="900"/>
    <w:link w:val="8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0">
    <w:name w:val="Title Char"/>
    <w:basedOn w:val="848"/>
    <w:link w:val="8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1">
    <w:name w:val="Subtitle"/>
    <w:basedOn w:val="900"/>
    <w:next w:val="900"/>
    <w:link w:val="8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2">
    <w:name w:val="Subtitle Char"/>
    <w:basedOn w:val="848"/>
    <w:link w:val="8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3">
    <w:name w:val="Quote"/>
    <w:basedOn w:val="900"/>
    <w:next w:val="900"/>
    <w:link w:val="8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4">
    <w:name w:val="Quote Char"/>
    <w:basedOn w:val="848"/>
    <w:link w:val="8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65">
    <w:name w:val="List Paragraph"/>
    <w:basedOn w:val="900"/>
    <w:uiPriority w:val="34"/>
    <w:qFormat/>
    <w:pPr>
      <w:pBdr/>
      <w:spacing/>
      <w:ind w:left="720"/>
      <w:contextualSpacing w:val="true"/>
    </w:pPr>
  </w:style>
  <w:style w:type="character" w:styleId="866">
    <w:name w:val="Intense Emphasis"/>
    <w:basedOn w:val="8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7">
    <w:name w:val="Intense Quote"/>
    <w:basedOn w:val="900"/>
    <w:next w:val="900"/>
    <w:link w:val="8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8">
    <w:name w:val="Intense Quote Char"/>
    <w:basedOn w:val="848"/>
    <w:link w:val="8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9">
    <w:name w:val="Intense Reference"/>
    <w:basedOn w:val="8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70">
    <w:name w:val="No Spacing"/>
    <w:basedOn w:val="900"/>
    <w:uiPriority w:val="1"/>
    <w:qFormat/>
    <w:pPr>
      <w:pBdr/>
      <w:spacing w:after="0" w:line="240" w:lineRule="auto"/>
      <w:ind/>
    </w:pPr>
  </w:style>
  <w:style w:type="character" w:styleId="871">
    <w:name w:val="Subtle Emphasis"/>
    <w:basedOn w:val="8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2">
    <w:name w:val="Emphasis"/>
    <w:basedOn w:val="848"/>
    <w:uiPriority w:val="20"/>
    <w:qFormat/>
    <w:pPr>
      <w:pBdr/>
      <w:spacing/>
      <w:ind/>
    </w:pPr>
    <w:rPr>
      <w:i/>
      <w:iCs/>
    </w:rPr>
  </w:style>
  <w:style w:type="character" w:styleId="873">
    <w:name w:val="Strong"/>
    <w:basedOn w:val="848"/>
    <w:uiPriority w:val="22"/>
    <w:qFormat/>
    <w:pPr>
      <w:pBdr/>
      <w:spacing/>
      <w:ind/>
    </w:pPr>
    <w:rPr>
      <w:b/>
      <w:bCs/>
    </w:rPr>
  </w:style>
  <w:style w:type="character" w:styleId="874">
    <w:name w:val="Subtle Reference"/>
    <w:basedOn w:val="8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5">
    <w:name w:val="Book Title"/>
    <w:basedOn w:val="8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6">
    <w:name w:val="Header"/>
    <w:basedOn w:val="900"/>
    <w:link w:val="8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7">
    <w:name w:val="Header Char"/>
    <w:basedOn w:val="848"/>
    <w:link w:val="876"/>
    <w:uiPriority w:val="99"/>
    <w:pPr>
      <w:pBdr/>
      <w:spacing/>
      <w:ind/>
    </w:pPr>
  </w:style>
  <w:style w:type="paragraph" w:styleId="878">
    <w:name w:val="Footer"/>
    <w:basedOn w:val="900"/>
    <w:link w:val="8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9">
    <w:name w:val="Footer Char"/>
    <w:basedOn w:val="848"/>
    <w:link w:val="878"/>
    <w:uiPriority w:val="99"/>
    <w:pPr>
      <w:pBdr/>
      <w:spacing/>
      <w:ind/>
    </w:pPr>
  </w:style>
  <w:style w:type="paragraph" w:styleId="880">
    <w:name w:val="footnote text"/>
    <w:basedOn w:val="900"/>
    <w:link w:val="8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1">
    <w:name w:val="Footnote Text Char"/>
    <w:basedOn w:val="848"/>
    <w:link w:val="880"/>
    <w:uiPriority w:val="99"/>
    <w:semiHidden/>
    <w:pPr>
      <w:pBdr/>
      <w:spacing/>
      <w:ind/>
    </w:pPr>
    <w:rPr>
      <w:sz w:val="20"/>
      <w:szCs w:val="20"/>
    </w:rPr>
  </w:style>
  <w:style w:type="character" w:styleId="882">
    <w:name w:val="footnote reference"/>
    <w:basedOn w:val="848"/>
    <w:uiPriority w:val="99"/>
    <w:semiHidden/>
    <w:unhideWhenUsed/>
    <w:pPr>
      <w:pBdr/>
      <w:spacing/>
      <w:ind/>
    </w:pPr>
    <w:rPr>
      <w:vertAlign w:val="superscript"/>
    </w:rPr>
  </w:style>
  <w:style w:type="paragraph" w:styleId="883">
    <w:name w:val="endnote text"/>
    <w:basedOn w:val="900"/>
    <w:link w:val="8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4">
    <w:name w:val="Endnote Text Char"/>
    <w:basedOn w:val="848"/>
    <w:link w:val="883"/>
    <w:uiPriority w:val="99"/>
    <w:semiHidden/>
    <w:pPr>
      <w:pBdr/>
      <w:spacing/>
      <w:ind/>
    </w:pPr>
    <w:rPr>
      <w:sz w:val="20"/>
      <w:szCs w:val="20"/>
    </w:rPr>
  </w:style>
  <w:style w:type="character" w:styleId="885">
    <w:name w:val="endnote reference"/>
    <w:basedOn w:val="848"/>
    <w:uiPriority w:val="99"/>
    <w:semiHidden/>
    <w:unhideWhenUsed/>
    <w:pPr>
      <w:pBdr/>
      <w:spacing/>
      <w:ind/>
    </w:pPr>
    <w:rPr>
      <w:vertAlign w:val="superscript"/>
    </w:rPr>
  </w:style>
  <w:style w:type="character" w:styleId="886">
    <w:name w:val="Hyperlink"/>
    <w:basedOn w:val="8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7">
    <w:name w:val="FollowedHyperlink"/>
    <w:basedOn w:val="8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8">
    <w:name w:val="toc 1"/>
    <w:basedOn w:val="900"/>
    <w:next w:val="900"/>
    <w:uiPriority w:val="39"/>
    <w:unhideWhenUsed/>
    <w:pPr>
      <w:pBdr/>
      <w:spacing w:after="100"/>
      <w:ind/>
    </w:pPr>
  </w:style>
  <w:style w:type="paragraph" w:styleId="889">
    <w:name w:val="toc 2"/>
    <w:basedOn w:val="900"/>
    <w:next w:val="900"/>
    <w:uiPriority w:val="39"/>
    <w:unhideWhenUsed/>
    <w:pPr>
      <w:pBdr/>
      <w:spacing w:after="100"/>
      <w:ind w:left="220"/>
    </w:pPr>
  </w:style>
  <w:style w:type="paragraph" w:styleId="890">
    <w:name w:val="toc 3"/>
    <w:basedOn w:val="900"/>
    <w:next w:val="900"/>
    <w:uiPriority w:val="39"/>
    <w:unhideWhenUsed/>
    <w:pPr>
      <w:pBdr/>
      <w:spacing w:after="100"/>
      <w:ind w:left="440"/>
    </w:pPr>
  </w:style>
  <w:style w:type="paragraph" w:styleId="891">
    <w:name w:val="toc 4"/>
    <w:basedOn w:val="900"/>
    <w:next w:val="900"/>
    <w:uiPriority w:val="39"/>
    <w:unhideWhenUsed/>
    <w:pPr>
      <w:pBdr/>
      <w:spacing w:after="100"/>
      <w:ind w:left="660"/>
    </w:pPr>
  </w:style>
  <w:style w:type="paragraph" w:styleId="892">
    <w:name w:val="toc 5"/>
    <w:basedOn w:val="900"/>
    <w:next w:val="900"/>
    <w:uiPriority w:val="39"/>
    <w:unhideWhenUsed/>
    <w:pPr>
      <w:pBdr/>
      <w:spacing w:after="100"/>
      <w:ind w:left="880"/>
    </w:pPr>
  </w:style>
  <w:style w:type="paragraph" w:styleId="893">
    <w:name w:val="toc 6"/>
    <w:basedOn w:val="900"/>
    <w:next w:val="900"/>
    <w:uiPriority w:val="39"/>
    <w:unhideWhenUsed/>
    <w:pPr>
      <w:pBdr/>
      <w:spacing w:after="100"/>
      <w:ind w:left="1100"/>
    </w:pPr>
  </w:style>
  <w:style w:type="paragraph" w:styleId="894">
    <w:name w:val="toc 7"/>
    <w:basedOn w:val="900"/>
    <w:next w:val="900"/>
    <w:uiPriority w:val="39"/>
    <w:unhideWhenUsed/>
    <w:pPr>
      <w:pBdr/>
      <w:spacing w:after="100"/>
      <w:ind w:left="1320"/>
    </w:pPr>
  </w:style>
  <w:style w:type="paragraph" w:styleId="895">
    <w:name w:val="toc 8"/>
    <w:basedOn w:val="900"/>
    <w:next w:val="900"/>
    <w:uiPriority w:val="39"/>
    <w:unhideWhenUsed/>
    <w:pPr>
      <w:pBdr/>
      <w:spacing w:after="100"/>
      <w:ind w:left="1540"/>
    </w:pPr>
  </w:style>
  <w:style w:type="paragraph" w:styleId="896">
    <w:name w:val="toc 9"/>
    <w:basedOn w:val="900"/>
    <w:next w:val="900"/>
    <w:uiPriority w:val="39"/>
    <w:unhideWhenUsed/>
    <w:pPr>
      <w:pBdr/>
      <w:spacing w:after="100"/>
      <w:ind w:left="1760"/>
    </w:pPr>
  </w:style>
  <w:style w:type="character" w:styleId="897">
    <w:name w:val="Placeholder Text"/>
    <w:basedOn w:val="848"/>
    <w:uiPriority w:val="99"/>
    <w:semiHidden/>
    <w:pPr>
      <w:pBdr/>
      <w:spacing/>
      <w:ind/>
    </w:pPr>
    <w:rPr>
      <w:color w:val="666666"/>
    </w:rPr>
  </w:style>
  <w:style w:type="paragraph" w:styleId="898">
    <w:name w:val="TOC Heading"/>
    <w:uiPriority w:val="39"/>
    <w:unhideWhenUsed/>
    <w:pPr>
      <w:pBdr/>
      <w:spacing/>
      <w:ind/>
    </w:pPr>
  </w:style>
  <w:style w:type="paragraph" w:styleId="899">
    <w:name w:val="table of figures"/>
    <w:basedOn w:val="900"/>
    <w:next w:val="900"/>
    <w:uiPriority w:val="99"/>
    <w:unhideWhenUsed/>
    <w:pPr>
      <w:pBdr/>
      <w:spacing w:after="0" w:afterAutospacing="0"/>
      <w:ind/>
    </w:pPr>
  </w:style>
  <w:style w:type="paragraph" w:styleId="900" w:default="1">
    <w:name w:val="Normal"/>
    <w:qFormat/>
    <w:pPr>
      <w:widowControl w:val="true"/>
      <w:pBdr/>
      <w:spacing/>
      <w:ind/>
    </w:pPr>
    <w:rPr>
      <w:rFonts w:ascii="Times New Roman" w:hAnsi="Times New Roman" w:eastAsia="NSimSun" w:cs="Arial"/>
      <w:color w:val="auto"/>
      <w:sz w:val="24"/>
      <w:szCs w:val="24"/>
      <w:lang w:val="en-US" w:eastAsia="zh-CN" w:bidi="hi-IN"/>
    </w:rPr>
  </w:style>
  <w:style w:type="paragraph" w:styleId="901">
    <w:name w:val="Heading 3"/>
    <w:basedOn w:val="905"/>
    <w:next w:val="906"/>
    <w:qFormat/>
    <w:pPr>
      <w:numPr>
        <w:ilvl w:val="2"/>
        <w:numId w:val="1"/>
      </w:numPr>
      <w:pBdr/>
      <w:spacing w:after="120" w:before="140"/>
      <w:ind/>
      <w:outlineLvl w:val="2"/>
    </w:pPr>
    <w:rPr>
      <w:b/>
      <w:bCs/>
      <w:sz w:val="28"/>
      <w:szCs w:val="28"/>
    </w:rPr>
  </w:style>
  <w:style w:type="character" w:styleId="902">
    <w:name w:val="Bullets"/>
    <w:qFormat/>
    <w:pPr>
      <w:pBdr/>
      <w:spacing/>
      <w:ind/>
    </w:pPr>
    <w:rPr>
      <w:rFonts w:ascii="OpenSymbol" w:hAnsi="OpenSymbol" w:eastAsia="OpenSymbol" w:cs="OpenSymbol"/>
    </w:rPr>
  </w:style>
  <w:style w:type="character" w:styleId="903">
    <w:name w:val="Strong Emphasis"/>
    <w:qFormat/>
    <w:pPr>
      <w:pBdr/>
      <w:spacing/>
      <w:ind/>
    </w:pPr>
    <w:rPr>
      <w:b/>
      <w:bCs/>
    </w:rPr>
  </w:style>
  <w:style w:type="character" w:styleId="904">
    <w:name w:val="Internet Link"/>
    <w:pPr>
      <w:pBdr/>
      <w:spacing/>
      <w:ind/>
    </w:pPr>
    <w:rPr>
      <w:color w:val="000080"/>
      <w:u w:val="single"/>
    </w:rPr>
  </w:style>
  <w:style w:type="paragraph" w:styleId="905">
    <w:name w:val="Heading"/>
    <w:basedOn w:val="900"/>
    <w:next w:val="906"/>
    <w:qFormat/>
    <w:pPr>
      <w:keepNext w:val="true"/>
      <w:pBdr/>
      <w:spacing w:after="120" w:before="240"/>
      <w:ind/>
    </w:pPr>
    <w:rPr>
      <w:rFonts w:ascii="Arial" w:hAnsi="Arial" w:eastAsia="Microsoft YaHei" w:cs="Arial"/>
      <w:sz w:val="28"/>
      <w:szCs w:val="28"/>
    </w:rPr>
  </w:style>
  <w:style w:type="paragraph" w:styleId="906">
    <w:name w:val="Body Text"/>
    <w:basedOn w:val="900"/>
    <w:pPr>
      <w:pBdr/>
      <w:spacing w:after="140" w:before="0" w:line="276" w:lineRule="auto"/>
      <w:ind/>
    </w:pPr>
  </w:style>
  <w:style w:type="paragraph" w:styleId="907">
    <w:name w:val="List"/>
    <w:basedOn w:val="906"/>
    <w:pPr>
      <w:pBdr/>
      <w:spacing/>
      <w:ind/>
    </w:pPr>
    <w:rPr>
      <w:rFonts w:cs="Arial"/>
    </w:rPr>
  </w:style>
  <w:style w:type="paragraph" w:styleId="908">
    <w:name w:val="Caption"/>
    <w:basedOn w:val="900"/>
    <w:qFormat/>
    <w:pPr>
      <w:suppressLineNumbers w:val="true"/>
      <w:pBdr/>
      <w:spacing w:after="120" w:before="120"/>
      <w:ind/>
    </w:pPr>
    <w:rPr>
      <w:rFonts w:cs="Arial"/>
      <w:i/>
      <w:iCs/>
      <w:sz w:val="24"/>
      <w:szCs w:val="24"/>
    </w:rPr>
  </w:style>
  <w:style w:type="paragraph" w:styleId="909">
    <w:name w:val="Index"/>
    <w:basedOn w:val="900"/>
    <w:qFormat/>
    <w:pPr>
      <w:suppressLineNumbers w:val="true"/>
      <w:pBdr/>
      <w:spacing/>
      <w:ind/>
    </w:pPr>
    <w:rPr>
      <w:rFonts w:cs="Arial"/>
    </w:rPr>
  </w:style>
  <w:style w:type="paragraph" w:styleId="910">
    <w:name w:val="Horizontal Line"/>
    <w:basedOn w:val="900"/>
    <w:next w:val="906"/>
    <w:qFormat/>
    <w:pPr>
      <w:suppressLineNumbers w:val="true"/>
      <w:pBdr>
        <w:bottom w:val="single" w:color="808080" w:sz="2" w:space="0"/>
      </w:pBdr>
      <w:spacing w:after="283" w:before="0"/>
      <w:ind/>
    </w:pPr>
    <w:rPr>
      <w:sz w:val="12"/>
      <w:szCs w:val="12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intuitionlabs.ai/articles/pharma-tariffs-2026-supply-chain-onshoring" TargetMode="External"/><Relationship Id="rId10" Type="http://schemas.openxmlformats.org/officeDocument/2006/relationships/hyperlink" Target="https://finance.yahoo.com/healthcare/articles/us-launches-trade-probe-germany-070638602.html" TargetMode="External"/><Relationship Id="rId11" Type="http://schemas.openxmlformats.org/officeDocument/2006/relationships/hyperlink" Target="https://services.thebmc.co.uk/first-dry/US-Threatens-Tariffs-on-Germany-Over-Drug-Pricing-Practices-32-16690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dc:language>en-US</dc:language>
  <cp:revision>4</cp:revision>
  <dcterms:created xsi:type="dcterms:W3CDTF">2026-07-11T11:11:48Z</dcterms:created>
  <dcterms:modified xsi:type="dcterms:W3CDTF">2026-07-19T04:10:48Z</dcterms:modified>
</cp:coreProperties>
</file>