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before="0" w:after="0"/>
        <w:ind w:left="0" w:right="0" w:hanging="0"/>
        <w:rPr/>
      </w:pPr>
      <w:r>
        <w:rPr>
          <w:rStyle w:val="StrongEmphasis"/>
          <w:rFonts w:ascii="Arial" w:hAnsi="Arial"/>
          <w:b/>
          <w:strike w:val="false"/>
          <w:dstrike w:val="false"/>
          <w:sz w:val="24"/>
          <w:szCs w:val="24"/>
          <w:u w:val="none"/>
          <w:effect w:val="none"/>
        </w:rPr>
        <w:t>Eliminating AMA lobbying, lifting federal residency caps, and allowing an unlimited supply of doctors would fundamentally reshape the economics of U.S. healthcare, potentially driving down total healthcare costs by an estimated 15% to 25% over a decade.</w:t>
      </w:r>
    </w:p>
    <w:p>
      <w:pPr>
        <w:pStyle w:val="Normal"/>
        <w:spacing w:before="120" w:after="160"/>
        <w:ind w:left="0" w:right="0" w:hanging="0"/>
        <w:rPr>
          <w:rFonts w:ascii="Arial" w:hAnsi="Arial"/>
          <w:b w:val="false"/>
          <w:b w:val="false"/>
          <w:strike w:val="false"/>
          <w:dstrike w:val="false"/>
          <w:sz w:val="24"/>
          <w:szCs w:val="24"/>
          <w:u w:val="none"/>
          <w:effect w:val="none"/>
        </w:rPr>
      </w:pPr>
      <w:r>
        <w:rPr>
          <w:rFonts w:ascii="Arial" w:hAnsi="Arial"/>
          <w:b w:val="false"/>
          <w:strike w:val="false"/>
          <w:dstrike w:val="false"/>
          <w:sz w:val="24"/>
          <w:szCs w:val="24"/>
          <w:u w:val="none"/>
          <w:effect w:val="none"/>
        </w:rPr>
        <w:t>In a completely deregulated, free-market physician supply system, healthcare expenditures would decline through a combination of lower physician salaries, reduced emergency room utilization, the elimination of scope-of-practice restrictions, and minimized administrative overhead.</w:t>
      </w:r>
    </w:p>
    <w:p>
      <w:pPr>
        <w:pStyle w:val="HorizontalLine"/>
        <w:rPr>
          <w:rFonts w:ascii="Arial" w:hAnsi="Arial"/>
          <w:sz w:val="24"/>
          <w:szCs w:val="24"/>
        </w:rPr>
      </w:pPr>
      <w:r>
        <w:rPr>
          <w:rFonts w:ascii="Arial" w:hAnsi="Arial"/>
          <w:sz w:val="24"/>
          <w:szCs w:val="24"/>
        </w:rPr>
      </w:r>
    </w:p>
    <w:p>
      <w:pPr>
        <w:pStyle w:val="TextBody"/>
        <w:rPr>
          <w:rFonts w:ascii="Arial" w:hAnsi="Arial"/>
          <w:sz w:val="24"/>
          <w:szCs w:val="24"/>
        </w:rPr>
      </w:pPr>
      <w:r>
        <w:rPr>
          <w:rFonts w:ascii="Arial" w:hAnsi="Arial"/>
          <w:sz w:val="24"/>
          <w:szCs w:val="24"/>
        </w:rPr>
      </w:r>
    </w:p>
    <w:p>
      <w:pPr>
        <w:pStyle w:val="Heading3"/>
        <w:rPr>
          <w:rFonts w:ascii="Arial" w:hAnsi="Arial"/>
          <w:b/>
          <w:b/>
          <w:strike w:val="false"/>
          <w:dstrike w:val="false"/>
          <w:sz w:val="24"/>
          <w:szCs w:val="24"/>
          <w:u w:val="none"/>
          <w:effect w:val="none"/>
        </w:rPr>
      </w:pPr>
      <w:r>
        <w:rPr/>
        <w:t>Breaking the Cartel: How Flooding the Market with Doctors Would Slash Healthcare Costs</w:t>
      </w:r>
    </w:p>
    <w:p>
      <w:pPr>
        <w:pStyle w:val="TextBody"/>
        <w:spacing w:before="0" w:after="0"/>
        <w:ind w:left="0" w:right="0" w:hanging="0"/>
        <w:rPr>
          <w:rFonts w:ascii="Arial" w:hAnsi="Arial"/>
          <w:b w:val="false"/>
          <w:b w:val="false"/>
          <w:strike w:val="false"/>
          <w:dstrike w:val="false"/>
          <w:sz w:val="24"/>
          <w:szCs w:val="24"/>
          <w:u w:val="none"/>
          <w:effect w:val="none"/>
        </w:rPr>
      </w:pPr>
      <w:r>
        <w:rPr>
          <w:rFonts w:ascii="Arial" w:hAnsi="Arial"/>
          <w:b w:val="false"/>
          <w:strike w:val="false"/>
          <w:dstrike w:val="false"/>
          <w:sz w:val="24"/>
          <w:szCs w:val="24"/>
          <w:u w:val="none"/>
          <w:effect w:val="none"/>
        </w:rPr>
        <w:t>The United States currently spends roughly 17.5% of its GDP on healthcare, drastically outspending every other developed nation. While multiple factors drive these bloated figures, an artificial scarcity of physicians sits at the very center of the crisis. For decades, the American Medical Association (AMA) and federal lawmakers have bottlenecked the supply of doctors through artificial residency caps established by the Balanced Budget Act of 1997.</w:t>
      </w:r>
    </w:p>
    <w:p>
      <w:pPr>
        <w:pStyle w:val="TextBody"/>
        <w:spacing w:before="120" w:after="160"/>
        <w:ind w:left="0" w:right="0" w:hanging="0"/>
        <w:rPr/>
      </w:pPr>
      <w:r>
        <w:rPr>
          <w:rFonts w:ascii="Arial" w:hAnsi="Arial"/>
          <w:b w:val="false"/>
          <w:strike w:val="false"/>
          <w:dstrike w:val="false"/>
          <w:sz w:val="24"/>
          <w:szCs w:val="24"/>
          <w:u w:val="none"/>
          <w:effect w:val="none"/>
        </w:rPr>
        <w:t>If the AMA's lobbying influence were completely removed, federal funding caps eliminated, and an unlimited supply of doctors allowed to enter the market, the financial relief to American consumers and taxpayers would be historic.</w:t>
      </w:r>
    </w:p>
    <w:p>
      <w:pPr>
        <w:pStyle w:val="TextBody"/>
        <w:spacing w:before="120" w:after="160"/>
        <w:ind w:left="0" w:right="0" w:hanging="0"/>
        <w:rPr>
          <w:rFonts w:ascii="Arial" w:hAnsi="Arial"/>
          <w:b w:val="false"/>
          <w:b w:val="false"/>
          <w:strike w:val="false"/>
          <w:dstrike w:val="false"/>
          <w:sz w:val="24"/>
          <w:szCs w:val="24"/>
          <w:u w:val="none"/>
          <w:effect w:val="none"/>
        </w:rPr>
      </w:pPr>
      <w:r>
        <w:rPr>
          <w:rFonts w:ascii="Arial" w:hAnsi="Arial"/>
          <w:b w:val="false"/>
          <w:strike w:val="false"/>
          <w:dstrike w:val="false"/>
          <w:sz w:val="24"/>
          <w:szCs w:val="24"/>
          <w:u w:val="none"/>
          <w:effect w:val="none"/>
        </w:rPr>
      </w:r>
    </w:p>
    <w:p>
      <w:pPr>
        <w:pStyle w:val="Heading3"/>
        <w:rPr>
          <w:rFonts w:ascii="Arial" w:hAnsi="Arial"/>
          <w:b/>
          <w:b/>
          <w:strike w:val="false"/>
          <w:dstrike w:val="false"/>
          <w:sz w:val="24"/>
          <w:szCs w:val="24"/>
          <w:u w:val="none"/>
          <w:effect w:val="none"/>
        </w:rPr>
      </w:pPr>
      <w:r>
        <w:rPr/>
        <w:t>1. Market Competition and Normalized Physician Salaries</w:t>
      </w:r>
    </w:p>
    <w:p>
      <w:pPr>
        <w:pStyle w:val="TextBody"/>
        <w:numPr>
          <w:ilvl w:val="0"/>
          <w:numId w:val="2"/>
        </w:numPr>
        <w:tabs>
          <w:tab w:val="clear" w:pos="709"/>
          <w:tab w:val="left" w:pos="0" w:leader="none"/>
        </w:tabs>
        <w:spacing w:before="0" w:after="0"/>
        <w:ind w:left="0" w:right="0" w:hanging="283"/>
        <w:rPr/>
      </w:pPr>
      <w:r>
        <w:rPr>
          <w:rStyle w:val="StrongEmphasis"/>
          <w:rFonts w:ascii="Arial" w:hAnsi="Arial"/>
          <w:b/>
          <w:strike w:val="false"/>
          <w:dstrike w:val="false"/>
          <w:sz w:val="24"/>
          <w:szCs w:val="24"/>
          <w:u w:val="none"/>
          <w:effect w:val="none"/>
        </w:rPr>
        <w:t>The Cost Driver:</w:t>
      </w:r>
      <w:r>
        <w:rPr>
          <w:rFonts w:ascii="Arial" w:hAnsi="Arial"/>
          <w:b w:val="false"/>
          <w:strike w:val="false"/>
          <w:dstrike w:val="false"/>
          <w:sz w:val="24"/>
          <w:szCs w:val="24"/>
          <w:u w:val="none"/>
          <w:effect w:val="none"/>
        </w:rPr>
        <w:t xml:space="preserve"> U.S. doctors are paid significantly more than their international peers, with specialists routinely clearing $500,000 annually. This is a direct consequence of a restricted labor supply.</w:t>
      </w:r>
    </w:p>
    <w:p>
      <w:pPr>
        <w:pStyle w:val="TextBody"/>
        <w:numPr>
          <w:ilvl w:val="0"/>
          <w:numId w:val="2"/>
        </w:numPr>
        <w:tabs>
          <w:tab w:val="clear" w:pos="709"/>
          <w:tab w:val="left" w:pos="0" w:leader="none"/>
        </w:tabs>
        <w:spacing w:before="0" w:after="0"/>
        <w:ind w:left="0" w:right="0" w:hanging="283"/>
        <w:rPr/>
      </w:pPr>
      <w:r>
        <w:rPr>
          <w:rStyle w:val="StrongEmphasis"/>
          <w:rFonts w:ascii="Arial" w:hAnsi="Arial"/>
          <w:b/>
          <w:strike w:val="false"/>
          <w:dstrike w:val="false"/>
          <w:sz w:val="24"/>
          <w:szCs w:val="24"/>
          <w:u w:val="none"/>
          <w:effect w:val="none"/>
        </w:rPr>
        <w:t>The Free-Market Shift:</w:t>
      </w:r>
      <w:r>
        <w:rPr>
          <w:rFonts w:ascii="Arial" w:hAnsi="Arial"/>
          <w:b w:val="false"/>
          <w:strike w:val="false"/>
          <w:dstrike w:val="false"/>
          <w:sz w:val="24"/>
          <w:szCs w:val="24"/>
          <w:u w:val="none"/>
          <w:effect w:val="none"/>
        </w:rPr>
        <w:t xml:space="preserve"> Flooding the market with qualified domestic and international medical graduates would instantly trigger standard supply-and-demand economics. As doctors compete for patients, the nominal fees charged for clinical visits and procedures would face downward pressure.</w:t>
      </w:r>
    </w:p>
    <w:p>
      <w:pPr>
        <w:pStyle w:val="TextBody"/>
        <w:numPr>
          <w:ilvl w:val="0"/>
          <w:numId w:val="2"/>
        </w:numPr>
        <w:tabs>
          <w:tab w:val="clear" w:pos="709"/>
          <w:tab w:val="left" w:pos="0" w:leader="none"/>
        </w:tabs>
        <w:spacing w:before="0" w:after="0"/>
        <w:ind w:left="0" w:right="0" w:hanging="283"/>
        <w:rPr/>
      </w:pPr>
      <w:r>
        <w:rPr>
          <w:rStyle w:val="StrongEmphasis"/>
          <w:rFonts w:ascii="Arial" w:hAnsi="Arial"/>
          <w:b/>
          <w:strike w:val="false"/>
          <w:dstrike w:val="false"/>
          <w:sz w:val="24"/>
          <w:szCs w:val="24"/>
          <w:u w:val="none"/>
          <w:effect w:val="none"/>
        </w:rPr>
        <w:t>Estimated Savings:</w:t>
      </w:r>
      <w:r>
        <w:rPr>
          <w:rFonts w:ascii="Arial" w:hAnsi="Arial"/>
          <w:b w:val="false"/>
          <w:strike w:val="false"/>
          <w:dstrike w:val="false"/>
          <w:sz w:val="24"/>
          <w:szCs w:val="24"/>
          <w:u w:val="none"/>
          <w:effect w:val="none"/>
        </w:rPr>
        <w:t xml:space="preserve"> Bringing American physician salaries down by 30% to align closer with European standards would directly shave billions off national expenditures. Given that physician salaries account for roughly 10% of total healthcare spending, a salary normalization would drop overall costs by </w:t>
      </w:r>
      <w:r>
        <w:rPr>
          <w:rStyle w:val="StrongEmphasis"/>
          <w:rFonts w:ascii="Arial" w:hAnsi="Arial"/>
          <w:b/>
          <w:strike w:val="false"/>
          <w:dstrike w:val="false"/>
          <w:sz w:val="24"/>
          <w:szCs w:val="24"/>
          <w:u w:val="none"/>
          <w:effect w:val="none"/>
        </w:rPr>
        <w:t>3% to 4%</w:t>
      </w:r>
      <w:r>
        <w:rPr>
          <w:rFonts w:ascii="Arial" w:hAnsi="Arial"/>
          <w:b w:val="false"/>
          <w:strike w:val="false"/>
          <w:dstrike w:val="false"/>
          <w:sz w:val="24"/>
          <w:szCs w:val="24"/>
          <w:u w:val="none"/>
          <w:effect w:val="none"/>
        </w:rPr>
        <w:t>.</w:t>
      </w:r>
    </w:p>
    <w:p>
      <w:pPr>
        <w:pStyle w:val="TextBody"/>
        <w:spacing w:before="240" w:after="120"/>
        <w:ind w:left="0" w:right="0" w:hanging="0"/>
        <w:rPr>
          <w:rFonts w:ascii="Arial" w:hAnsi="Arial"/>
          <w:b/>
          <w:b/>
          <w:strike w:val="false"/>
          <w:dstrike w:val="false"/>
          <w:sz w:val="24"/>
          <w:szCs w:val="24"/>
          <w:u w:val="none"/>
          <w:effect w:val="none"/>
        </w:rPr>
      </w:pPr>
      <w:r>
        <w:rPr>
          <w:rFonts w:ascii="Arial" w:hAnsi="Arial"/>
          <w:b/>
          <w:strike w:val="false"/>
          <w:dstrike w:val="false"/>
          <w:sz w:val="24"/>
          <w:szCs w:val="24"/>
          <w:u w:val="none"/>
          <w:effect w:val="none"/>
        </w:rPr>
        <w:t>2. Defeating "Scope of Practice" Firewalls</w:t>
      </w:r>
    </w:p>
    <w:p>
      <w:pPr>
        <w:pStyle w:val="TextBody"/>
        <w:numPr>
          <w:ilvl w:val="0"/>
          <w:numId w:val="3"/>
        </w:numPr>
        <w:tabs>
          <w:tab w:val="clear" w:pos="709"/>
          <w:tab w:val="left" w:pos="0" w:leader="none"/>
        </w:tabs>
        <w:spacing w:before="0" w:after="0"/>
        <w:ind w:left="0" w:right="0" w:hanging="283"/>
        <w:rPr/>
      </w:pPr>
      <w:r>
        <w:rPr>
          <w:rStyle w:val="StrongEmphasis"/>
          <w:rFonts w:ascii="Arial" w:hAnsi="Arial"/>
          <w:b/>
          <w:strike w:val="false"/>
          <w:dstrike w:val="false"/>
          <w:sz w:val="24"/>
          <w:szCs w:val="24"/>
          <w:u w:val="none"/>
          <w:effect w:val="none"/>
        </w:rPr>
        <w:t>The Cost Driver:</w:t>
      </w:r>
      <w:r>
        <w:rPr>
          <w:rFonts w:ascii="Arial" w:hAnsi="Arial"/>
          <w:b w:val="false"/>
          <w:strike w:val="false"/>
          <w:dstrike w:val="false"/>
          <w:sz w:val="24"/>
          <w:szCs w:val="24"/>
          <w:u w:val="none"/>
          <w:effect w:val="none"/>
        </w:rPr>
        <w:t xml:space="preserve"> A massive portion of AMA lobbying budget goes toward defeating "scope of practice" bills in state legislatures. The AMA fights to prevent Nurse Practitioners (NPs) and Physician Assistants (PAs) from opening independent practices, forcing patients to pay higher physician rates for routine care.</w:t>
      </w:r>
    </w:p>
    <w:p>
      <w:pPr>
        <w:pStyle w:val="TextBody"/>
        <w:numPr>
          <w:ilvl w:val="0"/>
          <w:numId w:val="3"/>
        </w:numPr>
        <w:tabs>
          <w:tab w:val="clear" w:pos="709"/>
          <w:tab w:val="left" w:pos="0" w:leader="none"/>
        </w:tabs>
        <w:spacing w:before="0" w:after="0"/>
        <w:ind w:left="0" w:right="0" w:hanging="283"/>
        <w:rPr/>
      </w:pPr>
      <w:r>
        <w:rPr>
          <w:rStyle w:val="StrongEmphasis"/>
          <w:rFonts w:ascii="Arial" w:hAnsi="Arial"/>
          <w:b/>
          <w:strike w:val="false"/>
          <w:dstrike w:val="false"/>
          <w:sz w:val="24"/>
          <w:szCs w:val="24"/>
          <w:u w:val="none"/>
          <w:effect w:val="none"/>
        </w:rPr>
        <w:t>The Free-Market Shift:</w:t>
      </w:r>
      <w:r>
        <w:rPr>
          <w:rFonts w:ascii="Arial" w:hAnsi="Arial"/>
          <w:b w:val="false"/>
          <w:strike w:val="false"/>
          <w:dstrike w:val="false"/>
          <w:sz w:val="24"/>
          <w:szCs w:val="24"/>
          <w:u w:val="none"/>
          <w:effect w:val="none"/>
        </w:rPr>
        <w:t xml:space="preserve"> Stripping away the AMA's lobbying shield would allow advanced practice clinicians to operate independently nationwide. Furthermore, an abundance of fully licensed doctors would force physicians to compete directly with mid-level providers, shattering the pricing monopolies on low-risk medical care.</w:t>
      </w:r>
    </w:p>
    <w:p>
      <w:pPr>
        <w:pStyle w:val="TextBody"/>
        <w:numPr>
          <w:ilvl w:val="0"/>
          <w:numId w:val="3"/>
        </w:numPr>
        <w:tabs>
          <w:tab w:val="clear" w:pos="709"/>
          <w:tab w:val="left" w:pos="0" w:leader="none"/>
        </w:tabs>
        <w:spacing w:before="0" w:after="0"/>
        <w:ind w:left="0" w:right="0" w:hanging="283"/>
        <w:rPr/>
      </w:pPr>
      <w:r>
        <w:rPr>
          <w:rStyle w:val="StrongEmphasis"/>
          <w:rFonts w:ascii="Arial" w:hAnsi="Arial"/>
          <w:b/>
          <w:strike w:val="false"/>
          <w:dstrike w:val="false"/>
          <w:sz w:val="24"/>
          <w:szCs w:val="24"/>
          <w:u w:val="none"/>
          <w:effect w:val="none"/>
        </w:rPr>
        <w:t>Estimated Savings:</w:t>
      </w:r>
      <w:r>
        <w:rPr>
          <w:rFonts w:ascii="Arial" w:hAnsi="Arial"/>
          <w:b w:val="false"/>
          <w:strike w:val="false"/>
          <w:dstrike w:val="false"/>
          <w:sz w:val="24"/>
          <w:szCs w:val="24"/>
          <w:u w:val="none"/>
          <w:effect w:val="none"/>
        </w:rPr>
        <w:t xml:space="preserve"> Shifting routine check-ups, basic prescriptions, and minor urgent care issues away from high-cost physician environments would slash primary care delivery costs by </w:t>
      </w:r>
      <w:r>
        <w:rPr>
          <w:rStyle w:val="StrongEmphasis"/>
          <w:rFonts w:ascii="Arial" w:hAnsi="Arial"/>
          <w:b/>
          <w:strike w:val="false"/>
          <w:dstrike w:val="false"/>
          <w:sz w:val="24"/>
          <w:szCs w:val="24"/>
          <w:u w:val="none"/>
          <w:effect w:val="none"/>
        </w:rPr>
        <w:t>15% to 20%</w:t>
      </w:r>
      <w:r>
        <w:rPr>
          <w:rFonts w:ascii="Arial" w:hAnsi="Arial"/>
          <w:b w:val="false"/>
          <w:strike w:val="false"/>
          <w:dstrike w:val="false"/>
          <w:sz w:val="24"/>
          <w:szCs w:val="24"/>
          <w:u w:val="none"/>
          <w:effect w:val="none"/>
        </w:rPr>
        <w:t xml:space="preserve"> within that specific sub-sector.</w:t>
      </w:r>
    </w:p>
    <w:p>
      <w:pPr>
        <w:pStyle w:val="TextBody"/>
        <w:spacing w:before="240" w:after="120"/>
        <w:ind w:left="0" w:right="0" w:hanging="0"/>
        <w:rPr>
          <w:rFonts w:ascii="Arial" w:hAnsi="Arial"/>
          <w:b/>
          <w:b/>
          <w:strike w:val="false"/>
          <w:dstrike w:val="false"/>
          <w:sz w:val="24"/>
          <w:szCs w:val="24"/>
          <w:u w:val="none"/>
          <w:effect w:val="none"/>
        </w:rPr>
      </w:pPr>
      <w:r>
        <w:rPr>
          <w:rFonts w:ascii="Arial" w:hAnsi="Arial"/>
          <w:b/>
          <w:strike w:val="false"/>
          <w:dstrike w:val="false"/>
          <w:sz w:val="24"/>
          <w:szCs w:val="24"/>
          <w:u w:val="none"/>
          <w:effect w:val="none"/>
        </w:rPr>
        <w:t>3. Ending the Expensive Cascade of Fragmented Care</w:t>
      </w:r>
    </w:p>
    <w:p>
      <w:pPr>
        <w:pStyle w:val="TextBody"/>
        <w:numPr>
          <w:ilvl w:val="0"/>
          <w:numId w:val="4"/>
        </w:numPr>
        <w:tabs>
          <w:tab w:val="clear" w:pos="709"/>
          <w:tab w:val="left" w:pos="0" w:leader="none"/>
        </w:tabs>
        <w:spacing w:before="0" w:after="0"/>
        <w:ind w:left="0" w:right="0" w:hanging="283"/>
        <w:rPr/>
      </w:pPr>
      <w:r>
        <w:rPr>
          <w:rStyle w:val="StrongEmphasis"/>
          <w:rFonts w:ascii="Arial" w:hAnsi="Arial"/>
          <w:b/>
          <w:strike w:val="false"/>
          <w:dstrike w:val="false"/>
          <w:sz w:val="24"/>
          <w:szCs w:val="24"/>
          <w:u w:val="none"/>
          <w:effect w:val="none"/>
        </w:rPr>
        <w:t>The Cost Driver:</w:t>
      </w:r>
      <w:r>
        <w:rPr>
          <w:rFonts w:ascii="Arial" w:hAnsi="Arial"/>
          <w:b w:val="false"/>
          <w:strike w:val="false"/>
          <w:dstrike w:val="false"/>
          <w:sz w:val="24"/>
          <w:szCs w:val="24"/>
          <w:u w:val="none"/>
          <w:effect w:val="none"/>
        </w:rPr>
        <w:t xml:space="preserve"> The artificial doctor shortage creates massive wait times for primary care. When patients cannot see a regular family doctor, they wait until their conditions worsen and seek care in a hospital Emergency Room (ER). A single ER visit costs up to ten times more than a standard clinic visit.</w:t>
      </w:r>
    </w:p>
    <w:p>
      <w:pPr>
        <w:pStyle w:val="TextBody"/>
        <w:numPr>
          <w:ilvl w:val="0"/>
          <w:numId w:val="4"/>
        </w:numPr>
        <w:tabs>
          <w:tab w:val="clear" w:pos="709"/>
          <w:tab w:val="left" w:pos="0" w:leader="none"/>
        </w:tabs>
        <w:spacing w:before="0" w:after="0"/>
        <w:ind w:left="0" w:right="0" w:hanging="283"/>
        <w:rPr/>
      </w:pPr>
      <w:r>
        <w:rPr>
          <w:rStyle w:val="StrongEmphasis"/>
          <w:rFonts w:ascii="Arial" w:hAnsi="Arial"/>
          <w:b/>
          <w:strike w:val="false"/>
          <w:dstrike w:val="false"/>
          <w:sz w:val="24"/>
          <w:szCs w:val="24"/>
          <w:u w:val="none"/>
          <w:effect w:val="none"/>
        </w:rPr>
        <w:t>The Free-Market Shift:</w:t>
      </w:r>
      <w:r>
        <w:rPr>
          <w:rFonts w:ascii="Arial" w:hAnsi="Arial"/>
          <w:b w:val="false"/>
          <w:strike w:val="false"/>
          <w:dstrike w:val="false"/>
          <w:sz w:val="24"/>
          <w:szCs w:val="24"/>
          <w:u w:val="none"/>
          <w:effect w:val="none"/>
        </w:rPr>
        <w:t xml:space="preserve"> An unlimited supply of doctors means same-day appointments, robust preventative medicine, and competitive clinic hours. Chronic diseases like diabetes and hypertension would be managed early, preventing expensive hospitalizations, redundant testing, and advanced surgeries.</w:t>
      </w:r>
    </w:p>
    <w:p>
      <w:pPr>
        <w:pStyle w:val="TextBody"/>
        <w:numPr>
          <w:ilvl w:val="0"/>
          <w:numId w:val="4"/>
        </w:numPr>
        <w:tabs>
          <w:tab w:val="clear" w:pos="709"/>
          <w:tab w:val="left" w:pos="0" w:leader="none"/>
        </w:tabs>
        <w:spacing w:before="0" w:after="0"/>
        <w:ind w:left="0" w:right="0" w:hanging="283"/>
        <w:rPr/>
      </w:pPr>
      <w:r>
        <w:rPr>
          <w:rStyle w:val="StrongEmphasis"/>
          <w:rFonts w:ascii="Arial" w:hAnsi="Arial"/>
          <w:b/>
          <w:strike w:val="false"/>
          <w:dstrike w:val="false"/>
          <w:sz w:val="24"/>
          <w:szCs w:val="24"/>
          <w:u w:val="none"/>
          <w:effect w:val="none"/>
        </w:rPr>
        <w:t>Estimated Savings:</w:t>
      </w:r>
      <w:r>
        <w:rPr>
          <w:rFonts w:ascii="Arial" w:hAnsi="Arial"/>
          <w:b w:val="false"/>
          <w:strike w:val="false"/>
          <w:dstrike w:val="false"/>
          <w:sz w:val="24"/>
          <w:szCs w:val="24"/>
          <w:u w:val="none"/>
          <w:effect w:val="none"/>
        </w:rPr>
        <w:t xml:space="preserve"> Because hospital care represents the single largest slice of U.S. healthcare spending (roughly 30%), a massive reduction in preventable ER visits and hospital admissions would slash overall national healthcare spending by an estimated </w:t>
      </w:r>
      <w:r>
        <w:rPr>
          <w:rStyle w:val="StrongEmphasis"/>
          <w:rFonts w:ascii="Arial" w:hAnsi="Arial"/>
          <w:b/>
          <w:strike w:val="false"/>
          <w:dstrike w:val="false"/>
          <w:sz w:val="24"/>
          <w:szCs w:val="24"/>
          <w:u w:val="none"/>
          <w:effect w:val="none"/>
        </w:rPr>
        <w:t>5% to 8%</w:t>
      </w:r>
      <w:r>
        <w:rPr>
          <w:rFonts w:ascii="Arial" w:hAnsi="Arial"/>
          <w:b w:val="false"/>
          <w:strike w:val="false"/>
          <w:dstrike w:val="false"/>
          <w:sz w:val="24"/>
          <w:szCs w:val="24"/>
          <w:u w:val="none"/>
          <w:effect w:val="none"/>
        </w:rPr>
        <w:t>.</w:t>
      </w:r>
    </w:p>
    <w:p>
      <w:pPr>
        <w:pStyle w:val="TextBody"/>
        <w:spacing w:before="240" w:after="120"/>
        <w:ind w:left="0" w:right="0" w:hanging="0"/>
        <w:rPr>
          <w:rFonts w:ascii="Arial" w:hAnsi="Arial"/>
          <w:b/>
          <w:b/>
          <w:strike w:val="false"/>
          <w:dstrike w:val="false"/>
          <w:sz w:val="24"/>
          <w:szCs w:val="24"/>
          <w:u w:val="none"/>
          <w:effect w:val="none"/>
        </w:rPr>
      </w:pPr>
      <w:r>
        <w:rPr>
          <w:rFonts w:ascii="Arial" w:hAnsi="Arial"/>
          <w:b/>
          <w:strike w:val="false"/>
          <w:dstrike w:val="false"/>
          <w:sz w:val="24"/>
          <w:szCs w:val="24"/>
          <w:u w:val="none"/>
          <w:effect w:val="none"/>
        </w:rPr>
        <w:t>4. Eradicating Regulatory Capture and Code Monopolies</w:t>
      </w:r>
    </w:p>
    <w:p>
      <w:pPr>
        <w:pStyle w:val="TextBody"/>
        <w:numPr>
          <w:ilvl w:val="0"/>
          <w:numId w:val="5"/>
        </w:numPr>
        <w:tabs>
          <w:tab w:val="clear" w:pos="709"/>
          <w:tab w:val="left" w:pos="0" w:leader="none"/>
        </w:tabs>
        <w:spacing w:before="0" w:after="0"/>
        <w:ind w:left="0" w:right="0" w:hanging="283"/>
        <w:rPr/>
      </w:pPr>
      <w:r>
        <w:rPr>
          <w:rStyle w:val="StrongEmphasis"/>
          <w:rFonts w:ascii="Arial" w:hAnsi="Arial"/>
          <w:b/>
          <w:strike w:val="false"/>
          <w:dstrike w:val="false"/>
          <w:sz w:val="24"/>
          <w:szCs w:val="24"/>
          <w:u w:val="none"/>
          <w:effect w:val="none"/>
        </w:rPr>
        <w:t>The Cost Driver:</w:t>
      </w:r>
      <w:r>
        <w:rPr>
          <w:rFonts w:ascii="Arial" w:hAnsi="Arial"/>
          <w:b w:val="false"/>
          <w:strike w:val="false"/>
          <w:dstrike w:val="false"/>
          <w:sz w:val="24"/>
          <w:szCs w:val="24"/>
          <w:u w:val="none"/>
          <w:effect w:val="none"/>
        </w:rPr>
        <w:t xml:space="preserve"> The AMA wields immense administrative power through its ownership of Current Procedural Terminology (CPT) codes—the copyrighted system every hospital must pay royalties to use when billing insurance. Furthermore, the AMA closely advises the federal government on how to value those codes, routinely inflating the value of specialist procedures over primary care.</w:t>
      </w:r>
    </w:p>
    <w:p>
      <w:pPr>
        <w:pStyle w:val="TextBody"/>
        <w:numPr>
          <w:ilvl w:val="0"/>
          <w:numId w:val="5"/>
        </w:numPr>
        <w:tabs>
          <w:tab w:val="clear" w:pos="709"/>
          <w:tab w:val="left" w:pos="0" w:leader="none"/>
        </w:tabs>
        <w:spacing w:before="0" w:after="0"/>
        <w:ind w:left="0" w:right="0" w:hanging="283"/>
        <w:rPr/>
      </w:pPr>
      <w:r>
        <w:rPr>
          <w:rStyle w:val="StrongEmphasis"/>
          <w:rFonts w:ascii="Arial" w:hAnsi="Arial"/>
          <w:b/>
          <w:strike w:val="false"/>
          <w:dstrike w:val="false"/>
          <w:sz w:val="24"/>
          <w:szCs w:val="24"/>
          <w:u w:val="none"/>
          <w:effect w:val="none"/>
        </w:rPr>
        <w:t>The Free-Market Shift:</w:t>
      </w:r>
      <w:r>
        <w:rPr>
          <w:rFonts w:ascii="Arial" w:hAnsi="Arial"/>
          <w:b w:val="false"/>
          <w:strike w:val="false"/>
          <w:dstrike w:val="false"/>
          <w:sz w:val="24"/>
          <w:szCs w:val="24"/>
          <w:u w:val="none"/>
          <w:effect w:val="none"/>
        </w:rPr>
        <w:t xml:space="preserve"> Eliminating the AMA's administrative monopoly would lead to open-source medical billing infrastructure and a neutral valuation of medical services.</w:t>
      </w:r>
    </w:p>
    <w:p>
      <w:pPr>
        <w:pStyle w:val="TextBody"/>
        <w:numPr>
          <w:ilvl w:val="0"/>
          <w:numId w:val="5"/>
        </w:numPr>
        <w:tabs>
          <w:tab w:val="clear" w:pos="709"/>
          <w:tab w:val="left" w:pos="0" w:leader="none"/>
        </w:tabs>
        <w:spacing w:before="0" w:after="0"/>
        <w:ind w:left="0" w:right="0" w:hanging="283"/>
        <w:rPr/>
      </w:pPr>
      <w:r>
        <w:rPr>
          <w:rStyle w:val="StrongEmphasis"/>
          <w:rFonts w:ascii="Arial" w:hAnsi="Arial"/>
          <w:b/>
          <w:strike w:val="false"/>
          <w:dstrike w:val="false"/>
          <w:sz w:val="24"/>
          <w:szCs w:val="24"/>
          <w:u w:val="none"/>
          <w:effect w:val="none"/>
        </w:rPr>
        <w:t>Estimated Savings:</w:t>
      </w:r>
      <w:r>
        <w:rPr>
          <w:rFonts w:ascii="Arial" w:hAnsi="Arial"/>
          <w:b w:val="false"/>
          <w:strike w:val="false"/>
          <w:dstrike w:val="false"/>
          <w:sz w:val="24"/>
          <w:szCs w:val="24"/>
          <w:u w:val="none"/>
          <w:effect w:val="none"/>
        </w:rPr>
        <w:t xml:space="preserve"> De-escalating the billing bureaucracy and ending the specialist-driven code distortion would lower administrative overhead—which currently consumes 25% of physician revenue—saving an additional </w:t>
      </w:r>
      <w:r>
        <w:rPr>
          <w:rStyle w:val="StrongEmphasis"/>
          <w:rFonts w:ascii="Arial" w:hAnsi="Arial"/>
          <w:b/>
          <w:strike w:val="false"/>
          <w:dstrike w:val="false"/>
          <w:sz w:val="24"/>
          <w:szCs w:val="24"/>
          <w:u w:val="none"/>
          <w:effect w:val="none"/>
        </w:rPr>
        <w:t>2% to 3%</w:t>
      </w:r>
      <w:r>
        <w:rPr>
          <w:rFonts w:ascii="Arial" w:hAnsi="Arial"/>
          <w:b w:val="false"/>
          <w:strike w:val="false"/>
          <w:dstrike w:val="false"/>
          <w:sz w:val="24"/>
          <w:szCs w:val="24"/>
          <w:u w:val="none"/>
          <w:effect w:val="none"/>
        </w:rPr>
        <w:t xml:space="preserve"> across the entire system.</w:t>
      </w:r>
    </w:p>
    <w:tbl>
      <w:tblPr>
        <w:tblW w:w="9309" w:type="dxa"/>
        <w:jc w:val="left"/>
        <w:tblInd w:w="0" w:type="dxa"/>
        <w:tblCellMar>
          <w:top w:w="0" w:type="dxa"/>
          <w:left w:w="0" w:type="dxa"/>
          <w:bottom w:w="28" w:type="dxa"/>
          <w:right w:w="0" w:type="dxa"/>
        </w:tblCellMar>
      </w:tblPr>
      <w:tblGrid>
        <w:gridCol w:w="1947"/>
        <w:gridCol w:w="2978"/>
        <w:gridCol w:w="2638"/>
        <w:gridCol w:w="1745"/>
      </w:tblGrid>
      <w:tr>
        <w:trPr/>
        <w:tc>
          <w:tcPr>
            <w:tcW w:w="1947" w:type="dxa"/>
            <w:tcBorders>
              <w:bottom w:val="single" w:sz="2" w:space="0" w:color="DCDFE5"/>
            </w:tcBorders>
            <w:shd w:fill="auto" w:val="clear"/>
            <w:vAlign w:val="center"/>
          </w:tcPr>
          <w:p>
            <w:pPr>
              <w:pStyle w:val="TableHeading"/>
              <w:spacing w:before="0" w:after="0"/>
              <w:ind w:left="0" w:right="0" w:hanging="0"/>
              <w:rPr>
                <w:rFonts w:ascii="Arial" w:hAnsi="Arial"/>
                <w:b/>
                <w:b/>
                <w:strike w:val="false"/>
                <w:dstrike w:val="false"/>
                <w:sz w:val="24"/>
                <w:szCs w:val="24"/>
                <w:u w:val="none"/>
                <w:effect w:val="none"/>
              </w:rPr>
            </w:pPr>
            <w:r>
              <w:rPr>
                <w:rFonts w:ascii="Arial" w:hAnsi="Arial"/>
                <w:b/>
                <w:strike w:val="false"/>
                <w:dstrike w:val="false"/>
                <w:sz w:val="24"/>
                <w:szCs w:val="24"/>
                <w:u w:val="none"/>
                <w:effect w:val="none"/>
              </w:rPr>
              <w:t>Cost Driver</w:t>
            </w:r>
          </w:p>
        </w:tc>
        <w:tc>
          <w:tcPr>
            <w:tcW w:w="2978" w:type="dxa"/>
            <w:tcBorders>
              <w:bottom w:val="single" w:sz="2" w:space="0" w:color="DCDFE5"/>
            </w:tcBorders>
            <w:shd w:fill="auto" w:val="clear"/>
            <w:vAlign w:val="center"/>
          </w:tcPr>
          <w:p>
            <w:pPr>
              <w:pStyle w:val="TableHeading"/>
              <w:spacing w:before="0" w:after="0"/>
              <w:ind w:left="0" w:right="0" w:hanging="0"/>
              <w:rPr>
                <w:rFonts w:ascii="Arial" w:hAnsi="Arial"/>
                <w:b/>
                <w:b/>
                <w:strike w:val="false"/>
                <w:dstrike w:val="false"/>
                <w:sz w:val="24"/>
                <w:szCs w:val="24"/>
                <w:u w:val="none"/>
                <w:effect w:val="none"/>
              </w:rPr>
            </w:pPr>
            <w:r>
              <w:rPr>
                <w:rFonts w:ascii="Arial" w:hAnsi="Arial"/>
                <w:b/>
                <w:strike w:val="false"/>
                <w:dstrike w:val="false"/>
                <w:sz w:val="24"/>
                <w:szCs w:val="24"/>
                <w:u w:val="none"/>
                <w:effect w:val="none"/>
              </w:rPr>
              <w:t>Current Impact</w:t>
            </w:r>
          </w:p>
        </w:tc>
        <w:tc>
          <w:tcPr>
            <w:tcW w:w="2638" w:type="dxa"/>
            <w:tcBorders>
              <w:bottom w:val="single" w:sz="2" w:space="0" w:color="DCDFE5"/>
            </w:tcBorders>
            <w:shd w:fill="auto" w:val="clear"/>
            <w:vAlign w:val="center"/>
          </w:tcPr>
          <w:p>
            <w:pPr>
              <w:pStyle w:val="TableHeading"/>
              <w:spacing w:before="0" w:after="0"/>
              <w:ind w:left="0" w:right="0" w:hanging="0"/>
              <w:rPr>
                <w:rFonts w:ascii="Arial" w:hAnsi="Arial"/>
                <w:b/>
                <w:b/>
                <w:strike w:val="false"/>
                <w:dstrike w:val="false"/>
                <w:sz w:val="24"/>
                <w:szCs w:val="24"/>
                <w:u w:val="none"/>
                <w:effect w:val="none"/>
              </w:rPr>
            </w:pPr>
            <w:r>
              <w:rPr>
                <w:rFonts w:ascii="Arial" w:hAnsi="Arial"/>
                <w:b/>
                <w:strike w:val="false"/>
                <w:dstrike w:val="false"/>
                <w:sz w:val="24"/>
                <w:szCs w:val="24"/>
                <w:u w:val="none"/>
                <w:effect w:val="none"/>
              </w:rPr>
              <w:t>Post-Reform Impact</w:t>
            </w:r>
          </w:p>
        </w:tc>
        <w:tc>
          <w:tcPr>
            <w:tcW w:w="1745" w:type="dxa"/>
            <w:tcBorders>
              <w:bottom w:val="single" w:sz="2" w:space="0" w:color="DCDFE5"/>
            </w:tcBorders>
            <w:shd w:fill="auto" w:val="clear"/>
            <w:vAlign w:val="center"/>
          </w:tcPr>
          <w:p>
            <w:pPr>
              <w:pStyle w:val="TableHeading"/>
              <w:spacing w:before="0" w:after="0"/>
              <w:ind w:left="0" w:right="0" w:hanging="0"/>
              <w:rPr>
                <w:rFonts w:ascii="Arial" w:hAnsi="Arial"/>
                <w:b/>
                <w:b/>
                <w:strike w:val="false"/>
                <w:dstrike w:val="false"/>
                <w:sz w:val="24"/>
                <w:szCs w:val="24"/>
                <w:u w:val="none"/>
                <w:effect w:val="none"/>
              </w:rPr>
            </w:pPr>
            <w:r>
              <w:rPr>
                <w:rFonts w:ascii="Arial" w:hAnsi="Arial"/>
                <w:b/>
                <w:strike w:val="false"/>
                <w:dstrike w:val="false"/>
                <w:sz w:val="24"/>
                <w:szCs w:val="24"/>
                <w:u w:val="none"/>
                <w:effect w:val="none"/>
              </w:rPr>
              <w:t>Estimated Total Savings</w:t>
            </w:r>
          </w:p>
        </w:tc>
      </w:tr>
      <w:tr>
        <w:trPr/>
        <w:tc>
          <w:tcPr>
            <w:tcW w:w="1947" w:type="dxa"/>
            <w:tcBorders>
              <w:bottom w:val="single" w:sz="2" w:space="0" w:color="DCDFE5"/>
            </w:tcBorders>
            <w:shd w:fill="auto" w:val="clear"/>
            <w:vAlign w:val="center"/>
          </w:tcPr>
          <w:p>
            <w:pPr>
              <w:pStyle w:val="TableContents"/>
              <w:spacing w:before="0" w:after="0"/>
              <w:ind w:left="0" w:right="0" w:hanging="0"/>
              <w:rPr/>
            </w:pPr>
            <w:r>
              <w:rPr>
                <w:rStyle w:val="StrongEmphasis"/>
                <w:rFonts w:ascii="Arial" w:hAnsi="Arial"/>
                <w:b/>
                <w:strike w:val="false"/>
                <w:dstrike w:val="false"/>
                <w:sz w:val="24"/>
                <w:szCs w:val="24"/>
                <w:u w:val="none"/>
                <w:effect w:val="none"/>
              </w:rPr>
              <w:t>Physician Salaries</w:t>
            </w:r>
          </w:p>
        </w:tc>
        <w:tc>
          <w:tcPr>
            <w:tcW w:w="2978" w:type="dxa"/>
            <w:tcBorders>
              <w:bottom w:val="single" w:sz="2" w:space="0" w:color="DCDFE5"/>
            </w:tcBorders>
            <w:shd w:fill="auto" w:val="clear"/>
            <w:vAlign w:val="center"/>
          </w:tcPr>
          <w:p>
            <w:pPr>
              <w:pStyle w:val="TableContents"/>
              <w:spacing w:before="0" w:after="0"/>
              <w:ind w:left="0" w:right="0" w:hanging="0"/>
              <w:rPr>
                <w:rFonts w:ascii="Arial" w:hAnsi="Arial"/>
                <w:b w:val="false"/>
                <w:b w:val="false"/>
                <w:strike w:val="false"/>
                <w:dstrike w:val="false"/>
                <w:sz w:val="24"/>
                <w:szCs w:val="24"/>
                <w:u w:val="none"/>
                <w:effect w:val="none"/>
              </w:rPr>
            </w:pPr>
            <w:r>
              <w:rPr>
                <w:rFonts w:ascii="Arial" w:hAnsi="Arial"/>
                <w:b w:val="false"/>
                <w:strike w:val="false"/>
                <w:dstrike w:val="false"/>
                <w:sz w:val="24"/>
                <w:szCs w:val="24"/>
                <w:u w:val="none"/>
                <w:effect w:val="none"/>
              </w:rPr>
              <w:t>Artificially high due to restricted supply</w:t>
            </w:r>
          </w:p>
        </w:tc>
        <w:tc>
          <w:tcPr>
            <w:tcW w:w="2638" w:type="dxa"/>
            <w:tcBorders>
              <w:bottom w:val="single" w:sz="2" w:space="0" w:color="DCDFE5"/>
            </w:tcBorders>
            <w:shd w:fill="auto" w:val="clear"/>
            <w:vAlign w:val="center"/>
          </w:tcPr>
          <w:p>
            <w:pPr>
              <w:pStyle w:val="TableContents"/>
              <w:spacing w:before="0" w:after="0"/>
              <w:ind w:left="0" w:right="0" w:hanging="0"/>
              <w:rPr>
                <w:rFonts w:ascii="Arial" w:hAnsi="Arial"/>
                <w:b w:val="false"/>
                <w:b w:val="false"/>
                <w:strike w:val="false"/>
                <w:dstrike w:val="false"/>
                <w:sz w:val="24"/>
                <w:szCs w:val="24"/>
                <w:u w:val="none"/>
                <w:effect w:val="none"/>
              </w:rPr>
            </w:pPr>
            <w:r>
              <w:rPr>
                <w:rFonts w:ascii="Arial" w:hAnsi="Arial"/>
                <w:b w:val="false"/>
                <w:strike w:val="false"/>
                <w:dstrike w:val="false"/>
                <w:sz w:val="24"/>
                <w:szCs w:val="24"/>
                <w:u w:val="none"/>
                <w:effect w:val="none"/>
              </w:rPr>
              <w:t>Natural market competition lowers fees</w:t>
            </w:r>
          </w:p>
        </w:tc>
        <w:tc>
          <w:tcPr>
            <w:tcW w:w="1745" w:type="dxa"/>
            <w:tcBorders>
              <w:bottom w:val="single" w:sz="2" w:space="0" w:color="DCDFE5"/>
            </w:tcBorders>
            <w:shd w:fill="auto" w:val="clear"/>
            <w:vAlign w:val="center"/>
          </w:tcPr>
          <w:p>
            <w:pPr>
              <w:pStyle w:val="TableContents"/>
              <w:spacing w:before="0" w:after="0"/>
              <w:ind w:left="0" w:right="0" w:hanging="0"/>
              <w:rPr>
                <w:rFonts w:ascii="Arial" w:hAnsi="Arial"/>
                <w:b w:val="false"/>
                <w:b w:val="false"/>
                <w:strike w:val="false"/>
                <w:dstrike w:val="false"/>
                <w:sz w:val="24"/>
                <w:szCs w:val="24"/>
                <w:u w:val="none"/>
                <w:effect w:val="none"/>
              </w:rPr>
            </w:pPr>
            <w:r>
              <w:rPr>
                <w:rFonts w:ascii="Arial" w:hAnsi="Arial"/>
                <w:b w:val="false"/>
                <w:strike w:val="false"/>
                <w:dstrike w:val="false"/>
                <w:sz w:val="24"/>
                <w:szCs w:val="24"/>
                <w:u w:val="none"/>
                <w:effect w:val="none"/>
              </w:rPr>
              <w:t>3% – 4% total reduction</w:t>
            </w:r>
          </w:p>
        </w:tc>
      </w:tr>
      <w:tr>
        <w:trPr/>
        <w:tc>
          <w:tcPr>
            <w:tcW w:w="1947" w:type="dxa"/>
            <w:tcBorders>
              <w:bottom w:val="single" w:sz="2" w:space="0" w:color="DCDFE5"/>
            </w:tcBorders>
            <w:shd w:fill="auto" w:val="clear"/>
            <w:vAlign w:val="center"/>
          </w:tcPr>
          <w:p>
            <w:pPr>
              <w:pStyle w:val="TableContents"/>
              <w:spacing w:before="0" w:after="0"/>
              <w:ind w:left="0" w:right="0" w:hanging="0"/>
              <w:rPr/>
            </w:pPr>
            <w:r>
              <w:rPr>
                <w:rStyle w:val="StrongEmphasis"/>
                <w:rFonts w:ascii="Arial" w:hAnsi="Arial"/>
                <w:b/>
                <w:strike w:val="false"/>
                <w:dstrike w:val="false"/>
                <w:sz w:val="24"/>
                <w:szCs w:val="24"/>
                <w:u w:val="none"/>
                <w:effect w:val="none"/>
              </w:rPr>
              <w:t>Scope of Practice</w:t>
            </w:r>
          </w:p>
        </w:tc>
        <w:tc>
          <w:tcPr>
            <w:tcW w:w="2978" w:type="dxa"/>
            <w:tcBorders>
              <w:bottom w:val="single" w:sz="2" w:space="0" w:color="DCDFE5"/>
            </w:tcBorders>
            <w:shd w:fill="auto" w:val="clear"/>
            <w:vAlign w:val="center"/>
          </w:tcPr>
          <w:p>
            <w:pPr>
              <w:pStyle w:val="TableContents"/>
              <w:spacing w:before="0" w:after="0"/>
              <w:ind w:left="0" w:right="0" w:hanging="0"/>
              <w:rPr>
                <w:rFonts w:ascii="Arial" w:hAnsi="Arial"/>
                <w:b w:val="false"/>
                <w:b w:val="false"/>
                <w:strike w:val="false"/>
                <w:dstrike w:val="false"/>
                <w:sz w:val="24"/>
                <w:szCs w:val="24"/>
                <w:u w:val="none"/>
                <w:effect w:val="none"/>
              </w:rPr>
            </w:pPr>
            <w:r>
              <w:rPr>
                <w:rFonts w:ascii="Arial" w:hAnsi="Arial"/>
                <w:b w:val="false"/>
                <w:strike w:val="false"/>
                <w:dstrike w:val="false"/>
                <w:sz w:val="24"/>
                <w:szCs w:val="24"/>
                <w:u w:val="none"/>
                <w:effect w:val="none"/>
              </w:rPr>
              <w:t>Monopolized by doctors via state lobbying</w:t>
            </w:r>
          </w:p>
        </w:tc>
        <w:tc>
          <w:tcPr>
            <w:tcW w:w="2638" w:type="dxa"/>
            <w:tcBorders>
              <w:bottom w:val="single" w:sz="2" w:space="0" w:color="DCDFE5"/>
            </w:tcBorders>
            <w:shd w:fill="auto" w:val="clear"/>
            <w:vAlign w:val="center"/>
          </w:tcPr>
          <w:p>
            <w:pPr>
              <w:pStyle w:val="TableContents"/>
              <w:spacing w:before="0" w:after="0"/>
              <w:ind w:left="0" w:right="0" w:hanging="0"/>
              <w:rPr>
                <w:rFonts w:ascii="Arial" w:hAnsi="Arial"/>
                <w:b w:val="false"/>
                <w:b w:val="false"/>
                <w:strike w:val="false"/>
                <w:dstrike w:val="false"/>
                <w:sz w:val="24"/>
                <w:szCs w:val="24"/>
                <w:u w:val="none"/>
                <w:effect w:val="none"/>
              </w:rPr>
            </w:pPr>
            <w:r>
              <w:rPr>
                <w:rFonts w:ascii="Arial" w:hAnsi="Arial"/>
                <w:b w:val="false"/>
                <w:strike w:val="false"/>
                <w:dstrike w:val="false"/>
                <w:sz w:val="24"/>
                <w:szCs w:val="24"/>
                <w:u w:val="none"/>
                <w:effect w:val="none"/>
              </w:rPr>
              <w:t>NPs/PAs and doctors openly compete</w:t>
            </w:r>
          </w:p>
        </w:tc>
        <w:tc>
          <w:tcPr>
            <w:tcW w:w="1745" w:type="dxa"/>
            <w:tcBorders>
              <w:bottom w:val="single" w:sz="2" w:space="0" w:color="DCDFE5"/>
            </w:tcBorders>
            <w:shd w:fill="auto" w:val="clear"/>
            <w:vAlign w:val="center"/>
          </w:tcPr>
          <w:p>
            <w:pPr>
              <w:pStyle w:val="TableContents"/>
              <w:spacing w:before="0" w:after="0"/>
              <w:ind w:left="0" w:right="0" w:hanging="0"/>
              <w:rPr>
                <w:rFonts w:ascii="Arial" w:hAnsi="Arial"/>
                <w:b w:val="false"/>
                <w:b w:val="false"/>
                <w:strike w:val="false"/>
                <w:dstrike w:val="false"/>
                <w:sz w:val="24"/>
                <w:szCs w:val="24"/>
                <w:u w:val="none"/>
                <w:effect w:val="none"/>
              </w:rPr>
            </w:pPr>
            <w:r>
              <w:rPr>
                <w:rFonts w:ascii="Arial" w:hAnsi="Arial"/>
                <w:b w:val="false"/>
                <w:strike w:val="false"/>
                <w:dstrike w:val="false"/>
                <w:sz w:val="24"/>
                <w:szCs w:val="24"/>
                <w:u w:val="none"/>
                <w:effect w:val="none"/>
              </w:rPr>
              <w:t>2% – 3% total reduction</w:t>
            </w:r>
          </w:p>
        </w:tc>
      </w:tr>
      <w:tr>
        <w:trPr/>
        <w:tc>
          <w:tcPr>
            <w:tcW w:w="1947" w:type="dxa"/>
            <w:tcBorders>
              <w:bottom w:val="single" w:sz="2" w:space="0" w:color="DCDFE5"/>
            </w:tcBorders>
            <w:shd w:fill="auto" w:val="clear"/>
            <w:vAlign w:val="center"/>
          </w:tcPr>
          <w:p>
            <w:pPr>
              <w:pStyle w:val="TableContents"/>
              <w:spacing w:before="0" w:after="0"/>
              <w:ind w:left="0" w:right="0" w:hanging="0"/>
              <w:rPr/>
            </w:pPr>
            <w:r>
              <w:rPr>
                <w:rStyle w:val="StrongEmphasis"/>
                <w:rFonts w:ascii="Arial" w:hAnsi="Arial"/>
                <w:b/>
                <w:strike w:val="false"/>
                <w:dstrike w:val="false"/>
                <w:sz w:val="24"/>
                <w:szCs w:val="24"/>
                <w:u w:val="none"/>
                <w:effect w:val="none"/>
              </w:rPr>
              <w:t>ER &amp; Hospital Dependency</w:t>
            </w:r>
          </w:p>
        </w:tc>
        <w:tc>
          <w:tcPr>
            <w:tcW w:w="2978" w:type="dxa"/>
            <w:tcBorders>
              <w:bottom w:val="single" w:sz="2" w:space="0" w:color="DCDFE5"/>
            </w:tcBorders>
            <w:shd w:fill="auto" w:val="clear"/>
            <w:vAlign w:val="center"/>
          </w:tcPr>
          <w:p>
            <w:pPr>
              <w:pStyle w:val="TableContents"/>
              <w:spacing w:before="0" w:after="0"/>
              <w:ind w:left="0" w:right="0" w:hanging="0"/>
              <w:rPr>
                <w:rFonts w:ascii="Arial" w:hAnsi="Arial"/>
                <w:b w:val="false"/>
                <w:b w:val="false"/>
                <w:strike w:val="false"/>
                <w:dstrike w:val="false"/>
                <w:sz w:val="24"/>
                <w:szCs w:val="24"/>
                <w:u w:val="none"/>
                <w:effect w:val="none"/>
              </w:rPr>
            </w:pPr>
            <w:r>
              <w:rPr>
                <w:rFonts w:ascii="Arial" w:hAnsi="Arial"/>
                <w:b w:val="false"/>
                <w:strike w:val="false"/>
                <w:dstrike w:val="false"/>
                <w:sz w:val="24"/>
                <w:szCs w:val="24"/>
                <w:u w:val="none"/>
                <w:effect w:val="none"/>
              </w:rPr>
              <w:t>High usage due to primary care shortages</w:t>
            </w:r>
          </w:p>
        </w:tc>
        <w:tc>
          <w:tcPr>
            <w:tcW w:w="2638" w:type="dxa"/>
            <w:tcBorders>
              <w:bottom w:val="single" w:sz="2" w:space="0" w:color="DCDFE5"/>
            </w:tcBorders>
            <w:shd w:fill="auto" w:val="clear"/>
            <w:vAlign w:val="center"/>
          </w:tcPr>
          <w:p>
            <w:pPr>
              <w:pStyle w:val="TableContents"/>
              <w:spacing w:before="0" w:after="0"/>
              <w:ind w:left="0" w:right="0" w:hanging="0"/>
              <w:rPr>
                <w:rFonts w:ascii="Arial" w:hAnsi="Arial"/>
                <w:b w:val="false"/>
                <w:b w:val="false"/>
                <w:strike w:val="false"/>
                <w:dstrike w:val="false"/>
                <w:sz w:val="24"/>
                <w:szCs w:val="24"/>
                <w:u w:val="none"/>
                <w:effect w:val="none"/>
              </w:rPr>
            </w:pPr>
            <w:r>
              <w:rPr>
                <w:rFonts w:ascii="Arial" w:hAnsi="Arial"/>
                <w:b w:val="false"/>
                <w:strike w:val="false"/>
                <w:dstrike w:val="false"/>
                <w:sz w:val="24"/>
                <w:szCs w:val="24"/>
                <w:u w:val="none"/>
                <w:effect w:val="none"/>
              </w:rPr>
              <w:t>Proactive, abundant preventative care</w:t>
            </w:r>
          </w:p>
        </w:tc>
        <w:tc>
          <w:tcPr>
            <w:tcW w:w="1745" w:type="dxa"/>
            <w:tcBorders>
              <w:bottom w:val="single" w:sz="2" w:space="0" w:color="DCDFE5"/>
            </w:tcBorders>
            <w:shd w:fill="auto" w:val="clear"/>
            <w:vAlign w:val="center"/>
          </w:tcPr>
          <w:p>
            <w:pPr>
              <w:pStyle w:val="TableContents"/>
              <w:spacing w:before="0" w:after="0"/>
              <w:ind w:left="0" w:right="0" w:hanging="0"/>
              <w:rPr>
                <w:rFonts w:ascii="Arial" w:hAnsi="Arial"/>
                <w:b w:val="false"/>
                <w:b w:val="false"/>
                <w:strike w:val="false"/>
                <w:dstrike w:val="false"/>
                <w:sz w:val="24"/>
                <w:szCs w:val="24"/>
                <w:u w:val="none"/>
                <w:effect w:val="none"/>
              </w:rPr>
            </w:pPr>
            <w:r>
              <w:rPr>
                <w:rFonts w:ascii="Arial" w:hAnsi="Arial"/>
                <w:b w:val="false"/>
                <w:strike w:val="false"/>
                <w:dstrike w:val="false"/>
                <w:sz w:val="24"/>
                <w:szCs w:val="24"/>
                <w:u w:val="none"/>
                <w:effect w:val="none"/>
              </w:rPr>
              <w:t>5% – 8% total reduction</w:t>
            </w:r>
          </w:p>
        </w:tc>
      </w:tr>
      <w:tr>
        <w:trPr/>
        <w:tc>
          <w:tcPr>
            <w:tcW w:w="1947" w:type="dxa"/>
            <w:tcBorders/>
            <w:shd w:fill="auto" w:val="clear"/>
            <w:tcMar>
              <w:bottom w:w="0" w:type="dxa"/>
            </w:tcMar>
            <w:vAlign w:val="center"/>
          </w:tcPr>
          <w:p>
            <w:pPr>
              <w:pStyle w:val="TableContents"/>
              <w:spacing w:before="0" w:after="0"/>
              <w:ind w:left="0" w:right="0" w:hanging="0"/>
              <w:rPr/>
            </w:pPr>
            <w:r>
              <w:rPr>
                <w:rStyle w:val="StrongEmphasis"/>
                <w:rFonts w:ascii="Arial" w:hAnsi="Arial"/>
                <w:b/>
                <w:strike w:val="false"/>
                <w:dstrike w:val="false"/>
                <w:sz w:val="24"/>
                <w:szCs w:val="24"/>
                <w:u w:val="none"/>
                <w:effect w:val="none"/>
              </w:rPr>
              <w:t>Administrative / CPT Codes</w:t>
            </w:r>
          </w:p>
        </w:tc>
        <w:tc>
          <w:tcPr>
            <w:tcW w:w="2978" w:type="dxa"/>
            <w:tcBorders/>
            <w:shd w:fill="auto" w:val="clear"/>
            <w:tcMar>
              <w:bottom w:w="0" w:type="dxa"/>
            </w:tcMar>
            <w:vAlign w:val="center"/>
          </w:tcPr>
          <w:p>
            <w:pPr>
              <w:pStyle w:val="TableContents"/>
              <w:spacing w:before="0" w:after="0"/>
              <w:ind w:left="0" w:right="0" w:hanging="0"/>
              <w:rPr>
                <w:rFonts w:ascii="Arial" w:hAnsi="Arial"/>
                <w:b w:val="false"/>
                <w:b w:val="false"/>
                <w:strike w:val="false"/>
                <w:dstrike w:val="false"/>
                <w:sz w:val="24"/>
                <w:szCs w:val="24"/>
                <w:u w:val="none"/>
                <w:effect w:val="none"/>
              </w:rPr>
            </w:pPr>
            <w:r>
              <w:rPr>
                <w:rFonts w:ascii="Arial" w:hAnsi="Arial"/>
                <w:b w:val="false"/>
                <w:strike w:val="false"/>
                <w:dstrike w:val="false"/>
                <w:sz w:val="24"/>
                <w:szCs w:val="24"/>
                <w:u w:val="none"/>
                <w:effect w:val="none"/>
              </w:rPr>
              <w:t>AMA-owned billing codes inflate specialty fees</w:t>
            </w:r>
          </w:p>
        </w:tc>
        <w:tc>
          <w:tcPr>
            <w:tcW w:w="2638" w:type="dxa"/>
            <w:tcBorders/>
            <w:shd w:fill="auto" w:val="clear"/>
            <w:tcMar>
              <w:bottom w:w="0" w:type="dxa"/>
            </w:tcMar>
            <w:vAlign w:val="center"/>
          </w:tcPr>
          <w:p>
            <w:pPr>
              <w:pStyle w:val="TableContents"/>
              <w:spacing w:before="0" w:after="0"/>
              <w:ind w:left="0" w:right="0" w:hanging="0"/>
              <w:rPr>
                <w:rFonts w:ascii="Arial" w:hAnsi="Arial"/>
                <w:b w:val="false"/>
                <w:b w:val="false"/>
                <w:strike w:val="false"/>
                <w:dstrike w:val="false"/>
                <w:sz w:val="24"/>
                <w:szCs w:val="24"/>
                <w:u w:val="none"/>
                <w:effect w:val="none"/>
              </w:rPr>
            </w:pPr>
            <w:r>
              <w:rPr>
                <w:rFonts w:ascii="Arial" w:hAnsi="Arial"/>
                <w:b w:val="false"/>
                <w:strike w:val="false"/>
                <w:dstrike w:val="false"/>
                <w:sz w:val="24"/>
                <w:szCs w:val="24"/>
                <w:u w:val="none"/>
                <w:effect w:val="none"/>
              </w:rPr>
              <w:t>Open-source, transparent pricing models</w:t>
            </w:r>
          </w:p>
        </w:tc>
        <w:tc>
          <w:tcPr>
            <w:tcW w:w="1745" w:type="dxa"/>
            <w:tcBorders/>
            <w:shd w:fill="auto" w:val="clear"/>
            <w:tcMar>
              <w:bottom w:w="0" w:type="dxa"/>
            </w:tcMar>
            <w:vAlign w:val="center"/>
          </w:tcPr>
          <w:p>
            <w:pPr>
              <w:pStyle w:val="TableContents"/>
              <w:spacing w:before="0" w:after="0"/>
              <w:rPr>
                <w:rFonts w:ascii="Arial" w:hAnsi="Arial"/>
                <w:b w:val="false"/>
                <w:b w:val="false"/>
                <w:strike w:val="false"/>
                <w:dstrike w:val="false"/>
                <w:sz w:val="24"/>
                <w:szCs w:val="24"/>
                <w:u w:val="none"/>
                <w:effect w:val="none"/>
              </w:rPr>
            </w:pPr>
            <w:r>
              <w:rPr>
                <w:rFonts w:ascii="Arial" w:hAnsi="Arial"/>
                <w:b w:val="false"/>
                <w:strike w:val="false"/>
                <w:dstrike w:val="false"/>
                <w:sz w:val="24"/>
                <w:szCs w:val="24"/>
                <w:u w:val="none"/>
                <w:effect w:val="none"/>
              </w:rPr>
              <w:t>2% – 3% total reduction</w:t>
            </w:r>
          </w:p>
        </w:tc>
      </w:tr>
    </w:tbl>
    <w:p>
      <w:pPr>
        <w:pStyle w:val="TextBody"/>
        <w:spacing w:before="240" w:after="120"/>
        <w:ind w:left="0" w:right="0" w:hanging="0"/>
        <w:rPr>
          <w:rFonts w:ascii="Arial" w:hAnsi="Arial"/>
          <w:b/>
          <w:b/>
          <w:strike w:val="false"/>
          <w:dstrike w:val="false"/>
          <w:sz w:val="24"/>
          <w:szCs w:val="24"/>
          <w:u w:val="none"/>
          <w:effect w:val="none"/>
        </w:rPr>
      </w:pPr>
      <w:r>
        <w:rPr>
          <w:rFonts w:ascii="Arial" w:hAnsi="Arial"/>
          <w:b/>
          <w:strike w:val="false"/>
          <w:dstrike w:val="false"/>
          <w:sz w:val="24"/>
          <w:szCs w:val="24"/>
          <w:u w:val="none"/>
          <w:effect w:val="none"/>
        </w:rPr>
      </w:r>
    </w:p>
    <w:p>
      <w:pPr>
        <w:pStyle w:val="Heading3"/>
        <w:rPr>
          <w:rFonts w:ascii="Arial" w:hAnsi="Arial"/>
          <w:b/>
          <w:b/>
          <w:strike w:val="false"/>
          <w:dstrike w:val="false"/>
          <w:sz w:val="24"/>
          <w:szCs w:val="24"/>
          <w:u w:val="none"/>
          <w:effect w:val="none"/>
        </w:rPr>
      </w:pPr>
      <w:r>
        <w:rPr/>
        <w:t>The Counter-Argument: Supplier-Induced Demand</w:t>
      </w:r>
    </w:p>
    <w:p>
      <w:pPr>
        <w:pStyle w:val="TextBody"/>
        <w:spacing w:before="0" w:after="0"/>
        <w:ind w:left="0" w:right="0" w:hanging="0"/>
        <w:rPr/>
      </w:pPr>
      <w:r>
        <w:rPr>
          <w:rFonts w:ascii="Arial" w:hAnsi="Arial"/>
          <w:b w:val="false"/>
          <w:strike w:val="false"/>
          <w:dstrike w:val="false"/>
          <w:sz w:val="24"/>
          <w:szCs w:val="24"/>
          <w:u w:val="none"/>
          <w:effect w:val="none"/>
        </w:rPr>
        <w:t xml:space="preserve">Skeptics of total deregulation point to a theory known as </w:t>
      </w:r>
      <w:r>
        <w:rPr>
          <w:rStyle w:val="StrongEmphasis"/>
          <w:rFonts w:ascii="Arial" w:hAnsi="Arial"/>
          <w:b/>
          <w:strike w:val="false"/>
          <w:dstrike w:val="false"/>
          <w:sz w:val="24"/>
          <w:szCs w:val="24"/>
          <w:u w:val="none"/>
          <w:effect w:val="none"/>
        </w:rPr>
        <w:t>supplier-induced demand</w:t>
      </w:r>
      <w:r>
        <w:rPr>
          <w:rFonts w:ascii="Arial" w:hAnsi="Arial"/>
          <w:b w:val="false"/>
          <w:strike w:val="false"/>
          <w:dstrike w:val="false"/>
          <w:sz w:val="24"/>
          <w:szCs w:val="24"/>
          <w:u w:val="none"/>
          <w:effect w:val="none"/>
        </w:rPr>
        <w:t>. This theory suggests that if you flood a market with doctors, they will simply recommend unnecessary tests and procedures to maintain their high income levels.</w:t>
      </w:r>
    </w:p>
    <w:p>
      <w:pPr>
        <w:pStyle w:val="TextBody"/>
        <w:spacing w:before="120" w:after="160"/>
        <w:ind w:left="0" w:right="0" w:hanging="0"/>
        <w:rPr>
          <w:rFonts w:ascii="Arial" w:hAnsi="Arial"/>
          <w:b w:val="false"/>
          <w:b w:val="false"/>
          <w:strike w:val="false"/>
          <w:dstrike w:val="false"/>
          <w:sz w:val="24"/>
          <w:szCs w:val="24"/>
          <w:u w:val="none"/>
          <w:effect w:val="none"/>
        </w:rPr>
      </w:pPr>
      <w:r>
        <w:rPr>
          <w:rFonts w:ascii="Arial" w:hAnsi="Arial"/>
          <w:b w:val="false"/>
          <w:strike w:val="false"/>
          <w:dstrike w:val="false"/>
          <w:sz w:val="24"/>
          <w:szCs w:val="24"/>
          <w:u w:val="none"/>
          <w:effect w:val="none"/>
        </w:rPr>
        <w:t>However, in a truly open market devoid of AMA lobbying, price transparency would flourish. Without federal caps protecting residency slots, hospitals could hire talented doctors at highly competitive rates, and the sheer volume of choices would empower patients to shop for high-value, lower-cost healthcare.</w:t>
      </w:r>
    </w:p>
    <w:p>
      <w:pPr>
        <w:pStyle w:val="HorizontalLine"/>
        <w:rPr/>
      </w:pPr>
      <w:r>
        <w:rPr/>
      </w:r>
    </w:p>
    <w:p>
      <w:pPr>
        <w:pStyle w:val="Heading3"/>
        <w:rPr>
          <w:rFonts w:ascii="Arial" w:hAnsi="Arial"/>
          <w:b/>
          <w:b/>
          <w:strike w:val="false"/>
          <w:dstrike w:val="false"/>
          <w:sz w:val="24"/>
          <w:szCs w:val="24"/>
          <w:u w:val="none"/>
          <w:effect w:val="none"/>
        </w:rPr>
      </w:pPr>
      <w:r>
        <w:rPr/>
        <w:t>The Bottom Line</w:t>
      </w:r>
    </w:p>
    <w:p>
      <w:pPr>
        <w:pStyle w:val="TextBody"/>
        <w:spacing w:before="0" w:after="0"/>
        <w:ind w:left="0" w:right="0" w:hanging="0"/>
        <w:rPr/>
      </w:pPr>
      <w:r>
        <w:rPr>
          <w:rFonts w:ascii="Arial" w:hAnsi="Arial"/>
          <w:b w:val="false"/>
          <w:strike w:val="false"/>
          <w:dstrike w:val="false"/>
          <w:sz w:val="24"/>
          <w:szCs w:val="24"/>
          <w:u w:val="none"/>
          <w:effect w:val="none"/>
        </w:rPr>
        <w:t xml:space="preserve">By treating medical education and licensure as a protected guild rather than an open labor market, the U.S. system forces consumers to pay premium prices for scarce resources. Eliminating the AMA's lobbying apparatus, abolishing federal residency funding freezes, and allowing the physician supply to expand dynamically would crush the artificial scarcity. The result would be a more agile, accessible, and market-competitive system, ultimately </w:t>
      </w:r>
      <w:r>
        <w:rPr>
          <w:rStyle w:val="StrongEmphasis"/>
          <w:rFonts w:ascii="Arial" w:hAnsi="Arial"/>
          <w:b/>
          <w:strike w:val="false"/>
          <w:dstrike w:val="false"/>
          <w:sz w:val="24"/>
          <w:szCs w:val="24"/>
          <w:u w:val="none"/>
          <w:effect w:val="none"/>
        </w:rPr>
        <w:t>saving American taxpayers and patients upwards of $800 billion annually</w:t>
      </w:r>
      <w:r>
        <w:rPr>
          <w:rFonts w:ascii="Arial" w:hAnsi="Arial"/>
          <w:b w:val="false"/>
          <w:strike w:val="false"/>
          <w:dstrike w:val="false"/>
          <w:sz w:val="24"/>
          <w:szCs w:val="24"/>
          <w:u w:val="none"/>
          <w:effect w:val="none"/>
        </w:rPr>
        <w:t>.</w:t>
      </w:r>
    </w:p>
    <w:p>
      <w:pPr>
        <w:pStyle w:val="Normal"/>
        <w:rPr/>
      </w:pPr>
      <w:r>
        <w:rPr/>
      </w:r>
    </w:p>
    <w:sectPr>
      <w:type w:val="nextPage"/>
      <w:pgSz w:w="12240" w:h="15840"/>
      <w:pgMar w:left="1134" w:right="1134" w:header="0" w:top="1134" w:footer="0" w:bottom="1134"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ourier New">
    <w:charset w:val="00"/>
    <w:family w:val="roman"/>
    <w:pitch w:val="variable"/>
  </w:font>
  <w:font w:name="OpenSymbol">
    <w:altName w:val="Arial Unicode MS"/>
    <w:charset w:val="00"/>
    <w:family w:val="roman"/>
    <w:pitch w:val="variable"/>
  </w:font>
  <w:font w:name="Arial">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none"/>
      <w:suff w:val="nothing"/>
      <w:lvlText w:val=""/>
      <w:lvlJc w:val="left"/>
      <w:pPr>
        <w:ind w:left="0" w:hanging="0"/>
      </w:pPr>
    </w:lvl>
    <w:lvl w:ilvl="1">
      <w:start w:val="1"/>
      <w:pStyle w:val="Heading2"/>
      <w:numFmt w:val="none"/>
      <w:suff w:val="nothing"/>
      <w:lvlText w:val=""/>
      <w:lvlJc w:val="left"/>
      <w:pPr>
        <w:ind w:left="0" w:hanging="0"/>
      </w:pPr>
    </w:lvl>
    <w:lvl w:ilvl="2">
      <w:start w:val="1"/>
      <w:pStyle w:val="Heading3"/>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start w:val="1"/>
      <w:numFmt w:val="bullet"/>
      <w:lvlText w:val=""/>
      <w:lvlJc w:val="left"/>
      <w:pPr>
        <w:ind w:left="0"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3">
    <w:lvl w:ilvl="0">
      <w:start w:val="1"/>
      <w:numFmt w:val="bullet"/>
      <w:lvlText w:val=""/>
      <w:lvlJc w:val="left"/>
      <w:pPr>
        <w:ind w:left="0"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4">
    <w:lvl w:ilvl="0">
      <w:start w:val="1"/>
      <w:numFmt w:val="bullet"/>
      <w:lvlText w:val=""/>
      <w:lvlJc w:val="left"/>
      <w:pPr>
        <w:ind w:left="0"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5">
    <w:lvl w:ilvl="0">
      <w:start w:val="1"/>
      <w:numFmt w:val="bullet"/>
      <w:lvlText w:val=""/>
      <w:lvlJc w:val="left"/>
      <w:pPr>
        <w:ind w:left="0"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9"/>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Arial"/>
        <w:kern w:val="2"/>
        <w:sz w:val="20"/>
        <w:szCs w:val="24"/>
        <w:lang w:val="en-US" w:eastAsia="zh-CN" w:bidi="hi-IN"/>
      </w:rPr>
    </w:rPrDefault>
    <w:pPrDefault>
      <w:pPr/>
    </w:pPrDefault>
  </w:docDefaults>
  <w:style w:type="paragraph" w:styleId="Normal">
    <w:name w:val="Normal"/>
    <w:qFormat/>
    <w:pPr>
      <w:widowControl/>
      <w:bidi w:val="0"/>
      <w:jc w:val="left"/>
    </w:pPr>
    <w:rPr>
      <w:rFonts w:ascii="Times New Roman" w:hAnsi="Times New Roman" w:eastAsia="NSimSun" w:cs="Arial"/>
      <w:color w:val="auto"/>
      <w:kern w:val="2"/>
      <w:sz w:val="24"/>
      <w:szCs w:val="24"/>
      <w:lang w:val="en-US" w:eastAsia="zh-CN" w:bidi="hi-IN"/>
    </w:rPr>
  </w:style>
  <w:style w:type="paragraph" w:styleId="Heading1">
    <w:name w:val="Heading 1"/>
    <w:basedOn w:val="Heading"/>
    <w:next w:val="TextBody"/>
    <w:qFormat/>
    <w:pPr>
      <w:numPr>
        <w:ilvl w:val="0"/>
        <w:numId w:val="1"/>
      </w:numPr>
      <w:spacing w:before="240" w:after="120"/>
      <w:outlineLvl w:val="0"/>
    </w:pPr>
    <w:rPr>
      <w:b/>
      <w:bCs/>
      <w:sz w:val="36"/>
      <w:szCs w:val="36"/>
    </w:rPr>
  </w:style>
  <w:style w:type="paragraph" w:styleId="Heading2">
    <w:name w:val="Heading 2"/>
    <w:basedOn w:val="Heading"/>
    <w:next w:val="TextBody"/>
    <w:qFormat/>
    <w:pPr>
      <w:numPr>
        <w:ilvl w:val="1"/>
        <w:numId w:val="1"/>
      </w:numPr>
      <w:spacing w:before="200" w:after="120"/>
      <w:outlineLvl w:val="1"/>
    </w:pPr>
    <w:rPr>
      <w:b/>
      <w:bCs/>
      <w:sz w:val="32"/>
      <w:szCs w:val="32"/>
    </w:rPr>
  </w:style>
  <w:style w:type="paragraph" w:styleId="Heading3">
    <w:name w:val="Heading 3"/>
    <w:basedOn w:val="Heading"/>
    <w:next w:val="TextBody"/>
    <w:qFormat/>
    <w:pPr>
      <w:numPr>
        <w:ilvl w:val="2"/>
        <w:numId w:val="1"/>
      </w:numPr>
      <w:spacing w:before="140" w:after="120"/>
      <w:outlineLvl w:val="2"/>
    </w:pPr>
    <w:rPr>
      <w:b/>
      <w:bCs/>
      <w:sz w:val="28"/>
      <w:szCs w:val="28"/>
    </w:rPr>
  </w:style>
  <w:style w:type="character" w:styleId="StrongEmphasis">
    <w:name w:val="Strong Emphasis"/>
    <w:qFormat/>
    <w:rPr>
      <w:b/>
      <w:bCs/>
    </w:rPr>
  </w:style>
  <w:style w:type="character" w:styleId="SourceText">
    <w:name w:val="Source Text"/>
    <w:qFormat/>
    <w:rPr>
      <w:rFonts w:ascii="Courier New" w:hAnsi="Courier New" w:eastAsia="NSimSun" w:cs="Courier New"/>
    </w:rPr>
  </w:style>
  <w:style w:type="character" w:styleId="Bullets">
    <w:name w:val="Bullets"/>
    <w:qFormat/>
    <w:rPr>
      <w:rFonts w:ascii="OpenSymbol" w:hAnsi="OpenSymbol" w:eastAsia="OpenSymbol" w:cs="OpenSymbol"/>
    </w:rPr>
  </w:style>
  <w:style w:type="character" w:styleId="ListLabel1">
    <w:name w:val="ListLabel 1"/>
    <w:qFormat/>
    <w:rPr>
      <w:rFonts w:cs="OpenSymbol"/>
    </w:rPr>
  </w:style>
  <w:style w:type="character" w:styleId="ListLabel2">
    <w:name w:val="ListLabel 2"/>
    <w:qFormat/>
    <w:rPr>
      <w:rFonts w:cs="OpenSymbol"/>
    </w:rPr>
  </w:style>
  <w:style w:type="character" w:styleId="ListLabel3">
    <w:name w:val="ListLabel 3"/>
    <w:qFormat/>
    <w:rPr>
      <w:rFonts w:cs="OpenSymbol"/>
    </w:rPr>
  </w:style>
  <w:style w:type="character" w:styleId="ListLabel4">
    <w:name w:val="ListLabel 4"/>
    <w:qFormat/>
    <w:rPr>
      <w:rFonts w:cs="OpenSymbol"/>
    </w:rPr>
  </w:style>
  <w:style w:type="character" w:styleId="ListLabel5">
    <w:name w:val="ListLabel 5"/>
    <w:qFormat/>
    <w:rPr>
      <w:rFonts w:cs="OpenSymbol"/>
    </w:rPr>
  </w:style>
  <w:style w:type="character" w:styleId="ListLabel6">
    <w:name w:val="ListLabel 6"/>
    <w:qFormat/>
    <w:rPr>
      <w:rFonts w:cs="OpenSymbol"/>
    </w:rPr>
  </w:style>
  <w:style w:type="character" w:styleId="ListLabel7">
    <w:name w:val="ListLabel 7"/>
    <w:qFormat/>
    <w:rPr>
      <w:rFonts w:cs="OpenSymbol"/>
    </w:rPr>
  </w:style>
  <w:style w:type="character" w:styleId="ListLabel8">
    <w:name w:val="ListLabel 8"/>
    <w:qFormat/>
    <w:rPr>
      <w:rFonts w:cs="OpenSymbol"/>
    </w:rPr>
  </w:style>
  <w:style w:type="character" w:styleId="ListLabel9">
    <w:name w:val="ListLabel 9"/>
    <w:qFormat/>
    <w:rPr>
      <w:rFonts w:cs="OpenSymbol"/>
    </w:rPr>
  </w:style>
  <w:style w:type="character" w:styleId="ListLabel10">
    <w:name w:val="ListLabel 10"/>
    <w:qFormat/>
    <w:rPr>
      <w:rFonts w:cs="OpenSymbol"/>
    </w:rPr>
  </w:style>
  <w:style w:type="character" w:styleId="ListLabel11">
    <w:name w:val="ListLabel 11"/>
    <w:qFormat/>
    <w:rPr>
      <w:rFonts w:cs="OpenSymbol"/>
    </w:rPr>
  </w:style>
  <w:style w:type="character" w:styleId="ListLabel12">
    <w:name w:val="ListLabel 12"/>
    <w:qFormat/>
    <w:rPr>
      <w:rFonts w:cs="OpenSymbol"/>
    </w:rPr>
  </w:style>
  <w:style w:type="character" w:styleId="ListLabel13">
    <w:name w:val="ListLabel 13"/>
    <w:qFormat/>
    <w:rPr>
      <w:rFonts w:cs="OpenSymbol"/>
    </w:rPr>
  </w:style>
  <w:style w:type="character" w:styleId="ListLabel14">
    <w:name w:val="ListLabel 14"/>
    <w:qFormat/>
    <w:rPr>
      <w:rFonts w:cs="OpenSymbol"/>
    </w:rPr>
  </w:style>
  <w:style w:type="character" w:styleId="ListLabel15">
    <w:name w:val="ListLabel 15"/>
    <w:qFormat/>
    <w:rPr>
      <w:rFonts w:cs="OpenSymbol"/>
    </w:rPr>
  </w:style>
  <w:style w:type="character" w:styleId="ListLabel16">
    <w:name w:val="ListLabel 16"/>
    <w:qFormat/>
    <w:rPr>
      <w:rFonts w:cs="OpenSymbol"/>
    </w:rPr>
  </w:style>
  <w:style w:type="character" w:styleId="ListLabel17">
    <w:name w:val="ListLabel 17"/>
    <w:qFormat/>
    <w:rPr>
      <w:rFonts w:cs="OpenSymbol"/>
    </w:rPr>
  </w:style>
  <w:style w:type="character" w:styleId="ListLabel18">
    <w:name w:val="ListLabel 18"/>
    <w:qFormat/>
    <w:rPr>
      <w:rFonts w:cs="OpenSymbol"/>
    </w:rPr>
  </w:style>
  <w:style w:type="character" w:styleId="ListLabel19">
    <w:name w:val="ListLabel 19"/>
    <w:qFormat/>
    <w:rPr>
      <w:rFonts w:cs="OpenSymbol"/>
    </w:rPr>
  </w:style>
  <w:style w:type="character" w:styleId="ListLabel20">
    <w:name w:val="ListLabel 20"/>
    <w:qFormat/>
    <w:rPr>
      <w:rFonts w:cs="OpenSymbol"/>
    </w:rPr>
  </w:style>
  <w:style w:type="character" w:styleId="ListLabel21">
    <w:name w:val="ListLabel 21"/>
    <w:qFormat/>
    <w:rPr>
      <w:rFonts w:cs="OpenSymbol"/>
    </w:rPr>
  </w:style>
  <w:style w:type="character" w:styleId="ListLabel22">
    <w:name w:val="ListLabel 22"/>
    <w:qFormat/>
    <w:rPr>
      <w:rFonts w:cs="OpenSymbol"/>
    </w:rPr>
  </w:style>
  <w:style w:type="character" w:styleId="ListLabel23">
    <w:name w:val="ListLabel 23"/>
    <w:qFormat/>
    <w:rPr>
      <w:rFonts w:cs="OpenSymbol"/>
    </w:rPr>
  </w:style>
  <w:style w:type="character" w:styleId="ListLabel24">
    <w:name w:val="ListLabel 24"/>
    <w:qFormat/>
    <w:rPr>
      <w:rFonts w:cs="OpenSymbol"/>
    </w:rPr>
  </w:style>
  <w:style w:type="character" w:styleId="ListLabel25">
    <w:name w:val="ListLabel 25"/>
    <w:qFormat/>
    <w:rPr>
      <w:rFonts w:cs="OpenSymbol"/>
    </w:rPr>
  </w:style>
  <w:style w:type="character" w:styleId="ListLabel26">
    <w:name w:val="ListLabel 26"/>
    <w:qFormat/>
    <w:rPr>
      <w:rFonts w:cs="OpenSymbol"/>
    </w:rPr>
  </w:style>
  <w:style w:type="character" w:styleId="ListLabel27">
    <w:name w:val="ListLabel 27"/>
    <w:qFormat/>
    <w:rPr>
      <w:rFonts w:cs="OpenSymbol"/>
    </w:rPr>
  </w:style>
  <w:style w:type="character" w:styleId="ListLabel28">
    <w:name w:val="ListLabel 28"/>
    <w:qFormat/>
    <w:rPr>
      <w:rFonts w:cs="OpenSymbol"/>
    </w:rPr>
  </w:style>
  <w:style w:type="character" w:styleId="ListLabel29">
    <w:name w:val="ListLabel 29"/>
    <w:qFormat/>
    <w:rPr>
      <w:rFonts w:cs="OpenSymbol"/>
    </w:rPr>
  </w:style>
  <w:style w:type="character" w:styleId="ListLabel30">
    <w:name w:val="ListLabel 30"/>
    <w:qFormat/>
    <w:rPr>
      <w:rFonts w:cs="OpenSymbol"/>
    </w:rPr>
  </w:style>
  <w:style w:type="character" w:styleId="ListLabel31">
    <w:name w:val="ListLabel 31"/>
    <w:qFormat/>
    <w:rPr>
      <w:rFonts w:cs="OpenSymbol"/>
    </w:rPr>
  </w:style>
  <w:style w:type="character" w:styleId="ListLabel32">
    <w:name w:val="ListLabel 32"/>
    <w:qFormat/>
    <w:rPr>
      <w:rFonts w:cs="OpenSymbol"/>
    </w:rPr>
  </w:style>
  <w:style w:type="character" w:styleId="ListLabel33">
    <w:name w:val="ListLabel 33"/>
    <w:qFormat/>
    <w:rPr>
      <w:rFonts w:cs="OpenSymbol"/>
    </w:rPr>
  </w:style>
  <w:style w:type="character" w:styleId="ListLabel34">
    <w:name w:val="ListLabel 34"/>
    <w:qFormat/>
    <w:rPr>
      <w:rFonts w:cs="OpenSymbol"/>
    </w:rPr>
  </w:style>
  <w:style w:type="character" w:styleId="ListLabel35">
    <w:name w:val="ListLabel 35"/>
    <w:qFormat/>
    <w:rPr>
      <w:rFonts w:cs="OpenSymbol"/>
    </w:rPr>
  </w:style>
  <w:style w:type="character" w:styleId="ListLabel36">
    <w:name w:val="ListLabel 36"/>
    <w:qFormat/>
    <w:rPr>
      <w:rFonts w:cs="OpenSymbol"/>
    </w:rPr>
  </w:style>
  <w:style w:type="character" w:styleId="ListLabel37">
    <w:name w:val="ListLabel 37"/>
    <w:qFormat/>
    <w:rPr>
      <w:rFonts w:cs="OpenSymbol"/>
    </w:rPr>
  </w:style>
  <w:style w:type="character" w:styleId="ListLabel38">
    <w:name w:val="ListLabel 38"/>
    <w:qFormat/>
    <w:rPr>
      <w:rFonts w:cs="OpenSymbol"/>
    </w:rPr>
  </w:style>
  <w:style w:type="character" w:styleId="ListLabel39">
    <w:name w:val="ListLabel 39"/>
    <w:qFormat/>
    <w:rPr>
      <w:rFonts w:cs="OpenSymbol"/>
    </w:rPr>
  </w:style>
  <w:style w:type="character" w:styleId="ListLabel40">
    <w:name w:val="ListLabel 40"/>
    <w:qFormat/>
    <w:rPr>
      <w:rFonts w:cs="OpenSymbol"/>
    </w:rPr>
  </w:style>
  <w:style w:type="character" w:styleId="ListLabel41">
    <w:name w:val="ListLabel 41"/>
    <w:qFormat/>
    <w:rPr>
      <w:rFonts w:cs="OpenSymbol"/>
    </w:rPr>
  </w:style>
  <w:style w:type="character" w:styleId="ListLabel42">
    <w:name w:val="ListLabel 42"/>
    <w:qFormat/>
    <w:rPr>
      <w:rFonts w:cs="OpenSymbol"/>
    </w:rPr>
  </w:style>
  <w:style w:type="character" w:styleId="ListLabel43">
    <w:name w:val="ListLabel 43"/>
    <w:qFormat/>
    <w:rPr>
      <w:rFonts w:cs="OpenSymbol"/>
    </w:rPr>
  </w:style>
  <w:style w:type="character" w:styleId="ListLabel44">
    <w:name w:val="ListLabel 44"/>
    <w:qFormat/>
    <w:rPr>
      <w:rFonts w:cs="OpenSymbol"/>
    </w:rPr>
  </w:style>
  <w:style w:type="character" w:styleId="ListLabel45">
    <w:name w:val="ListLabel 45"/>
    <w:qFormat/>
    <w:rPr>
      <w:rFonts w:cs="OpenSymbol"/>
    </w:rPr>
  </w:style>
  <w:style w:type="character" w:styleId="ListLabel46">
    <w:name w:val="ListLabel 46"/>
    <w:qFormat/>
    <w:rPr>
      <w:rFonts w:cs="OpenSymbol"/>
    </w:rPr>
  </w:style>
  <w:style w:type="character" w:styleId="ListLabel47">
    <w:name w:val="ListLabel 47"/>
    <w:qFormat/>
    <w:rPr>
      <w:rFonts w:cs="OpenSymbol"/>
    </w:rPr>
  </w:style>
  <w:style w:type="character" w:styleId="ListLabel48">
    <w:name w:val="ListLabel 48"/>
    <w:qFormat/>
    <w:rPr>
      <w:rFonts w:cs="OpenSymbol"/>
    </w:rPr>
  </w:style>
  <w:style w:type="character" w:styleId="ListLabel49">
    <w:name w:val="ListLabel 49"/>
    <w:qFormat/>
    <w:rPr>
      <w:rFonts w:cs="OpenSymbol"/>
    </w:rPr>
  </w:style>
  <w:style w:type="character" w:styleId="ListLabel50">
    <w:name w:val="ListLabel 50"/>
    <w:qFormat/>
    <w:rPr>
      <w:rFonts w:cs="OpenSymbol"/>
    </w:rPr>
  </w:style>
  <w:style w:type="character" w:styleId="ListLabel51">
    <w:name w:val="ListLabel 51"/>
    <w:qFormat/>
    <w:rPr>
      <w:rFonts w:cs="OpenSymbol"/>
    </w:rPr>
  </w:style>
  <w:style w:type="character" w:styleId="ListLabel52">
    <w:name w:val="ListLabel 52"/>
    <w:qFormat/>
    <w:rPr>
      <w:rFonts w:cs="OpenSymbol"/>
    </w:rPr>
  </w:style>
  <w:style w:type="character" w:styleId="ListLabel53">
    <w:name w:val="ListLabel 53"/>
    <w:qFormat/>
    <w:rPr>
      <w:rFonts w:cs="OpenSymbol"/>
    </w:rPr>
  </w:style>
  <w:style w:type="character" w:styleId="ListLabel54">
    <w:name w:val="ListLabel 54"/>
    <w:qFormat/>
    <w:rPr>
      <w:rFonts w:cs="OpenSymbol"/>
    </w:rPr>
  </w:style>
  <w:style w:type="character" w:styleId="ListLabel55">
    <w:name w:val="ListLabel 55"/>
    <w:qFormat/>
    <w:rPr>
      <w:rFonts w:cs="OpenSymbol"/>
    </w:rPr>
  </w:style>
  <w:style w:type="character" w:styleId="ListLabel56">
    <w:name w:val="ListLabel 56"/>
    <w:qFormat/>
    <w:rPr>
      <w:rFonts w:cs="OpenSymbol"/>
    </w:rPr>
  </w:style>
  <w:style w:type="character" w:styleId="ListLabel57">
    <w:name w:val="ListLabel 57"/>
    <w:qFormat/>
    <w:rPr>
      <w:rFonts w:cs="OpenSymbol"/>
    </w:rPr>
  </w:style>
  <w:style w:type="character" w:styleId="ListLabel58">
    <w:name w:val="ListLabel 58"/>
    <w:qFormat/>
    <w:rPr>
      <w:rFonts w:cs="OpenSymbol"/>
    </w:rPr>
  </w:style>
  <w:style w:type="character" w:styleId="ListLabel59">
    <w:name w:val="ListLabel 59"/>
    <w:qFormat/>
    <w:rPr>
      <w:rFonts w:cs="OpenSymbol"/>
    </w:rPr>
  </w:style>
  <w:style w:type="character" w:styleId="ListLabel60">
    <w:name w:val="ListLabel 60"/>
    <w:qFormat/>
    <w:rPr>
      <w:rFonts w:cs="OpenSymbol"/>
    </w:rPr>
  </w:style>
  <w:style w:type="character" w:styleId="ListLabel61">
    <w:name w:val="ListLabel 61"/>
    <w:qFormat/>
    <w:rPr>
      <w:rFonts w:cs="OpenSymbol"/>
    </w:rPr>
  </w:style>
  <w:style w:type="character" w:styleId="ListLabel62">
    <w:name w:val="ListLabel 62"/>
    <w:qFormat/>
    <w:rPr>
      <w:rFonts w:cs="OpenSymbol"/>
    </w:rPr>
  </w:style>
  <w:style w:type="character" w:styleId="ListLabel63">
    <w:name w:val="ListLabel 63"/>
    <w:qFormat/>
    <w:rPr>
      <w:rFonts w:cs="OpenSymbol"/>
    </w:rPr>
  </w:style>
  <w:style w:type="character" w:styleId="ListLabel64">
    <w:name w:val="ListLabel 64"/>
    <w:qFormat/>
    <w:rPr>
      <w:rFonts w:cs="OpenSymbol"/>
    </w:rPr>
  </w:style>
  <w:style w:type="character" w:styleId="ListLabel65">
    <w:name w:val="ListLabel 65"/>
    <w:qFormat/>
    <w:rPr>
      <w:rFonts w:cs="OpenSymbol"/>
    </w:rPr>
  </w:style>
  <w:style w:type="character" w:styleId="ListLabel66">
    <w:name w:val="ListLabel 66"/>
    <w:qFormat/>
    <w:rPr>
      <w:rFonts w:cs="OpenSymbol"/>
    </w:rPr>
  </w:style>
  <w:style w:type="character" w:styleId="ListLabel67">
    <w:name w:val="ListLabel 67"/>
    <w:qFormat/>
    <w:rPr>
      <w:rFonts w:cs="OpenSymbol"/>
    </w:rPr>
  </w:style>
  <w:style w:type="character" w:styleId="ListLabel68">
    <w:name w:val="ListLabel 68"/>
    <w:qFormat/>
    <w:rPr>
      <w:rFonts w:cs="OpenSymbol"/>
    </w:rPr>
  </w:style>
  <w:style w:type="character" w:styleId="ListLabel69">
    <w:name w:val="ListLabel 69"/>
    <w:qFormat/>
    <w:rPr>
      <w:rFonts w:cs="OpenSymbol"/>
    </w:rPr>
  </w:style>
  <w:style w:type="character" w:styleId="ListLabel70">
    <w:name w:val="ListLabel 70"/>
    <w:qFormat/>
    <w:rPr>
      <w:rFonts w:cs="OpenSymbol"/>
    </w:rPr>
  </w:style>
  <w:style w:type="character" w:styleId="ListLabel71">
    <w:name w:val="ListLabel 71"/>
    <w:qFormat/>
    <w:rPr>
      <w:rFonts w:cs="OpenSymbol"/>
    </w:rPr>
  </w:style>
  <w:style w:type="character" w:styleId="ListLabel72">
    <w:name w:val="ListLabel 72"/>
    <w:qFormat/>
    <w:rPr>
      <w:rFonts w:cs="OpenSymbol"/>
    </w:rPr>
  </w:style>
  <w:style w:type="paragraph" w:styleId="Heading">
    <w:name w:val="Heading"/>
    <w:basedOn w:val="Normal"/>
    <w:next w:val="TextBody"/>
    <w:qFormat/>
    <w:pPr>
      <w:keepNext w:val="true"/>
      <w:spacing w:before="240" w:after="120"/>
    </w:pPr>
    <w:rPr>
      <w:rFonts w:ascii="Arial" w:hAnsi="Arial"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Courier New" w:hAnsi="Courier New" w:eastAsia="NSimSun" w:cs="Courier New"/>
      <w:sz w:val="20"/>
      <w:szCs w:val="20"/>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724</TotalTime>
  <Application>Neat_Office/6.2.8.2$Windows_x86 LibreOffice_project/</Application>
  <Pages>3</Pages>
  <Words>930</Words>
  <Characters>5646</Characters>
  <CharactersWithSpaces>6519</CharactersWithSpaces>
  <Paragraphs>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2026-07-10T20:56:27Z</dcterms:created>
  <dc:creator/>
  <dc:description/>
  <dc:language>en-US</dc:language>
  <cp:lastModifiedBy/>
  <dcterms:modified xsi:type="dcterms:W3CDTF">2026-07-11T09:18:25Z</dcterms:modified>
  <cp:revision>5</cp:revision>
  <dc:subject/>
  <dc:title/>
</cp:coreProperties>
</file>