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D6" w:rsidRDefault="00CE22D6" w:rsidP="00CE22D6">
      <w:pPr>
        <w:pStyle w:val="Heading2"/>
      </w:pPr>
      <w:r>
        <w:t>Prelim Pages</w:t>
      </w:r>
    </w:p>
    <w:p w:rsidR="00CE22D6" w:rsidRPr="000F4C0E" w:rsidRDefault="00CE22D6" w:rsidP="00CE22D6">
      <w:r>
        <w:t xml:space="preserve">Version Control /Approval </w:t>
      </w:r>
    </w:p>
    <w:p w:rsidR="00BF4020" w:rsidRDefault="00DE0D1E" w:rsidP="00BF4020">
      <w:pPr>
        <w:pStyle w:val="Heading2"/>
      </w:pPr>
      <w:r>
        <w:t>Introduction</w:t>
      </w:r>
    </w:p>
    <w:p w:rsidR="00DE0D1E" w:rsidRDefault="00DE0D1E" w:rsidP="00DE0D1E">
      <w:r>
        <w:t>Operation</w:t>
      </w:r>
      <w:r w:rsidR="00776A1F">
        <w:t>al Description</w:t>
      </w:r>
      <w:r>
        <w:t xml:space="preserve"> is a high level description of the spreadsheets operation and processes. Familiarity with this content enhance</w:t>
      </w:r>
      <w:r w:rsidR="009C05F5">
        <w:t>s</w:t>
      </w:r>
      <w:r>
        <w:t xml:space="preserve"> the ability to use the</w:t>
      </w:r>
      <w:r w:rsidR="009C05F5">
        <w:t xml:space="preserve"> sheet and prepares a maintainers knowledge prior reading the Technical Manuals.</w:t>
      </w:r>
    </w:p>
    <w:p w:rsidR="00B97C0D" w:rsidRDefault="00B97C0D" w:rsidP="00B97C0D">
      <w:pPr>
        <w:pStyle w:val="Heading2"/>
      </w:pPr>
      <w:r>
        <w:t>Definitions</w:t>
      </w:r>
    </w:p>
    <w:tbl>
      <w:tblPr>
        <w:tblStyle w:val="TableGrid"/>
        <w:tblW w:w="9478" w:type="dxa"/>
        <w:tblLook w:val="04A0"/>
      </w:tblPr>
      <w:tblGrid>
        <w:gridCol w:w="2660"/>
        <w:gridCol w:w="6818"/>
      </w:tblGrid>
      <w:tr w:rsidR="00B97C0D" w:rsidRPr="00B97C0D" w:rsidTr="00B97C0D">
        <w:tc>
          <w:tcPr>
            <w:tcW w:w="2660" w:type="dxa"/>
          </w:tcPr>
          <w:p w:rsidR="00B97C0D" w:rsidRPr="00B97C0D" w:rsidRDefault="00B97C0D" w:rsidP="00DE0D1E">
            <w:pPr>
              <w:rPr>
                <w:b/>
              </w:rPr>
            </w:pPr>
            <w:r w:rsidRPr="00B97C0D">
              <w:rPr>
                <w:b/>
              </w:rPr>
              <w:t>Term</w:t>
            </w:r>
          </w:p>
        </w:tc>
        <w:tc>
          <w:tcPr>
            <w:tcW w:w="6818" w:type="dxa"/>
          </w:tcPr>
          <w:p w:rsidR="00B97C0D" w:rsidRPr="00B97C0D" w:rsidRDefault="00B97C0D" w:rsidP="00DE0D1E">
            <w:pPr>
              <w:rPr>
                <w:b/>
              </w:rPr>
            </w:pPr>
            <w:r w:rsidRPr="00B97C0D">
              <w:rPr>
                <w:b/>
              </w:rPr>
              <w:t>Meaning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Data Set</w:t>
            </w:r>
          </w:p>
        </w:tc>
        <w:tc>
          <w:tcPr>
            <w:tcW w:w="6818" w:type="dxa"/>
          </w:tcPr>
          <w:p w:rsidR="00B97C0D" w:rsidRDefault="00B97C0D" w:rsidP="00DE0D1E">
            <w:r>
              <w:t xml:space="preserve">Refers to one or more sheets in the master spreadsheet. They are grouped based on the value in the </w:t>
            </w:r>
            <w:proofErr w:type="spellStart"/>
            <w:r>
              <w:t>exeID</w:t>
            </w:r>
            <w:proofErr w:type="spellEnd"/>
            <w:r>
              <w:t xml:space="preserve"> column row 2.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Organisational Structures</w:t>
            </w:r>
          </w:p>
        </w:tc>
        <w:tc>
          <w:tcPr>
            <w:tcW w:w="6818" w:type="dxa"/>
          </w:tcPr>
          <w:p w:rsidR="00B97C0D" w:rsidRDefault="00B97C0D" w:rsidP="00DE0D1E">
            <w:r>
              <w:t>The HR term for the hierarchical linking of objects representing departments and internal groups or team and positions within them.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Test Tool</w:t>
            </w:r>
          </w:p>
        </w:tc>
        <w:tc>
          <w:tcPr>
            <w:tcW w:w="6818" w:type="dxa"/>
          </w:tcPr>
          <w:p w:rsidR="00B97C0D" w:rsidRDefault="00B97C0D" w:rsidP="00DE0D1E">
            <w:r>
              <w:t>The automation test tool used to execute scripts using the data from the master spreadsheet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Test Results</w:t>
            </w:r>
          </w:p>
        </w:tc>
        <w:tc>
          <w:tcPr>
            <w:tcW w:w="6818" w:type="dxa"/>
          </w:tcPr>
          <w:p w:rsidR="00B97C0D" w:rsidRDefault="00CF4A33" w:rsidP="00DE0D1E">
            <w:r>
              <w:t>Refers to an output from the test tool in Excel format for retrieval from the results folder.</w:t>
            </w:r>
            <w:r w:rsidR="00CB7071">
              <w:t xml:space="preserve"> More specifically aimed at Quick Test Pro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Import</w:t>
            </w:r>
          </w:p>
        </w:tc>
        <w:tc>
          <w:tcPr>
            <w:tcW w:w="6818" w:type="dxa"/>
          </w:tcPr>
          <w:p w:rsidR="00B97C0D" w:rsidRDefault="00CF4A33" w:rsidP="00CF4A33">
            <w:r>
              <w:t>The process of retrieving data from the test results.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Export</w:t>
            </w:r>
          </w:p>
        </w:tc>
        <w:tc>
          <w:tcPr>
            <w:tcW w:w="6818" w:type="dxa"/>
          </w:tcPr>
          <w:p w:rsidR="00B97C0D" w:rsidRDefault="00CF4A33" w:rsidP="00DE0D1E">
            <w:r>
              <w:t>The process of sending a specific data set to either the test tool for execution or to the test teams (formatted or raw)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Restructure</w:t>
            </w:r>
          </w:p>
        </w:tc>
        <w:tc>
          <w:tcPr>
            <w:tcW w:w="6818" w:type="dxa"/>
          </w:tcPr>
          <w:p w:rsidR="00B97C0D" w:rsidRDefault="00CF4A33" w:rsidP="00DE0D1E">
            <w:r>
              <w:t>The process of rearranging, adding or removing columns in all the data sets simultaneously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Data Generation</w:t>
            </w:r>
          </w:p>
        </w:tc>
        <w:tc>
          <w:tcPr>
            <w:tcW w:w="6818" w:type="dxa"/>
          </w:tcPr>
          <w:p w:rsidR="00B97C0D" w:rsidRDefault="00CF4A33" w:rsidP="00DE0D1E">
            <w:r>
              <w:t>The process of generating new data or updating existing data in the master spreadsheet.</w:t>
            </w:r>
          </w:p>
        </w:tc>
      </w:tr>
      <w:tr w:rsidR="00B97C0D" w:rsidTr="00B97C0D">
        <w:tc>
          <w:tcPr>
            <w:tcW w:w="2660" w:type="dxa"/>
          </w:tcPr>
          <w:p w:rsidR="00B97C0D" w:rsidRDefault="00B97C0D" w:rsidP="00DE0D1E">
            <w:r>
              <w:t>Target System</w:t>
            </w:r>
          </w:p>
        </w:tc>
        <w:tc>
          <w:tcPr>
            <w:tcW w:w="6818" w:type="dxa"/>
          </w:tcPr>
          <w:p w:rsidR="00B97C0D" w:rsidRDefault="00CF4A33" w:rsidP="00DE0D1E">
            <w:r>
              <w:t>Generic reference to the system the scripts are to execute against. In the case of SAP, the server, ID and client are part of the target system identification.</w:t>
            </w:r>
          </w:p>
        </w:tc>
      </w:tr>
    </w:tbl>
    <w:p w:rsidR="00DE0D1E" w:rsidRDefault="00E36329" w:rsidP="00DE0D1E">
      <w:pPr>
        <w:pStyle w:val="Heading2"/>
      </w:pPr>
      <w:r>
        <w:t>Automated Tasks</w:t>
      </w:r>
    </w:p>
    <w:p w:rsidR="00DE0D1E" w:rsidRDefault="00DE0D1E" w:rsidP="00DE0D1E">
      <w:r>
        <w:t>The sheet contains a range of macros or programs that automate the task of generating and managing data for the test tool to utilise.</w:t>
      </w:r>
      <w:r w:rsidR="004F67A2">
        <w:t xml:space="preserve"> Automated tasks are:</w:t>
      </w:r>
    </w:p>
    <w:p w:rsidR="004F67A2" w:rsidRDefault="004F67A2" w:rsidP="004F67A2">
      <w:pPr>
        <w:pStyle w:val="ListParagraph"/>
        <w:numPr>
          <w:ilvl w:val="0"/>
          <w:numId w:val="8"/>
        </w:numPr>
      </w:pPr>
      <w:r>
        <w:t>Creating user defined Org</w:t>
      </w:r>
      <w:r w:rsidR="00E36329">
        <w:t>anizational</w:t>
      </w:r>
      <w:r>
        <w:t xml:space="preserve"> Structures</w:t>
      </w:r>
      <w:r w:rsidR="00EF6E7F">
        <w:t>.</w:t>
      </w:r>
    </w:p>
    <w:p w:rsidR="004F67A2" w:rsidRDefault="00B42BAA" w:rsidP="004F67A2">
      <w:pPr>
        <w:pStyle w:val="ListParagraph"/>
        <w:numPr>
          <w:ilvl w:val="0"/>
          <w:numId w:val="8"/>
        </w:numPr>
      </w:pPr>
      <w:r>
        <w:t>Generate</w:t>
      </w:r>
      <w:r w:rsidR="004F67A2">
        <w:t xml:space="preserve"> new data from the user defined </w:t>
      </w:r>
      <w:r w:rsidR="00E36329">
        <w:t xml:space="preserve">Organizational </w:t>
      </w:r>
      <w:r w:rsidR="004F67A2">
        <w:t>structure</w:t>
      </w:r>
      <w:r w:rsidR="00EF6E7F">
        <w:t>.</w:t>
      </w:r>
    </w:p>
    <w:p w:rsidR="004F67A2" w:rsidRDefault="004F67A2" w:rsidP="004F67A2">
      <w:pPr>
        <w:pStyle w:val="ListParagraph"/>
        <w:numPr>
          <w:ilvl w:val="0"/>
          <w:numId w:val="8"/>
        </w:numPr>
      </w:pPr>
      <w:r>
        <w:t>Exporting specific datasets to the test tool</w:t>
      </w:r>
      <w:r w:rsidR="00EF6E7F">
        <w:t>.</w:t>
      </w:r>
    </w:p>
    <w:p w:rsidR="004F67A2" w:rsidRDefault="004F67A2" w:rsidP="004F67A2">
      <w:pPr>
        <w:pStyle w:val="ListParagraph"/>
        <w:numPr>
          <w:ilvl w:val="0"/>
          <w:numId w:val="8"/>
        </w:numPr>
      </w:pPr>
      <w:r>
        <w:t>Importing completed (or partially completed) test results</w:t>
      </w:r>
      <w:r w:rsidR="00EF6E7F">
        <w:t>.</w:t>
      </w:r>
    </w:p>
    <w:p w:rsidR="004F67A2" w:rsidRDefault="004F67A2" w:rsidP="004F67A2">
      <w:pPr>
        <w:pStyle w:val="ListParagraph"/>
        <w:numPr>
          <w:ilvl w:val="0"/>
          <w:numId w:val="8"/>
        </w:numPr>
      </w:pPr>
      <w:r>
        <w:t>Exporting to the testers in a custom format</w:t>
      </w:r>
      <w:r w:rsidR="00BC5635">
        <w:t xml:space="preserve"> (program controlled)</w:t>
      </w:r>
      <w:r w:rsidR="00EF6E7F">
        <w:t>.</w:t>
      </w:r>
    </w:p>
    <w:p w:rsidR="004F67A2" w:rsidRDefault="004F67A2" w:rsidP="004F67A2">
      <w:pPr>
        <w:pStyle w:val="ListParagraph"/>
        <w:numPr>
          <w:ilvl w:val="0"/>
          <w:numId w:val="8"/>
        </w:numPr>
      </w:pPr>
      <w:r>
        <w:t>Exporting to the test teams without custom formatting</w:t>
      </w:r>
      <w:r w:rsidR="00EF6E7F">
        <w:t>.</w:t>
      </w:r>
    </w:p>
    <w:p w:rsidR="004F67A2" w:rsidRDefault="00BC5635" w:rsidP="004F67A2">
      <w:pPr>
        <w:pStyle w:val="ListParagraph"/>
        <w:numPr>
          <w:ilvl w:val="0"/>
          <w:numId w:val="8"/>
        </w:numPr>
      </w:pPr>
      <w:r>
        <w:t>Preparing data for reuse in a new</w:t>
      </w:r>
      <w:r w:rsidR="00B97C0D">
        <w:t xml:space="preserve"> target</w:t>
      </w:r>
      <w:r>
        <w:t xml:space="preserve"> system.</w:t>
      </w:r>
    </w:p>
    <w:p w:rsidR="00E36329" w:rsidRPr="00DE0D1E" w:rsidRDefault="00E36329" w:rsidP="004F67A2">
      <w:pPr>
        <w:pStyle w:val="ListParagraph"/>
        <w:numPr>
          <w:ilvl w:val="0"/>
          <w:numId w:val="8"/>
        </w:numPr>
      </w:pPr>
      <w:r>
        <w:t>Restructure the data columns to fit the order of operations</w:t>
      </w:r>
      <w:r w:rsidR="004116CA">
        <w:t>.</w:t>
      </w:r>
    </w:p>
    <w:p w:rsidR="00EF6E7F" w:rsidRDefault="00EF6E7F" w:rsidP="00785BF2">
      <w:pPr>
        <w:pStyle w:val="Heading2"/>
      </w:pPr>
      <w:r>
        <w:lastRenderedPageBreak/>
        <w:t>Org</w:t>
      </w:r>
      <w:r w:rsidR="006E0569">
        <w:t>anizational</w:t>
      </w:r>
      <w:r>
        <w:t xml:space="preserve"> Structures</w:t>
      </w:r>
    </w:p>
    <w:p w:rsidR="00EF6E7F" w:rsidRDefault="00EF6E7F" w:rsidP="00785BF2">
      <w:pPr>
        <w:keepNext/>
      </w:pPr>
      <w:r>
        <w:t>Organi</w:t>
      </w:r>
      <w:r w:rsidR="006E0569">
        <w:t>z</w:t>
      </w:r>
      <w:r>
        <w:t>ational</w:t>
      </w:r>
      <w:r w:rsidR="006E0569">
        <w:t xml:space="preserve"> (Org)</w:t>
      </w:r>
      <w:r>
        <w:t xml:space="preserve"> structures in SAP</w:t>
      </w:r>
      <w:r w:rsidR="005D0A25">
        <w:rPr>
          <w:rStyle w:val="FootnoteReference"/>
        </w:rPr>
        <w:footnoteReference w:id="1"/>
      </w:r>
      <w:r>
        <w:t xml:space="preserve"> (and similar systems) define</w:t>
      </w:r>
      <w:r w:rsidR="006E0569">
        <w:t>:</w:t>
      </w:r>
      <w:r>
        <w:t xml:space="preserve"> supervisory roles</w:t>
      </w:r>
      <w:r w:rsidR="006E0569">
        <w:t>, reporting chain</w:t>
      </w:r>
      <w:r>
        <w:t>, HR</w:t>
      </w:r>
      <w:r w:rsidR="006E0569">
        <w:t xml:space="preserve"> Management</w:t>
      </w:r>
      <w:r>
        <w:t>, Pay</w:t>
      </w:r>
      <w:r w:rsidR="006E0569">
        <w:t xml:space="preserve">, Credit Card </w:t>
      </w:r>
      <w:r>
        <w:t>and other aspects of employment in an organisation.</w:t>
      </w:r>
      <w:r w:rsidR="006E0569" w:rsidRPr="006E0569">
        <w:t xml:space="preserve"> </w:t>
      </w:r>
      <w:r w:rsidR="006E0569">
        <w:t xml:space="preserve"> Correctly building structures is pivotal to the op</w:t>
      </w:r>
      <w:r w:rsidR="00E36329">
        <w:t>erational testing of several aspects of the system, including security or roles.</w:t>
      </w:r>
    </w:p>
    <w:p w:rsidR="006E0569" w:rsidRDefault="006E0569" w:rsidP="00EF6E7F">
      <w:r>
        <w:t xml:space="preserve">Org structures consist specifically of an </w:t>
      </w:r>
      <w:r w:rsidR="00314DE0">
        <w:t>Org</w:t>
      </w:r>
      <w:r>
        <w:t xml:space="preserve"> Unit</w:t>
      </w:r>
      <w:r>
        <w:rPr>
          <w:rStyle w:val="FootnoteReference"/>
        </w:rPr>
        <w:footnoteReference w:id="2"/>
      </w:r>
      <w:r w:rsidR="000849C2">
        <w:t xml:space="preserve"> </w:t>
      </w:r>
      <w:r w:rsidR="004A36C1">
        <w:t>and P</w:t>
      </w:r>
      <w:r>
        <w:t>ositions</w:t>
      </w:r>
      <w:r w:rsidR="00776A1F">
        <w:rPr>
          <w:rStyle w:val="FootnoteReference"/>
        </w:rPr>
        <w:footnoteReference w:id="3"/>
      </w:r>
      <w:r>
        <w:t xml:space="preserve"> in a hierarchical map.</w:t>
      </w:r>
      <w:r w:rsidRPr="006E0569">
        <w:t xml:space="preserve"> </w:t>
      </w:r>
      <w:r>
        <w:t>Structures and their data also define workflows</w:t>
      </w:r>
      <w:r>
        <w:rPr>
          <w:rStyle w:val="FootnoteReference"/>
        </w:rPr>
        <w:footnoteReference w:id="4"/>
      </w:r>
      <w:r>
        <w:t xml:space="preserve"> that are triggered when certain </w:t>
      </w:r>
      <w:r w:rsidR="00776A1F">
        <w:t xml:space="preserve">user </w:t>
      </w:r>
      <w:r>
        <w:t xml:space="preserve">actions meet </w:t>
      </w:r>
      <w:r w:rsidR="00A5085D">
        <w:t>defined criteria</w:t>
      </w:r>
      <w:r>
        <w:t>.</w:t>
      </w:r>
      <w:r w:rsidR="00ED62E8">
        <w:t xml:space="preserve"> See </w:t>
      </w:r>
      <w:r w:rsidR="00CD6A52">
        <w:fldChar w:fldCharType="begin"/>
      </w:r>
      <w:r w:rsidR="00ED62E8">
        <w:instrText xml:space="preserve"> REF _Ref303758849 \h </w:instrText>
      </w:r>
      <w:r w:rsidR="00CD6A52">
        <w:fldChar w:fldCharType="separate"/>
      </w:r>
      <w:r w:rsidR="00F6490E">
        <w:t xml:space="preserve">Figure </w:t>
      </w:r>
      <w:r w:rsidR="00F6490E">
        <w:rPr>
          <w:noProof/>
        </w:rPr>
        <w:t>1</w:t>
      </w:r>
      <w:r w:rsidR="00F6490E">
        <w:t xml:space="preserve"> – Sample Hierarchical Chart</w:t>
      </w:r>
      <w:r w:rsidR="00CD6A52">
        <w:fldChar w:fldCharType="end"/>
      </w:r>
      <w:r w:rsidR="00ED62E8">
        <w:t xml:space="preserve"> </w:t>
      </w:r>
      <w:r w:rsidR="00CD6A52">
        <w:fldChar w:fldCharType="begin"/>
      </w:r>
      <w:r w:rsidR="00ED62E8">
        <w:instrText xml:space="preserve"> REF _Ref303758849 \p \h </w:instrText>
      </w:r>
      <w:r w:rsidR="00CD6A52">
        <w:fldChar w:fldCharType="separate"/>
      </w:r>
      <w:r w:rsidR="00F6490E">
        <w:t>below</w:t>
      </w:r>
      <w:r w:rsidR="00CD6A52">
        <w:fldChar w:fldCharType="end"/>
      </w:r>
      <w:r w:rsidR="00ED62E8">
        <w:t>.</w:t>
      </w:r>
    </w:p>
    <w:p w:rsidR="00E36329" w:rsidRDefault="00CB7071" w:rsidP="00E36329">
      <w:pPr>
        <w:keepNext/>
        <w:jc w:val="center"/>
      </w:pPr>
      <w:r>
        <w:object w:dxaOrig="4327" w:dyaOrig="4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2in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415094901" r:id="rId9"/>
        </w:object>
      </w:r>
    </w:p>
    <w:p w:rsidR="00A5085D" w:rsidRDefault="00E36329" w:rsidP="00E36329">
      <w:pPr>
        <w:pStyle w:val="Caption"/>
        <w:jc w:val="center"/>
      </w:pPr>
      <w:bookmarkStart w:id="0" w:name="_Ref303758849"/>
      <w:r>
        <w:t xml:space="preserve">Figure </w:t>
      </w:r>
      <w:fldSimple w:instr=" SEQ Figure \* ARABIC ">
        <w:r w:rsidR="00F6490E">
          <w:rPr>
            <w:noProof/>
          </w:rPr>
          <w:t>1</w:t>
        </w:r>
      </w:fldSimple>
      <w:r>
        <w:t xml:space="preserve"> – Sample Hierarchical Chart</w:t>
      </w:r>
      <w:bookmarkEnd w:id="0"/>
    </w:p>
    <w:p w:rsidR="00BE4B3B" w:rsidRDefault="006E0569" w:rsidP="004A36C1">
      <w:pPr>
        <w:keepLines/>
        <w:widowControl w:val="0"/>
      </w:pPr>
      <w:r>
        <w:t xml:space="preserve">The spreadsheet emulates the familiar hierarchical chart </w:t>
      </w:r>
      <w:r w:rsidR="00E36329">
        <w:t xml:space="preserve">using a tree view </w:t>
      </w:r>
      <w:r>
        <w:t>and provides users with the ability to define the structure</w:t>
      </w:r>
      <w:r w:rsidR="00E36329">
        <w:t xml:space="preserve"> and some base data for the data set. When using th</w:t>
      </w:r>
      <w:r w:rsidR="00ED62E8">
        <w:t>e tool, the user is guided by</w:t>
      </w:r>
      <w:r w:rsidR="00E36329">
        <w:t xml:space="preserve"> dialogs that collect data and store for later use.</w:t>
      </w:r>
    </w:p>
    <w:p w:rsidR="006E0569" w:rsidRDefault="00BE4B3B" w:rsidP="004A36C1">
      <w:pPr>
        <w:keepLines/>
        <w:widowControl w:val="0"/>
      </w:pPr>
      <w:r>
        <w:t>Users</w:t>
      </w:r>
      <w:r w:rsidR="00B42BAA">
        <w:t xml:space="preserve"> may optionally add or hire people into positions they add.</w:t>
      </w:r>
      <w:r w:rsidR="00207B91">
        <w:t xml:space="preserve"> A design limitation is there can only be one “root”</w:t>
      </w:r>
      <w:r w:rsidR="005D0A25">
        <w:t xml:space="preserve"> from which the structure hangs</w:t>
      </w:r>
      <w:r w:rsidR="00CB37BC">
        <w:t>. I</w:t>
      </w:r>
      <w:r w:rsidR="005D0A25">
        <w:t xml:space="preserve">n </w:t>
      </w:r>
      <w:r w:rsidR="00CD6A52">
        <w:fldChar w:fldCharType="begin"/>
      </w:r>
      <w:r w:rsidR="005D0A25">
        <w:instrText xml:space="preserve"> REF _Ref304189452 \h </w:instrText>
      </w:r>
      <w:r w:rsidR="00CD6A52">
        <w:fldChar w:fldCharType="separate"/>
      </w:r>
      <w:r w:rsidR="00F6490E">
        <w:t xml:space="preserve">Figure </w:t>
      </w:r>
      <w:r w:rsidR="00F6490E">
        <w:rPr>
          <w:noProof/>
        </w:rPr>
        <w:t>2</w:t>
      </w:r>
      <w:r w:rsidR="00CD6A52">
        <w:fldChar w:fldCharType="end"/>
      </w:r>
      <w:r w:rsidR="005D0A25">
        <w:t xml:space="preserve"> </w:t>
      </w:r>
      <w:r w:rsidR="00CD6A52">
        <w:fldChar w:fldCharType="begin"/>
      </w:r>
      <w:r w:rsidR="005D0A25">
        <w:instrText xml:space="preserve"> REF _Ref304189452 \p \h </w:instrText>
      </w:r>
      <w:r w:rsidR="00CD6A52">
        <w:fldChar w:fldCharType="separate"/>
      </w:r>
      <w:r w:rsidR="00F6490E">
        <w:t>below</w:t>
      </w:r>
      <w:r w:rsidR="00CD6A52">
        <w:fldChar w:fldCharType="end"/>
      </w:r>
      <w:r w:rsidR="005D0A25">
        <w:t xml:space="preserve">, the </w:t>
      </w:r>
      <w:r w:rsidR="00CB37BC">
        <w:t>“</w:t>
      </w:r>
      <w:r w:rsidR="005D0A25">
        <w:t>org</w:t>
      </w:r>
      <w:r w:rsidR="00CB37BC">
        <w:t>”</w:t>
      </w:r>
      <w:r w:rsidR="005D0A25">
        <w:t xml:space="preserve"> at the top left is the root node of the tree.</w:t>
      </w:r>
    </w:p>
    <w:p w:rsidR="009C05F5" w:rsidRDefault="009C05F5" w:rsidP="009C05F5">
      <w:pPr>
        <w:keepNext/>
        <w:keepLines/>
        <w:widowControl w:val="0"/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2206472" cy="2279828"/>
            <wp:effectExtent l="19050" t="19050" r="22378" b="252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07" t="6287" r="56695" b="2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41" cy="22833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F5" w:rsidRDefault="009C05F5" w:rsidP="009C05F5">
      <w:pPr>
        <w:pStyle w:val="Caption"/>
        <w:jc w:val="center"/>
      </w:pPr>
      <w:bookmarkStart w:id="1" w:name="_Ref304189452"/>
      <w:r>
        <w:t xml:space="preserve">Figure </w:t>
      </w:r>
      <w:fldSimple w:instr=" SEQ Figure \* ARABIC ">
        <w:r w:rsidR="00F6490E">
          <w:rPr>
            <w:noProof/>
          </w:rPr>
          <w:t>2</w:t>
        </w:r>
      </w:fldSimple>
      <w:bookmarkEnd w:id="1"/>
    </w:p>
    <w:p w:rsidR="00CB37BC" w:rsidRPr="00CB37BC" w:rsidRDefault="00CB37BC" w:rsidP="00CB37BC">
      <w:r>
        <w:t>Focus on the structure simplifies data collection requirements.</w:t>
      </w:r>
      <w:r w:rsidR="00CB7071">
        <w:t xml:space="preserve"> Generation brings the structure and data together for further manipulation by the users.</w:t>
      </w:r>
    </w:p>
    <w:p w:rsidR="00E36329" w:rsidRDefault="00B42BAA" w:rsidP="00B42BAA">
      <w:pPr>
        <w:pStyle w:val="Heading2"/>
      </w:pPr>
      <w:r>
        <w:t>New Data Generation</w:t>
      </w:r>
    </w:p>
    <w:p w:rsidR="00B42BAA" w:rsidRDefault="00000F0E" w:rsidP="00EF6E7F">
      <w:r>
        <w:t xml:space="preserve">The user defined structures </w:t>
      </w:r>
      <w:r w:rsidR="009C05F5">
        <w:t xml:space="preserve">are used </w:t>
      </w:r>
      <w:r>
        <w:t>in conjunction with user defined defaults</w:t>
      </w:r>
      <w:r w:rsidR="00F74E67">
        <w:rPr>
          <w:rStyle w:val="FootnoteReference"/>
        </w:rPr>
        <w:footnoteReference w:id="5"/>
      </w:r>
      <w:r w:rsidR="009C05F5">
        <w:t xml:space="preserve"> to generate new data sets for execution</w:t>
      </w:r>
      <w:r>
        <w:t>.</w:t>
      </w:r>
      <w:r w:rsidR="00753ABF">
        <w:t xml:space="preserve"> </w:t>
      </w:r>
      <w:r w:rsidR="00776A1F">
        <w:t xml:space="preserve"> </w:t>
      </w:r>
      <w:r w:rsidR="00753ABF">
        <w:t>Data generation lays all the necessary basic data for Org</w:t>
      </w:r>
      <w:r w:rsidR="00776A1F">
        <w:t xml:space="preserve"> Unit</w:t>
      </w:r>
      <w:r w:rsidR="00753ABF">
        <w:t xml:space="preserve">s, Positions and Hiring people into a new spreadsheet. Modification </w:t>
      </w:r>
      <w:r w:rsidR="004A36C1">
        <w:t>may optionally be applied</w:t>
      </w:r>
      <w:r w:rsidR="00753ABF">
        <w:t xml:space="preserve"> post generation for a few exceptions</w:t>
      </w:r>
      <w:r w:rsidR="004A36C1">
        <w:rPr>
          <w:rStyle w:val="FootnoteReference"/>
        </w:rPr>
        <w:footnoteReference w:id="6"/>
      </w:r>
      <w:r w:rsidR="00753ABF">
        <w:t xml:space="preserve"> to the initial data.</w:t>
      </w:r>
    </w:p>
    <w:p w:rsidR="00753ABF" w:rsidRDefault="00753ABF" w:rsidP="00EF6E7F">
      <w:r>
        <w:t>Special data, such as AGS</w:t>
      </w:r>
      <w:r w:rsidR="009C05F5">
        <w:rPr>
          <w:rStyle w:val="FootnoteReference"/>
        </w:rPr>
        <w:footnoteReference w:id="7"/>
      </w:r>
      <w:r>
        <w:t xml:space="preserve"> (Personnel Number), Date of Birth, names, gender, addresses are automatically created by either using an internal programmed generator, sequential list or rand</w:t>
      </w:r>
      <w:r w:rsidR="00776A1F">
        <w:t>om value or random list selection.</w:t>
      </w:r>
    </w:p>
    <w:p w:rsidR="005D0196" w:rsidRDefault="005D0196" w:rsidP="005D0196">
      <w:pPr>
        <w:pStyle w:val="Heading2"/>
      </w:pPr>
      <w:r>
        <w:t>Exporting to test tool</w:t>
      </w:r>
    </w:p>
    <w:p w:rsidR="005D0196" w:rsidRPr="005D0196" w:rsidRDefault="005D0196" w:rsidP="005D0196">
      <w:r>
        <w:t>Exporting a data set to the test tool takes the prepared data set (an</w:t>
      </w:r>
      <w:r w:rsidR="00927171">
        <w:t>d may have more than one sheet in the data set) and copies the data verbatim across to a format suitable for the test tool. Specifically the sheet is in Excel 97-2003 format.</w:t>
      </w:r>
      <w:r w:rsidR="00CB37BC">
        <w:t xml:space="preserve"> Data with leading zeros are not altered by the process in either direction.</w:t>
      </w:r>
    </w:p>
    <w:p w:rsidR="005D0196" w:rsidRDefault="005D0196" w:rsidP="00CB37BC">
      <w:pPr>
        <w:pStyle w:val="Heading2"/>
      </w:pPr>
      <w:r>
        <w:lastRenderedPageBreak/>
        <w:t>Importing test results</w:t>
      </w:r>
    </w:p>
    <w:p w:rsidR="005D0196" w:rsidRPr="005D0196" w:rsidRDefault="00927171" w:rsidP="00CB37BC">
      <w:pPr>
        <w:keepNext/>
        <w:keepLines/>
      </w:pPr>
      <w:r>
        <w:t>Test results are imported from the test tools run-time</w:t>
      </w:r>
      <w:r w:rsidR="009126F0">
        <w:rPr>
          <w:rStyle w:val="FootnoteReference"/>
        </w:rPr>
        <w:footnoteReference w:id="8"/>
      </w:r>
      <w:r>
        <w:t xml:space="preserve"> results folder. </w:t>
      </w:r>
      <w:r w:rsidR="009126F0">
        <w:t>D</w:t>
      </w:r>
      <w:r>
        <w:t xml:space="preserve">ata is retrieved by </w:t>
      </w:r>
      <w:r w:rsidR="009126F0">
        <w:t xml:space="preserve">locating the run-time results and selecting the </w:t>
      </w:r>
      <w:r w:rsidR="00722483">
        <w:t>result folder</w:t>
      </w:r>
      <w:r w:rsidR="009126F0">
        <w:t xml:space="preserve"> in a dialog. This starts a </w:t>
      </w:r>
      <w:r>
        <w:t>verbatim copy from the run-time results back to the spreadsheet. Modifications made to the run</w:t>
      </w:r>
      <w:r w:rsidR="004507BD">
        <w:t>-</w:t>
      </w:r>
      <w:r>
        <w:t>time data</w:t>
      </w:r>
      <w:r w:rsidR="00E0293F">
        <w:t xml:space="preserve"> </w:t>
      </w:r>
      <w:r>
        <w:t xml:space="preserve">table are </w:t>
      </w:r>
      <w:r w:rsidR="00E0293F">
        <w:t xml:space="preserve">made </w:t>
      </w:r>
      <w:r>
        <w:t>available for</w:t>
      </w:r>
      <w:r w:rsidR="00CB37BC">
        <w:t xml:space="preserve"> analysis, further</w:t>
      </w:r>
      <w:r>
        <w:t xml:space="preserve"> use </w:t>
      </w:r>
      <w:r w:rsidR="00E0293F">
        <w:t xml:space="preserve">in another execution </w:t>
      </w:r>
      <w:r w:rsidR="00CB37BC">
        <w:t>and/</w:t>
      </w:r>
      <w:r>
        <w:t>or for the test teams</w:t>
      </w:r>
      <w:r w:rsidR="00E0293F">
        <w:t>.</w:t>
      </w:r>
    </w:p>
    <w:p w:rsidR="005D0196" w:rsidRDefault="005D0196" w:rsidP="005D0196">
      <w:pPr>
        <w:pStyle w:val="Heading2"/>
      </w:pPr>
      <w:r>
        <w:t>Exporting to test teams</w:t>
      </w:r>
    </w:p>
    <w:p w:rsidR="005D0196" w:rsidRPr="005D0196" w:rsidRDefault="009126F0" w:rsidP="005D0196">
      <w:r>
        <w:t xml:space="preserve">Most test teams do not require the detailed data used by the test tool. To facilitate </w:t>
      </w:r>
      <w:r w:rsidR="00E83EC1">
        <w:t>this output</w:t>
      </w:r>
      <w:r>
        <w:t xml:space="preserve">, the data is </w:t>
      </w:r>
      <w:r w:rsidR="00E83EC1">
        <w:t>exported</w:t>
      </w:r>
      <w:r>
        <w:t xml:space="preserve"> out into a more familiar and friendly format or may be exported raw for greater details if the test teams require them.</w:t>
      </w:r>
      <w:r w:rsidR="009C05F5">
        <w:t xml:space="preserve"> The solution blends a user created header with data set information to give a formatted output.</w:t>
      </w:r>
    </w:p>
    <w:p w:rsidR="005D0196" w:rsidRDefault="005D0196" w:rsidP="005D0196">
      <w:pPr>
        <w:pStyle w:val="Heading2"/>
      </w:pPr>
      <w:r>
        <w:t>Preparing data for reuse in a new system</w:t>
      </w:r>
    </w:p>
    <w:p w:rsidR="00207B91" w:rsidRPr="00207B91" w:rsidRDefault="00207B91" w:rsidP="00207B91">
      <w:r>
        <w:t>Existing data preparation cleans up the SAP data and enables re-use on a new system. The resource savings are significant and provide early execution start up.</w:t>
      </w:r>
      <w:r w:rsidR="00B97C0D">
        <w:t xml:space="preserve"> The automation takes care of specific details when executed on a data set.</w:t>
      </w:r>
    </w:p>
    <w:p w:rsidR="005D0196" w:rsidRDefault="00207B91" w:rsidP="005D0196">
      <w:pPr>
        <w:pStyle w:val="Heading2"/>
      </w:pPr>
      <w:r>
        <w:t>Restructuring D</w:t>
      </w:r>
      <w:r w:rsidR="005D0196">
        <w:t>ata</w:t>
      </w:r>
      <w:r>
        <w:t xml:space="preserve"> Columns</w:t>
      </w:r>
    </w:p>
    <w:p w:rsidR="00C5220E" w:rsidRDefault="00207B91" w:rsidP="00BF4020">
      <w:r>
        <w:t>The ability to re-structure the columns is part of essential maintenance with the data set. Over time, the need for new and removal of redundant</w:t>
      </w:r>
      <w:r w:rsidRPr="00207B91">
        <w:t xml:space="preserve"> </w:t>
      </w:r>
      <w:r>
        <w:t>columns.</w:t>
      </w:r>
      <w:r w:rsidR="00E83EC1">
        <w:t xml:space="preserve"> With the need to expand the scripts to hire a wider range of </w:t>
      </w:r>
      <w:r w:rsidR="004507BD">
        <w:t>staff the</w:t>
      </w:r>
      <w:r w:rsidR="00E83EC1">
        <w:t xml:space="preserve"> sheets have required additional data</w:t>
      </w:r>
      <w:r w:rsidR="00E83EC1">
        <w:rPr>
          <w:rStyle w:val="FootnoteReference"/>
        </w:rPr>
        <w:footnoteReference w:id="9"/>
      </w:r>
      <w:r w:rsidR="00E83EC1">
        <w:t>. The process moves all the data into a single temporary resource while the re-structure is done.</w:t>
      </w:r>
      <w:r w:rsidR="004507BD">
        <w:t xml:space="preserve"> Two caveats apply with this feature:</w:t>
      </w:r>
    </w:p>
    <w:p w:rsidR="004507BD" w:rsidRDefault="004507BD" w:rsidP="004507BD">
      <w:pPr>
        <w:pStyle w:val="ListParagraph"/>
        <w:numPr>
          <w:ilvl w:val="0"/>
          <w:numId w:val="11"/>
        </w:numPr>
      </w:pPr>
      <w:r>
        <w:t>The dataset is shared with PST and other parts of Automation, and requires prior agreement before implementing a change</w:t>
      </w:r>
      <w:r w:rsidR="005D0A25">
        <w:t>.</w:t>
      </w:r>
    </w:p>
    <w:p w:rsidR="004507BD" w:rsidRDefault="004507BD" w:rsidP="004507BD">
      <w:pPr>
        <w:pStyle w:val="ListParagraph"/>
        <w:numPr>
          <w:ilvl w:val="0"/>
          <w:numId w:val="11"/>
        </w:numPr>
      </w:pPr>
      <w:r>
        <w:t>The restructure should not be carried out while execution using any data set is in progress. Wait till the execution is finished and the results collected before the restructure.</w:t>
      </w:r>
    </w:p>
    <w:p w:rsidR="00BE4B3B" w:rsidRPr="00BF4020" w:rsidRDefault="00CB7071" w:rsidP="00CB7071">
      <w:pPr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sectPr w:rsidR="00BE4B3B" w:rsidRPr="00BF4020" w:rsidSect="00E36329">
      <w:headerReference w:type="default" r:id="rId11"/>
      <w:footerReference w:type="default" r:id="rId12"/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A33" w:rsidRDefault="00CF4A33" w:rsidP="006E0569">
      <w:pPr>
        <w:spacing w:after="0" w:line="240" w:lineRule="auto"/>
      </w:pPr>
      <w:r>
        <w:separator/>
      </w:r>
    </w:p>
  </w:endnote>
  <w:endnote w:type="continuationSeparator" w:id="0">
    <w:p w:rsidR="00CF4A33" w:rsidRDefault="00CF4A33" w:rsidP="006E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1276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52B57" w:rsidRDefault="00D52B5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52B57" w:rsidRDefault="00D52B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A33" w:rsidRDefault="00CF4A33" w:rsidP="006E0569">
      <w:pPr>
        <w:spacing w:after="0" w:line="240" w:lineRule="auto"/>
      </w:pPr>
      <w:r>
        <w:separator/>
      </w:r>
    </w:p>
  </w:footnote>
  <w:footnote w:type="continuationSeparator" w:id="0">
    <w:p w:rsidR="00CF4A33" w:rsidRDefault="00CF4A33" w:rsidP="006E0569">
      <w:pPr>
        <w:spacing w:after="0" w:line="240" w:lineRule="auto"/>
      </w:pPr>
      <w:r>
        <w:continuationSeparator/>
      </w:r>
    </w:p>
  </w:footnote>
  <w:footnote w:id="1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SAP is a specific target system in this instance.</w:t>
      </w:r>
    </w:p>
  </w:footnote>
  <w:footnote w:id="2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Organizational Units in Human Resource Management (HRM) systems are a Department, Division or team within the organization.</w:t>
      </w:r>
    </w:p>
  </w:footnote>
  <w:footnote w:id="3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Positions define a place in a structure independent of the actual employee; this is a target system design choice which augments flexibility with temporary assignments, promotions and employee churn.</w:t>
      </w:r>
    </w:p>
  </w:footnote>
  <w:footnote w:id="4">
    <w:p w:rsidR="00CF4A33" w:rsidRDefault="00CF4A33" w:rsidP="006E0569">
      <w:pPr>
        <w:pStyle w:val="FootnoteText"/>
      </w:pPr>
      <w:r>
        <w:rPr>
          <w:rStyle w:val="FootnoteReference"/>
        </w:rPr>
        <w:footnoteRef/>
      </w:r>
      <w:r>
        <w:t xml:space="preserve"> Workflows are an internal action that sends a notification to the appropriate area under specified conditions. </w:t>
      </w:r>
    </w:p>
  </w:footnote>
  <w:footnote w:id="5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Defaults are managed by using a special sheet to provide a way to pre-define data and control overriding of existing data. The user has considerable control at their disposal when this is utilised.</w:t>
      </w:r>
    </w:p>
  </w:footnote>
  <w:footnote w:id="6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Sometimes different codes are required due to internal needs of the HR or Pay sections. </w:t>
      </w:r>
      <w:proofErr w:type="spellStart"/>
      <w:r>
        <w:t>E.g</w:t>
      </w:r>
      <w:proofErr w:type="spellEnd"/>
      <w:r>
        <w:t xml:space="preserve"> Hiring a Part Time on an AWA</w:t>
      </w:r>
      <w:r w:rsidR="00357175">
        <w:t xml:space="preserve"> in Human Services</w:t>
      </w:r>
      <w:r>
        <w:t xml:space="preserve"> uses a special code on Infotype 0008 when </w:t>
      </w:r>
      <w:r w:rsidR="00357175">
        <w:t>compared to</w:t>
      </w:r>
      <w:r>
        <w:t xml:space="preserve"> </w:t>
      </w:r>
      <w:proofErr w:type="spellStart"/>
      <w:r>
        <w:t>Centrelink</w:t>
      </w:r>
      <w:proofErr w:type="spellEnd"/>
      <w:r>
        <w:t>.</w:t>
      </w:r>
    </w:p>
  </w:footnote>
  <w:footnote w:id="7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AGS numbers are sequentially generated on demand, using a weighted sum modulus 11 calculation. See XXX document for more details.</w:t>
      </w:r>
    </w:p>
  </w:footnote>
  <w:footnote w:id="8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Terminology may vary from tool to tool. A run-time result is the location of the post execution</w:t>
      </w:r>
      <w:r w:rsidRPr="009126F0">
        <w:t xml:space="preserve"> </w:t>
      </w:r>
      <w:r>
        <w:t>output.</w:t>
      </w:r>
    </w:p>
  </w:footnote>
  <w:footnote w:id="9">
    <w:p w:rsidR="00CF4A33" w:rsidRDefault="00CF4A33">
      <w:pPr>
        <w:pStyle w:val="FootnoteText"/>
      </w:pPr>
      <w:r>
        <w:rPr>
          <w:rStyle w:val="FootnoteReference"/>
        </w:rPr>
        <w:footnoteRef/>
      </w:r>
      <w:r>
        <w:t xml:space="preserve"> The range of staff hires include full time, part time, contractors, AWA, Medical Officers, casual and non-ongoing. </w:t>
      </w:r>
      <w:proofErr w:type="gramStart"/>
      <w:r>
        <w:t>This impacts</w:t>
      </w:r>
      <w:proofErr w:type="gramEnd"/>
      <w:r>
        <w:t xml:space="preserve"> on a number of points in the dataset.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57" w:rsidRDefault="00D52B57" w:rsidP="00D52B57">
    <w:pPr>
      <w:pStyle w:val="Title"/>
    </w:pPr>
    <w:r>
      <w:t>Excel Master Spreadsheet User Manual – 02 Operational Description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1C3A"/>
    <w:multiLevelType w:val="hybridMultilevel"/>
    <w:tmpl w:val="30686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941DB"/>
    <w:multiLevelType w:val="hybridMultilevel"/>
    <w:tmpl w:val="6A9AF1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77537"/>
    <w:multiLevelType w:val="hybridMultilevel"/>
    <w:tmpl w:val="350692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F762D"/>
    <w:multiLevelType w:val="hybridMultilevel"/>
    <w:tmpl w:val="BBDEA3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71874"/>
    <w:multiLevelType w:val="hybridMultilevel"/>
    <w:tmpl w:val="81E6C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A3440"/>
    <w:multiLevelType w:val="hybridMultilevel"/>
    <w:tmpl w:val="8E7A8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E628B"/>
    <w:multiLevelType w:val="hybridMultilevel"/>
    <w:tmpl w:val="95708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0364DB"/>
    <w:multiLevelType w:val="hybridMultilevel"/>
    <w:tmpl w:val="06007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B71D4D"/>
    <w:multiLevelType w:val="hybridMultilevel"/>
    <w:tmpl w:val="82021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4589C"/>
    <w:multiLevelType w:val="hybridMultilevel"/>
    <w:tmpl w:val="306CE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27622"/>
    <w:multiLevelType w:val="hybridMultilevel"/>
    <w:tmpl w:val="153AA22A"/>
    <w:lvl w:ilvl="0" w:tplc="7EB6A882"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3A5"/>
    <w:rsid w:val="00000F0E"/>
    <w:rsid w:val="000849C2"/>
    <w:rsid w:val="000E1BCA"/>
    <w:rsid w:val="00207B91"/>
    <w:rsid w:val="00314DE0"/>
    <w:rsid w:val="00357175"/>
    <w:rsid w:val="00375E71"/>
    <w:rsid w:val="003F3A4B"/>
    <w:rsid w:val="004116CA"/>
    <w:rsid w:val="00427935"/>
    <w:rsid w:val="004507BD"/>
    <w:rsid w:val="004A36C1"/>
    <w:rsid w:val="004E6999"/>
    <w:rsid w:val="004F67A2"/>
    <w:rsid w:val="005016A9"/>
    <w:rsid w:val="005720F3"/>
    <w:rsid w:val="00584BAD"/>
    <w:rsid w:val="005A02F1"/>
    <w:rsid w:val="005C3CFD"/>
    <w:rsid w:val="005D0196"/>
    <w:rsid w:val="005D0A25"/>
    <w:rsid w:val="00610FF9"/>
    <w:rsid w:val="006C3000"/>
    <w:rsid w:val="006C6418"/>
    <w:rsid w:val="006E0569"/>
    <w:rsid w:val="00722483"/>
    <w:rsid w:val="00723FBE"/>
    <w:rsid w:val="00753ABF"/>
    <w:rsid w:val="00776A1F"/>
    <w:rsid w:val="00785BF2"/>
    <w:rsid w:val="007C18AD"/>
    <w:rsid w:val="008D1248"/>
    <w:rsid w:val="009126F0"/>
    <w:rsid w:val="00927171"/>
    <w:rsid w:val="0098354C"/>
    <w:rsid w:val="009C05F5"/>
    <w:rsid w:val="00A5085D"/>
    <w:rsid w:val="00AA2AFF"/>
    <w:rsid w:val="00B42BAA"/>
    <w:rsid w:val="00B50E90"/>
    <w:rsid w:val="00B86CCC"/>
    <w:rsid w:val="00B97C0D"/>
    <w:rsid w:val="00BA2003"/>
    <w:rsid w:val="00BC5635"/>
    <w:rsid w:val="00BE47BF"/>
    <w:rsid w:val="00BE4B3B"/>
    <w:rsid w:val="00BF4020"/>
    <w:rsid w:val="00C06F4E"/>
    <w:rsid w:val="00C5220E"/>
    <w:rsid w:val="00CB37BC"/>
    <w:rsid w:val="00CB7071"/>
    <w:rsid w:val="00CD6A52"/>
    <w:rsid w:val="00CE22D6"/>
    <w:rsid w:val="00CF4A33"/>
    <w:rsid w:val="00D52B57"/>
    <w:rsid w:val="00D73B9A"/>
    <w:rsid w:val="00DE0D1E"/>
    <w:rsid w:val="00E0293F"/>
    <w:rsid w:val="00E36329"/>
    <w:rsid w:val="00E733A5"/>
    <w:rsid w:val="00E83EC1"/>
    <w:rsid w:val="00ED62E8"/>
    <w:rsid w:val="00EF6E7F"/>
    <w:rsid w:val="00F6490E"/>
    <w:rsid w:val="00F7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020"/>
  </w:style>
  <w:style w:type="paragraph" w:styleId="Heading1">
    <w:name w:val="heading 1"/>
    <w:basedOn w:val="Normal"/>
    <w:next w:val="Normal"/>
    <w:link w:val="Heading1Char"/>
    <w:uiPriority w:val="9"/>
    <w:qFormat/>
    <w:rsid w:val="006C6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0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33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A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4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0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40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05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05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05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3632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97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C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5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2B57"/>
  </w:style>
  <w:style w:type="paragraph" w:styleId="Footer">
    <w:name w:val="footer"/>
    <w:basedOn w:val="Normal"/>
    <w:link w:val="FooterChar"/>
    <w:uiPriority w:val="99"/>
    <w:unhideWhenUsed/>
    <w:rsid w:val="00D52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9FFEA-65BA-4041-919D-F6C0605DD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26</cp:revision>
  <cp:lastPrinted>2012-09-27T23:11:00Z</cp:lastPrinted>
  <dcterms:created xsi:type="dcterms:W3CDTF">2011-09-08T22:11:00Z</dcterms:created>
  <dcterms:modified xsi:type="dcterms:W3CDTF">2012-11-22T03:09:00Z</dcterms:modified>
</cp:coreProperties>
</file>