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74E9" w:rsidRDefault="005574E9" w:rsidP="005574E9">
      <w:pPr>
        <w:pStyle w:val="Heading2"/>
      </w:pPr>
      <w:r>
        <w:t>Prelim Pages</w:t>
      </w:r>
    </w:p>
    <w:p w:rsidR="005574E9" w:rsidRPr="000F4C0E" w:rsidRDefault="005574E9" w:rsidP="005574E9">
      <w:r>
        <w:t>Version Control /Approval etc</w:t>
      </w:r>
    </w:p>
    <w:p w:rsidR="009B3BDA" w:rsidRDefault="00D440E2" w:rsidP="00D440E2">
      <w:pPr>
        <w:pStyle w:val="Heading2"/>
      </w:pPr>
      <w:r>
        <w:t>Introduction</w:t>
      </w:r>
    </w:p>
    <w:p w:rsidR="005831E9" w:rsidRDefault="003330F0" w:rsidP="00D440E2">
      <w:r>
        <w:t>Chapter 3 covers the interface developed in the tool as part of the package to manage and maintain the data sets.</w:t>
      </w:r>
      <w:r w:rsidRPr="003330F0">
        <w:t xml:space="preserve"> </w:t>
      </w:r>
      <w:r w:rsidR="002A3553">
        <w:t xml:space="preserve"> </w:t>
      </w:r>
      <w:r>
        <w:t xml:space="preserve">Ease of use and accessibility to custom functionality is a paramount consideration. </w:t>
      </w:r>
    </w:p>
    <w:p w:rsidR="003330F0" w:rsidRDefault="002A3553" w:rsidP="00D440E2">
      <w:r>
        <w:t>A</w:t>
      </w:r>
      <w:r w:rsidR="003330F0">
        <w:t xml:space="preserve"> custom ribbon ensures the interface is available no matter which</w:t>
      </w:r>
      <w:r w:rsidR="005831E9">
        <w:t xml:space="preserve"> sheet the user is dealing with and custom user forms or dialogs enhance the process of managing the data.</w:t>
      </w:r>
    </w:p>
    <w:p w:rsidR="00233C97" w:rsidRDefault="00233C97" w:rsidP="00D440E2">
      <w:r>
        <w:t>Using these featur</w:t>
      </w:r>
      <w:r w:rsidR="008E0F04">
        <w:t xml:space="preserve">es is covered in later </w:t>
      </w:r>
      <w:r w:rsidR="00EF3F72">
        <w:t xml:space="preserve">relevant </w:t>
      </w:r>
      <w:r w:rsidR="008E0F04">
        <w:t>chapters.</w:t>
      </w:r>
    </w:p>
    <w:p w:rsidR="00D440E2" w:rsidRDefault="00D440E2" w:rsidP="00D440E2">
      <w:pPr>
        <w:pStyle w:val="Heading2"/>
      </w:pPr>
      <w:r>
        <w:t>Custom Ribbon</w:t>
      </w:r>
    </w:p>
    <w:p w:rsidR="00AF7F3F" w:rsidRPr="00AF7F3F" w:rsidRDefault="00597972" w:rsidP="00AF7F3F">
      <w:r>
        <w:t>Excels’</w:t>
      </w:r>
      <w:r w:rsidR="00AF7F3F">
        <w:t xml:space="preserve"> built in ribbon </w:t>
      </w:r>
      <w:r>
        <w:t>is extensible and a custom</w:t>
      </w:r>
      <w:r w:rsidR="00AF7F3F">
        <w:t xml:space="preserve"> tab </w:t>
      </w:r>
      <w:r>
        <w:t>with</w:t>
      </w:r>
      <w:r w:rsidR="00AF7F3F">
        <w:t xml:space="preserve"> buttons </w:t>
      </w:r>
      <w:r>
        <w:t xml:space="preserve">is </w:t>
      </w:r>
      <w:r w:rsidR="00AF7F3F">
        <w:t>added to give the user permanent access to the interface.</w:t>
      </w:r>
      <w:r w:rsidR="006D35C8">
        <w:t xml:space="preserve"> </w:t>
      </w:r>
      <w:r>
        <w:t xml:space="preserve">The tab is located on the Excel interface as depicted in </w:t>
      </w:r>
      <w:r w:rsidR="00BF620D">
        <w:fldChar w:fldCharType="begin"/>
      </w:r>
      <w:r w:rsidR="006D35C8">
        <w:instrText xml:space="preserve"> REF _Ref303849552 \h </w:instrText>
      </w:r>
      <w:r w:rsidR="00BF620D">
        <w:fldChar w:fldCharType="separate"/>
      </w:r>
      <w:r w:rsidR="006D35C8">
        <w:t xml:space="preserve">Figure </w:t>
      </w:r>
      <w:r w:rsidR="006D35C8">
        <w:rPr>
          <w:noProof/>
        </w:rPr>
        <w:t>1</w:t>
      </w:r>
      <w:r w:rsidR="00BF620D">
        <w:fldChar w:fldCharType="end"/>
      </w:r>
      <w:r w:rsidR="006D35C8">
        <w:t xml:space="preserve"> </w:t>
      </w:r>
      <w:r w:rsidR="00BF620D">
        <w:fldChar w:fldCharType="begin"/>
      </w:r>
      <w:r w:rsidR="006D35C8">
        <w:instrText xml:space="preserve"> REF _Ref303849552 \p \h </w:instrText>
      </w:r>
      <w:r w:rsidR="00BF620D">
        <w:fldChar w:fldCharType="separate"/>
      </w:r>
      <w:r w:rsidR="006D35C8">
        <w:t>below</w:t>
      </w:r>
      <w:r w:rsidR="00BF620D">
        <w:fldChar w:fldCharType="end"/>
      </w:r>
      <w:r w:rsidR="006D35C8">
        <w:t>.</w:t>
      </w:r>
    </w:p>
    <w:p w:rsidR="004F229A" w:rsidRDefault="00E733A5" w:rsidP="006D35C8">
      <w:pPr>
        <w:pStyle w:val="Heading3"/>
        <w:jc w:val="center"/>
      </w:pPr>
      <w:r>
        <w:rPr>
          <w:noProof/>
          <w:lang w:eastAsia="en-AU"/>
        </w:rPr>
        <w:drawing>
          <wp:inline distT="0" distB="0" distL="0" distR="0">
            <wp:extent cx="5730875" cy="476250"/>
            <wp:effectExtent l="19050" t="0" r="317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33A5" w:rsidRDefault="004F229A" w:rsidP="006D35C8">
      <w:pPr>
        <w:pStyle w:val="Caption"/>
        <w:jc w:val="center"/>
      </w:pPr>
      <w:bookmarkStart w:id="0" w:name="_Ref303849552"/>
      <w:r>
        <w:t xml:space="preserve">Figure </w:t>
      </w:r>
      <w:fldSimple w:instr=" SEQ Figure \* ARABIC ">
        <w:r w:rsidR="008E0F04">
          <w:rPr>
            <w:noProof/>
          </w:rPr>
          <w:t>1</w:t>
        </w:r>
      </w:fldSimple>
      <w:bookmarkEnd w:id="0"/>
    </w:p>
    <w:p w:rsidR="00E733A5" w:rsidRPr="00E733A5" w:rsidRDefault="006D35C8" w:rsidP="00E733A5">
      <w:r>
        <w:t xml:space="preserve">The custom buttons are organised in to functional areas, as seen in </w:t>
      </w:r>
      <w:r w:rsidR="00BF620D">
        <w:fldChar w:fldCharType="begin"/>
      </w:r>
      <w:r>
        <w:instrText xml:space="preserve"> REF _Ref303849574 \h </w:instrText>
      </w:r>
      <w:r w:rsidR="00BF620D">
        <w:fldChar w:fldCharType="separate"/>
      </w:r>
      <w:r>
        <w:t xml:space="preserve">Figure </w:t>
      </w:r>
      <w:r>
        <w:rPr>
          <w:noProof/>
        </w:rPr>
        <w:t>2</w:t>
      </w:r>
      <w:r w:rsidR="00BF620D">
        <w:fldChar w:fldCharType="end"/>
      </w:r>
      <w:r>
        <w:t xml:space="preserve"> </w:t>
      </w:r>
      <w:r w:rsidR="00BF620D">
        <w:fldChar w:fldCharType="begin"/>
      </w:r>
      <w:r>
        <w:instrText xml:space="preserve"> REF _Ref303849574 \p \h </w:instrText>
      </w:r>
      <w:r w:rsidR="00BF620D">
        <w:fldChar w:fldCharType="separate"/>
      </w:r>
      <w:r>
        <w:t>below</w:t>
      </w:r>
      <w:r w:rsidR="00BF620D">
        <w:fldChar w:fldCharType="end"/>
      </w:r>
      <w:r>
        <w:t xml:space="preserve">. </w:t>
      </w:r>
      <w:r w:rsidR="007F035D">
        <w:t xml:space="preserve"> Each </w:t>
      </w:r>
      <w:r w:rsidR="00633523">
        <w:t>group</w:t>
      </w:r>
      <w:r w:rsidR="007F035D">
        <w:t xml:space="preserve"> logically </w:t>
      </w:r>
      <w:r w:rsidR="00DF260F">
        <w:t>assembles</w:t>
      </w:r>
      <w:r w:rsidR="007F035D">
        <w:t xml:space="preserve"> the </w:t>
      </w:r>
      <w:r w:rsidR="00DF260F">
        <w:t>buttons based on primary</w:t>
      </w:r>
      <w:r w:rsidR="007F035D">
        <w:t xml:space="preserve"> function</w:t>
      </w:r>
      <w:r w:rsidR="00DF260F">
        <w:t>ality</w:t>
      </w:r>
      <w:r w:rsidR="007F035D">
        <w:t>.</w:t>
      </w:r>
    </w:p>
    <w:p w:rsidR="004F229A" w:rsidRDefault="00E733A5" w:rsidP="006D35C8">
      <w:pPr>
        <w:keepNext/>
        <w:jc w:val="center"/>
      </w:pPr>
      <w:r>
        <w:rPr>
          <w:noProof/>
          <w:lang w:eastAsia="en-AU"/>
        </w:rPr>
        <w:drawing>
          <wp:inline distT="0" distB="0" distL="0" distR="0">
            <wp:extent cx="5679852" cy="811369"/>
            <wp:effectExtent l="1905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792" t="4351" b="42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9852" cy="8113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33A5" w:rsidRDefault="004F229A" w:rsidP="006D35C8">
      <w:pPr>
        <w:pStyle w:val="Caption"/>
        <w:jc w:val="center"/>
      </w:pPr>
      <w:bookmarkStart w:id="1" w:name="_Ref303849574"/>
      <w:r>
        <w:t xml:space="preserve">Figure </w:t>
      </w:r>
      <w:fldSimple w:instr=" SEQ Figure \* ARABIC ">
        <w:r w:rsidR="008E0F04">
          <w:rPr>
            <w:noProof/>
          </w:rPr>
          <w:t>2</w:t>
        </w:r>
      </w:fldSimple>
      <w:bookmarkEnd w:id="1"/>
    </w:p>
    <w:p w:rsidR="002E24BA" w:rsidRDefault="007F035D" w:rsidP="002E24BA">
      <w:r>
        <w:t xml:space="preserve">When these buttons are clicked, they open up other dialogs and begin a process that can be cancelled </w:t>
      </w:r>
      <w:r w:rsidR="00854176">
        <w:t>by the user before the process starts</w:t>
      </w:r>
      <w:r>
        <w:t>.</w:t>
      </w:r>
    </w:p>
    <w:p w:rsidR="007F035D" w:rsidRDefault="007F035D" w:rsidP="007F035D">
      <w:pPr>
        <w:pStyle w:val="Heading3"/>
      </w:pPr>
      <w:r>
        <w:t>Export</w:t>
      </w:r>
    </w:p>
    <w:p w:rsidR="00E11CAF" w:rsidRDefault="007F035D" w:rsidP="007F035D">
      <w:r>
        <w:t xml:space="preserve">Export sends data from the Spreadsheet out to one of two places, either for QTP or to the test teams. The location for both is customisable and is </w:t>
      </w:r>
      <w:r w:rsidR="00CB4921">
        <w:t>located on a hidden sheet call “Configuration”.</w:t>
      </w:r>
    </w:p>
    <w:p w:rsidR="002A3553" w:rsidRDefault="002A3553" w:rsidP="002A3553">
      <w:pPr>
        <w:keepNext/>
        <w:jc w:val="center"/>
      </w:pPr>
      <w:r w:rsidRPr="002A3553">
        <w:rPr>
          <w:noProof/>
          <w:lang w:eastAsia="en-AU"/>
        </w:rPr>
        <w:drawing>
          <wp:inline distT="0" distB="0" distL="0" distR="0">
            <wp:extent cx="891691" cy="821509"/>
            <wp:effectExtent l="19050" t="0" r="3659" b="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792" t="3089" r="83730" b="42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1691" cy="8215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3553" w:rsidRDefault="002A3553" w:rsidP="002A3553">
      <w:pPr>
        <w:pStyle w:val="Caption"/>
        <w:jc w:val="center"/>
      </w:pPr>
      <w:r>
        <w:t xml:space="preserve">Figure </w:t>
      </w:r>
      <w:fldSimple w:instr=" SEQ Figure \* ARABIC ">
        <w:r w:rsidR="008E0F04">
          <w:rPr>
            <w:noProof/>
          </w:rPr>
          <w:t>3</w:t>
        </w:r>
      </w:fldSimple>
    </w:p>
    <w:p w:rsidR="00CB4921" w:rsidRDefault="00CB4921" w:rsidP="00CB4921">
      <w:pPr>
        <w:pStyle w:val="Heading3"/>
      </w:pPr>
      <w:r>
        <w:lastRenderedPageBreak/>
        <w:t>Import</w:t>
      </w:r>
    </w:p>
    <w:p w:rsidR="00A62EDD" w:rsidRDefault="00CB4921" w:rsidP="007F035D">
      <w:r>
        <w:t xml:space="preserve">Import gets the data from one of two resources: </w:t>
      </w:r>
    </w:p>
    <w:p w:rsidR="00A62EDD" w:rsidRDefault="00CB4921" w:rsidP="00A62EDD">
      <w:pPr>
        <w:pStyle w:val="ListParagraph"/>
        <w:numPr>
          <w:ilvl w:val="0"/>
          <w:numId w:val="2"/>
        </w:numPr>
      </w:pPr>
      <w:r>
        <w:t xml:space="preserve">QTP results runtime data table, or </w:t>
      </w:r>
    </w:p>
    <w:p w:rsidR="00CB4921" w:rsidRDefault="00E11CAF" w:rsidP="00A62EDD">
      <w:pPr>
        <w:pStyle w:val="ListParagraph"/>
        <w:numPr>
          <w:ilvl w:val="0"/>
          <w:numId w:val="2"/>
        </w:numPr>
      </w:pPr>
      <w:r>
        <w:t>O</w:t>
      </w:r>
      <w:r w:rsidR="00CB4921">
        <w:t>pens the Org Structure dialog and generates new data on demand.</w:t>
      </w:r>
    </w:p>
    <w:p w:rsidR="002A3553" w:rsidRDefault="002A3553" w:rsidP="002A3553">
      <w:pPr>
        <w:keepNext/>
        <w:jc w:val="center"/>
      </w:pPr>
      <w:r w:rsidRPr="002A3553">
        <w:rPr>
          <w:noProof/>
          <w:lang w:eastAsia="en-AU"/>
        </w:rPr>
        <w:drawing>
          <wp:inline distT="0" distB="0" distL="0" distR="0">
            <wp:extent cx="873304" cy="825357"/>
            <wp:effectExtent l="19050" t="0" r="2996" b="0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16690" t="2703" r="68055" b="42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3304" cy="8253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3553" w:rsidRDefault="002A3553" w:rsidP="002A3553">
      <w:pPr>
        <w:pStyle w:val="Caption"/>
        <w:jc w:val="center"/>
      </w:pPr>
      <w:r>
        <w:t xml:space="preserve">Figure </w:t>
      </w:r>
      <w:fldSimple w:instr=" SEQ Figure \* ARABIC ">
        <w:r w:rsidR="008E0F04">
          <w:rPr>
            <w:noProof/>
          </w:rPr>
          <w:t>4</w:t>
        </w:r>
      </w:fldSimple>
    </w:p>
    <w:p w:rsidR="00A62EDD" w:rsidRDefault="00A62EDD" w:rsidP="00A62EDD">
      <w:r w:rsidRPr="009A5AFB">
        <w:rPr>
          <w:b/>
        </w:rPr>
        <w:t>QTP Results</w:t>
      </w:r>
      <w:r>
        <w:t xml:space="preserve"> requires the user to locate the Results Folder (usually names </w:t>
      </w:r>
      <w:proofErr w:type="spellStart"/>
      <w:r>
        <w:t>ResX</w:t>
      </w:r>
      <w:proofErr w:type="spellEnd"/>
      <w:r>
        <w:t>) and locates the actual file itself.</w:t>
      </w:r>
    </w:p>
    <w:p w:rsidR="00A62EDD" w:rsidRDefault="009A5AFB" w:rsidP="00A62EDD">
      <w:r w:rsidRPr="009A5AFB">
        <w:rPr>
          <w:b/>
        </w:rPr>
        <w:t>Pool Data</w:t>
      </w:r>
      <w:r>
        <w:t xml:space="preserve"> </w:t>
      </w:r>
      <w:r w:rsidR="00A62EDD">
        <w:t>Org Structure dialog can open a structure file (XML format) an</w:t>
      </w:r>
      <w:r w:rsidR="007D03B2">
        <w:t>d</w:t>
      </w:r>
      <w:r w:rsidR="00A62EDD">
        <w:t xml:space="preserve"> allow further editing and generate new data. Existing data cannot be updated with this tool.</w:t>
      </w:r>
    </w:p>
    <w:p w:rsidR="00CB4921" w:rsidRDefault="00CB4921" w:rsidP="00CB4921">
      <w:pPr>
        <w:pStyle w:val="Heading3"/>
      </w:pPr>
      <w:r>
        <w:t>Update</w:t>
      </w:r>
    </w:p>
    <w:p w:rsidR="00CB4921" w:rsidRDefault="00CB4921" w:rsidP="00CB4921">
      <w:r>
        <w:t xml:space="preserve">Update contains </w:t>
      </w:r>
      <w:r w:rsidR="00854176">
        <w:t xml:space="preserve">a range of useful </w:t>
      </w:r>
      <w:r>
        <w:t xml:space="preserve">functions: </w:t>
      </w:r>
    </w:p>
    <w:p w:rsidR="00CB4921" w:rsidRDefault="00CB4921" w:rsidP="00CB4921">
      <w:pPr>
        <w:pStyle w:val="ListParagraph"/>
        <w:numPr>
          <w:ilvl w:val="0"/>
          <w:numId w:val="1"/>
        </w:numPr>
      </w:pPr>
      <w:r w:rsidRPr="007D03B2">
        <w:rPr>
          <w:b/>
        </w:rPr>
        <w:t>Columns Headers</w:t>
      </w:r>
      <w:r>
        <w:t xml:space="preserve"> is embedded into Column Restructure. It is still available, with the caveat that the user View the </w:t>
      </w:r>
      <w:proofErr w:type="spellStart"/>
      <w:r>
        <w:t>ACHire</w:t>
      </w:r>
      <w:proofErr w:type="spellEnd"/>
      <w:r>
        <w:t xml:space="preserve"> tab (from the View buttons) and apply updates the </w:t>
      </w:r>
      <w:proofErr w:type="spellStart"/>
      <w:r>
        <w:t>the</w:t>
      </w:r>
      <w:proofErr w:type="spellEnd"/>
      <w:r>
        <w:t xml:space="preserve"> column headers before clicking</w:t>
      </w:r>
      <w:r w:rsidR="007D03B2">
        <w:t>.</w:t>
      </w:r>
    </w:p>
    <w:p w:rsidR="00CB4921" w:rsidRDefault="00CB4921" w:rsidP="00CB4921">
      <w:pPr>
        <w:pStyle w:val="ListParagraph"/>
        <w:numPr>
          <w:ilvl w:val="0"/>
          <w:numId w:val="1"/>
        </w:numPr>
      </w:pPr>
      <w:r w:rsidRPr="007D03B2">
        <w:rPr>
          <w:b/>
        </w:rPr>
        <w:t>Generate P</w:t>
      </w:r>
      <w:r w:rsidR="00A62EDD" w:rsidRPr="007D03B2">
        <w:rPr>
          <w:b/>
        </w:rPr>
        <w:t>erson</w:t>
      </w:r>
      <w:r w:rsidR="00A62EDD">
        <w:t xml:space="preserve"> fills in missing data for people to be hired. </w:t>
      </w:r>
      <w:r w:rsidR="000A0BBA">
        <w:t>Used in conjunction with a Default Data sheet to</w:t>
      </w:r>
      <w:r w:rsidR="00A62EDD">
        <w:t xml:space="preserve"> reduce time spent fixing data tables where hundreds of points</w:t>
      </w:r>
      <w:r w:rsidR="000A0BBA">
        <w:t xml:space="preserve"> require updating.</w:t>
      </w:r>
    </w:p>
    <w:p w:rsidR="00A62EDD" w:rsidRDefault="00A62EDD" w:rsidP="00CB4921">
      <w:pPr>
        <w:pStyle w:val="ListParagraph"/>
        <w:numPr>
          <w:ilvl w:val="0"/>
          <w:numId w:val="1"/>
        </w:numPr>
      </w:pPr>
      <w:r w:rsidRPr="007D03B2">
        <w:rPr>
          <w:b/>
        </w:rPr>
        <w:t>Clean Roles</w:t>
      </w:r>
      <w:r>
        <w:t xml:space="preserve"> is used to pick up older inva</w:t>
      </w:r>
      <w:r w:rsidR="00C87D81">
        <w:t>lid codes for security roles embedded throughout the datasets. The sour</w:t>
      </w:r>
      <w:r w:rsidR="000A0BBA">
        <w:t>ce data for this is located on a sheet within the master named Roles.</w:t>
      </w:r>
    </w:p>
    <w:p w:rsidR="00D72248" w:rsidRDefault="00D72248" w:rsidP="00CB4921">
      <w:pPr>
        <w:pStyle w:val="ListParagraph"/>
        <w:numPr>
          <w:ilvl w:val="0"/>
          <w:numId w:val="1"/>
        </w:numPr>
      </w:pPr>
      <w:r w:rsidRPr="007D03B2">
        <w:rPr>
          <w:b/>
        </w:rPr>
        <w:t>New system</w:t>
      </w:r>
      <w:r w:rsidR="000A0BBA">
        <w:t xml:space="preserve"> prepares existing data for re-use in a new system or client. Data, such as SAP Object Identifiers (</w:t>
      </w:r>
      <w:proofErr w:type="spellStart"/>
      <w:r w:rsidR="000A0BBA">
        <w:t>eg</w:t>
      </w:r>
      <w:proofErr w:type="spellEnd"/>
      <w:r w:rsidR="000A0BBA">
        <w:t xml:space="preserve"> 60005142) are removed in the sheet making it ready to export and use in an execution.</w:t>
      </w:r>
    </w:p>
    <w:p w:rsidR="00D72248" w:rsidRDefault="00D72248" w:rsidP="00CB4921">
      <w:pPr>
        <w:pStyle w:val="ListParagraph"/>
        <w:numPr>
          <w:ilvl w:val="0"/>
          <w:numId w:val="1"/>
        </w:numPr>
      </w:pPr>
      <w:r w:rsidRPr="007D03B2">
        <w:rPr>
          <w:b/>
        </w:rPr>
        <w:t>Column Restructure</w:t>
      </w:r>
      <w:r w:rsidR="000A0BBA">
        <w:t xml:space="preserve"> </w:t>
      </w:r>
      <w:r w:rsidR="00AC1ADF">
        <w:t>Performs the task of re-arranging the columns via a temporary sheet under user control.</w:t>
      </w:r>
    </w:p>
    <w:p w:rsidR="002A3553" w:rsidRDefault="002A3553" w:rsidP="002A3553">
      <w:pPr>
        <w:keepNext/>
        <w:ind w:left="360"/>
        <w:jc w:val="center"/>
      </w:pPr>
      <w:r w:rsidRPr="002A3553">
        <w:rPr>
          <w:noProof/>
          <w:lang w:eastAsia="en-AU"/>
        </w:rPr>
        <w:drawing>
          <wp:inline distT="0" distB="0" distL="0" distR="0">
            <wp:extent cx="2570694" cy="818508"/>
            <wp:effectExtent l="19050" t="0" r="1056" b="0"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32368" t="4247" r="22726" b="34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0694" cy="8185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3553" w:rsidRDefault="002A3553" w:rsidP="002A3553">
      <w:pPr>
        <w:pStyle w:val="Caption"/>
        <w:jc w:val="center"/>
      </w:pPr>
      <w:r>
        <w:t xml:space="preserve">Figure </w:t>
      </w:r>
      <w:fldSimple w:instr=" SEQ Figure \* ARABIC ">
        <w:r w:rsidR="00F445D0">
          <w:rPr>
            <w:noProof/>
          </w:rPr>
          <w:t>5</w:t>
        </w:r>
      </w:fldSimple>
    </w:p>
    <w:p w:rsidR="007F50C9" w:rsidRPr="007F50C9" w:rsidRDefault="007F50C9" w:rsidP="007F50C9">
      <w:r>
        <w:t>Each of these impacts on the data of the visible sheets. The user is advised to exercise caution and confirm they have got the right payroll before using these.</w:t>
      </w:r>
    </w:p>
    <w:p w:rsidR="00CB4921" w:rsidRDefault="00CB4921" w:rsidP="00CB4921">
      <w:pPr>
        <w:pStyle w:val="Heading3"/>
      </w:pPr>
      <w:r>
        <w:lastRenderedPageBreak/>
        <w:t>View</w:t>
      </w:r>
    </w:p>
    <w:p w:rsidR="00233C97" w:rsidRDefault="008069F4" w:rsidP="00CB4921">
      <w:r>
        <w:t xml:space="preserve">View enables the user to </w:t>
      </w:r>
      <w:r w:rsidR="003A4369">
        <w:t>filter</w:t>
      </w:r>
      <w:r>
        <w:t xml:space="preserve"> the tabs (or worksheets)</w:t>
      </w:r>
      <w:r w:rsidR="003A4369">
        <w:t xml:space="preserve"> by updating their</w:t>
      </w:r>
      <w:r>
        <w:t xml:space="preserve"> </w:t>
      </w:r>
      <w:r w:rsidR="003A4369">
        <w:t>visible property</w:t>
      </w:r>
      <w:r>
        <w:t xml:space="preserve"> </w:t>
      </w:r>
      <w:r w:rsidR="00C44E9D">
        <w:t>in the master spreadsheet. These are broken down into</w:t>
      </w:r>
      <w:r w:rsidR="00233C97">
        <w:t>:</w:t>
      </w:r>
    </w:p>
    <w:p w:rsidR="00CB4921" w:rsidRDefault="00854176" w:rsidP="008069F4">
      <w:pPr>
        <w:pStyle w:val="ListParagraph"/>
        <w:numPr>
          <w:ilvl w:val="0"/>
          <w:numId w:val="3"/>
        </w:numPr>
      </w:pPr>
      <w:r w:rsidRPr="0029278B">
        <w:rPr>
          <w:b/>
        </w:rPr>
        <w:t>Payroll</w:t>
      </w:r>
      <w:r w:rsidR="00C44E9D">
        <w:t>. Payroll is the formal value used to separate a range of sheets</w:t>
      </w:r>
      <w:r w:rsidR="003A4369">
        <w:t xml:space="preserve"> into units of work. The name is a legacy name from the early discussions with the test teams and has evolved to cover a broader meaning</w:t>
      </w:r>
      <w:r w:rsidR="00C44E9D">
        <w:t>. Payrolls have generally been arranged between 60</w:t>
      </w:r>
      <w:r w:rsidR="008E0F04">
        <w:t xml:space="preserve"> and </w:t>
      </w:r>
      <w:r w:rsidR="00C44E9D">
        <w:t>69. Other identifiers, such as Useability and Security are also used to identify a unit of work for records used by both manual and automation.</w:t>
      </w:r>
    </w:p>
    <w:p w:rsidR="00854176" w:rsidRDefault="00854176" w:rsidP="008069F4">
      <w:pPr>
        <w:pStyle w:val="ListParagraph"/>
        <w:numPr>
          <w:ilvl w:val="0"/>
          <w:numId w:val="3"/>
        </w:numPr>
      </w:pPr>
      <w:r w:rsidRPr="0029278B">
        <w:rPr>
          <w:b/>
        </w:rPr>
        <w:t>Tab</w:t>
      </w:r>
      <w:r w:rsidR="00C44E9D">
        <w:t>. The most flexible method is</w:t>
      </w:r>
      <w:r w:rsidR="003A4369">
        <w:t xml:space="preserve"> view by</w:t>
      </w:r>
      <w:r w:rsidR="00C44E9D">
        <w:t xml:space="preserve"> tab. We can choose any sheet in the set, including the sheets that support the operation (</w:t>
      </w:r>
      <w:proofErr w:type="spellStart"/>
      <w:r w:rsidR="00C44E9D">
        <w:t>eg</w:t>
      </w:r>
      <w:proofErr w:type="spellEnd"/>
      <w:r w:rsidR="00C44E9D">
        <w:t xml:space="preserve"> configuration, Default Data).</w:t>
      </w:r>
      <w:r w:rsidR="00DF260F">
        <w:t xml:space="preserve"> The user may optionally hide all others and/or </w:t>
      </w:r>
    </w:p>
    <w:p w:rsidR="00854176" w:rsidRDefault="00854176" w:rsidP="008069F4">
      <w:pPr>
        <w:pStyle w:val="ListParagraph"/>
        <w:numPr>
          <w:ilvl w:val="0"/>
          <w:numId w:val="3"/>
        </w:numPr>
      </w:pPr>
      <w:r w:rsidRPr="0029278B">
        <w:rPr>
          <w:b/>
        </w:rPr>
        <w:t>All</w:t>
      </w:r>
      <w:r w:rsidR="00C44E9D">
        <w:t xml:space="preserve">. Cart </w:t>
      </w:r>
      <w:r w:rsidR="008E0F04">
        <w:t>Blanche</w:t>
      </w:r>
      <w:r w:rsidR="0029278B">
        <w:t xml:space="preserve"> </w:t>
      </w:r>
      <w:r w:rsidR="00DF260F">
        <w:t>render</w:t>
      </w:r>
      <w:r w:rsidR="0029278B">
        <w:t xml:space="preserve"> all the valid data set </w:t>
      </w:r>
      <w:r w:rsidR="008E0F04">
        <w:t>spreadsheets</w:t>
      </w:r>
      <w:r w:rsidR="00DF260F">
        <w:t xml:space="preserve"> visible (unhide)</w:t>
      </w:r>
      <w:r w:rsidR="008E0F04">
        <w:t>.</w:t>
      </w:r>
    </w:p>
    <w:p w:rsidR="002A3553" w:rsidRDefault="002A3553" w:rsidP="002A3553">
      <w:pPr>
        <w:keepNext/>
        <w:ind w:left="360"/>
        <w:jc w:val="center"/>
      </w:pPr>
      <w:r w:rsidRPr="002A3553">
        <w:rPr>
          <w:noProof/>
          <w:lang w:eastAsia="en-AU"/>
        </w:rPr>
        <w:drawing>
          <wp:inline distT="0" distB="0" distL="0" distR="0">
            <wp:extent cx="1267874" cy="808752"/>
            <wp:effectExtent l="19050" t="0" r="8476" b="0"/>
            <wp:docPr id="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77572" t="3861" r="299" b="49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7874" cy="8087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3553" w:rsidRPr="00CB4921" w:rsidRDefault="002A3553" w:rsidP="002A3553">
      <w:pPr>
        <w:pStyle w:val="Caption"/>
        <w:jc w:val="center"/>
      </w:pPr>
      <w:r>
        <w:t xml:space="preserve">Figure </w:t>
      </w:r>
      <w:fldSimple w:instr=" SEQ Figure \* ARABIC ">
        <w:r w:rsidR="008E0F04">
          <w:rPr>
            <w:noProof/>
          </w:rPr>
          <w:t>6</w:t>
        </w:r>
      </w:fldSimple>
    </w:p>
    <w:p w:rsidR="00E733A5" w:rsidRPr="00977CB0" w:rsidRDefault="00E733A5" w:rsidP="00D440E2">
      <w:pPr>
        <w:pStyle w:val="Heading2"/>
      </w:pPr>
      <w:r>
        <w:t>Custom Forms</w:t>
      </w:r>
    </w:p>
    <w:p w:rsidR="00E733A5" w:rsidRDefault="00334854" w:rsidP="00334854">
      <w:pPr>
        <w:pStyle w:val="Heading3"/>
      </w:pPr>
      <w:r>
        <w:t>Export</w:t>
      </w:r>
    </w:p>
    <w:p w:rsidR="00334854" w:rsidRPr="00334854" w:rsidRDefault="00334854" w:rsidP="00334854">
      <w:r>
        <w:t>Both export functions ask which data set to export.</w:t>
      </w:r>
      <w:r w:rsidR="00D346D9">
        <w:t xml:space="preserve"> Users may cancel or pick a row in the list and click OK to proceed.</w:t>
      </w:r>
    </w:p>
    <w:p w:rsidR="00334854" w:rsidRDefault="00334854" w:rsidP="00334854">
      <w:pPr>
        <w:keepNext/>
        <w:jc w:val="center"/>
      </w:pPr>
      <w:r>
        <w:rPr>
          <w:noProof/>
          <w:lang w:eastAsia="en-AU"/>
        </w:rPr>
        <w:drawing>
          <wp:inline distT="0" distB="0" distL="0" distR="0">
            <wp:extent cx="1187800" cy="1590907"/>
            <wp:effectExtent l="19050" t="0" r="0" b="0"/>
            <wp:docPr id="1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4652" cy="1600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4854" w:rsidRDefault="00334854" w:rsidP="00334854">
      <w:pPr>
        <w:pStyle w:val="Caption"/>
        <w:jc w:val="center"/>
      </w:pPr>
      <w:bookmarkStart w:id="2" w:name="_Ref304469030"/>
      <w:r>
        <w:t xml:space="preserve">Figure </w:t>
      </w:r>
      <w:fldSimple w:instr=" SEQ Figure \* ARABIC ">
        <w:r w:rsidR="008E0F04">
          <w:rPr>
            <w:noProof/>
          </w:rPr>
          <w:t>7</w:t>
        </w:r>
      </w:fldSimple>
      <w:bookmarkEnd w:id="2"/>
    </w:p>
    <w:p w:rsidR="00D346D9" w:rsidRPr="00D346D9" w:rsidRDefault="00D346D9" w:rsidP="00D346D9">
      <w:r>
        <w:t>Export to Test Teams displays an additional dialog</w:t>
      </w:r>
      <w:r w:rsidR="00EF3F72">
        <w:t xml:space="preserve"> after </w:t>
      </w:r>
      <w:r w:rsidR="00BF620D">
        <w:fldChar w:fldCharType="begin"/>
      </w:r>
      <w:r w:rsidR="00EF3F72">
        <w:instrText xml:space="preserve"> REF _Ref304469030 \h </w:instrText>
      </w:r>
      <w:r w:rsidR="00BF620D">
        <w:fldChar w:fldCharType="separate"/>
      </w:r>
      <w:r w:rsidR="00EF3F72">
        <w:t xml:space="preserve">Figure </w:t>
      </w:r>
      <w:r w:rsidR="00EF3F72">
        <w:rPr>
          <w:noProof/>
        </w:rPr>
        <w:t>7</w:t>
      </w:r>
      <w:r w:rsidR="00BF620D">
        <w:fldChar w:fldCharType="end"/>
      </w:r>
      <w:r w:rsidR="00EF3F72">
        <w:t xml:space="preserve"> </w:t>
      </w:r>
      <w:r w:rsidR="00BF620D">
        <w:fldChar w:fldCharType="begin"/>
      </w:r>
      <w:r w:rsidR="00EF3F72">
        <w:instrText xml:space="preserve"> REF _Ref304469030 \p \h </w:instrText>
      </w:r>
      <w:r w:rsidR="00BF620D">
        <w:fldChar w:fldCharType="separate"/>
      </w:r>
      <w:r w:rsidR="00EF3F72">
        <w:t>above</w:t>
      </w:r>
      <w:r w:rsidR="00BF620D">
        <w:fldChar w:fldCharType="end"/>
      </w:r>
      <w:r>
        <w:t xml:space="preserve"> to choose a raw (all) or formatted (Testers) output.</w:t>
      </w:r>
    </w:p>
    <w:p w:rsidR="00334854" w:rsidRDefault="00334854" w:rsidP="00334854">
      <w:pPr>
        <w:keepNext/>
        <w:jc w:val="center"/>
      </w:pPr>
      <w:r>
        <w:rPr>
          <w:noProof/>
          <w:lang w:eastAsia="en-AU"/>
        </w:rPr>
        <w:lastRenderedPageBreak/>
        <w:drawing>
          <wp:inline distT="0" distB="0" distL="0" distR="0">
            <wp:extent cx="869756" cy="867059"/>
            <wp:effectExtent l="19050" t="0" r="6544" b="0"/>
            <wp:docPr id="17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3628" cy="8709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4854" w:rsidRDefault="00334854" w:rsidP="00334854">
      <w:pPr>
        <w:pStyle w:val="Caption"/>
        <w:jc w:val="center"/>
      </w:pPr>
      <w:r>
        <w:t xml:space="preserve">Figure </w:t>
      </w:r>
      <w:fldSimple w:instr=" SEQ Figure \* ARABIC ">
        <w:r w:rsidR="00F445D0">
          <w:rPr>
            <w:noProof/>
          </w:rPr>
          <w:t>8</w:t>
        </w:r>
      </w:fldSimple>
    </w:p>
    <w:p w:rsidR="00334854" w:rsidRDefault="00E70894" w:rsidP="00E70894">
      <w:r>
        <w:t>See Chapter 5 for more detail on Exporting data.</w:t>
      </w:r>
    </w:p>
    <w:p w:rsidR="00334854" w:rsidRDefault="00334854" w:rsidP="00334854">
      <w:pPr>
        <w:pStyle w:val="Heading3"/>
      </w:pPr>
      <w:r>
        <w:t>Import</w:t>
      </w:r>
    </w:p>
    <w:p w:rsidR="009A5AFB" w:rsidRPr="00D346D9" w:rsidRDefault="009A5AFB" w:rsidP="009A5AFB">
      <w:proofErr w:type="gramStart"/>
      <w:r w:rsidRPr="009A5AFB">
        <w:rPr>
          <w:b/>
        </w:rPr>
        <w:t>QTP Results</w:t>
      </w:r>
      <w:r w:rsidR="00D346D9">
        <w:t>.</w:t>
      </w:r>
      <w:proofErr w:type="gramEnd"/>
      <w:r w:rsidR="00D346D9">
        <w:t xml:space="preserve"> The standard windows Folder Browser is used to locate the QTP results folder (not the file). The program can locate the file without further refinement.</w:t>
      </w:r>
    </w:p>
    <w:p w:rsidR="008E0F04" w:rsidRDefault="009A5AFB" w:rsidP="008E0F04">
      <w:pPr>
        <w:keepNext/>
        <w:jc w:val="center"/>
      </w:pPr>
      <w:r>
        <w:rPr>
          <w:noProof/>
          <w:lang w:eastAsia="en-AU"/>
        </w:rPr>
        <w:drawing>
          <wp:inline distT="0" distB="0" distL="0" distR="0">
            <wp:extent cx="2571750" cy="1609547"/>
            <wp:effectExtent l="19050" t="0" r="0" b="0"/>
            <wp:docPr id="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5694" cy="16057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5AFB" w:rsidRDefault="008E0F04" w:rsidP="008E0F04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9</w:t>
        </w:r>
      </w:fldSimple>
    </w:p>
    <w:p w:rsidR="00E70894" w:rsidRPr="00E70894" w:rsidRDefault="00E70894" w:rsidP="00E70894">
      <w:r>
        <w:t xml:space="preserve">See Chapter 5 for more detail on </w:t>
      </w:r>
      <w:proofErr w:type="gramStart"/>
      <w:r>
        <w:t>Importing</w:t>
      </w:r>
      <w:proofErr w:type="gramEnd"/>
      <w:r>
        <w:t xml:space="preserve"> data.</w:t>
      </w:r>
    </w:p>
    <w:p w:rsidR="00334854" w:rsidRPr="003C655B" w:rsidRDefault="009A5AFB" w:rsidP="009A5AFB">
      <w:proofErr w:type="gramStart"/>
      <w:r w:rsidRPr="009A5AFB">
        <w:rPr>
          <w:b/>
        </w:rPr>
        <w:t>Pool Data</w:t>
      </w:r>
      <w:r w:rsidR="003C655B">
        <w:rPr>
          <w:b/>
        </w:rPr>
        <w:t>.</w:t>
      </w:r>
      <w:proofErr w:type="gramEnd"/>
      <w:r w:rsidR="003C655B">
        <w:t xml:space="preserve"> The buttons displays this custom form for the user to </w:t>
      </w:r>
      <w:r w:rsidR="00595F5A">
        <w:t>either open an</w:t>
      </w:r>
      <w:r w:rsidR="003C655B">
        <w:t xml:space="preserve"> existing XML file </w:t>
      </w:r>
      <w:r w:rsidR="00595F5A">
        <w:t>or to create a custom structure.</w:t>
      </w:r>
    </w:p>
    <w:p w:rsidR="009A5AFB" w:rsidRDefault="009A5AFB" w:rsidP="009A5AFB">
      <w:pPr>
        <w:keepNext/>
        <w:jc w:val="center"/>
      </w:pPr>
      <w:r w:rsidRPr="00AE25B3">
        <w:rPr>
          <w:noProof/>
          <w:lang w:eastAsia="en-AU"/>
        </w:rPr>
        <w:drawing>
          <wp:inline distT="0" distB="0" distL="0" distR="0">
            <wp:extent cx="2818522" cy="1610315"/>
            <wp:effectExtent l="19050" t="0" r="878" b="0"/>
            <wp:docPr id="19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095" cy="16083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5AFB" w:rsidRDefault="009A5AFB" w:rsidP="009A5AFB">
      <w:pPr>
        <w:pStyle w:val="Caption"/>
        <w:jc w:val="center"/>
      </w:pPr>
      <w:bookmarkStart w:id="3" w:name="_Ref304469427"/>
      <w:r>
        <w:t xml:space="preserve">Figure </w:t>
      </w:r>
      <w:fldSimple w:instr=" SEQ Figure \* ARABIC ">
        <w:r w:rsidR="008E0F04">
          <w:rPr>
            <w:noProof/>
          </w:rPr>
          <w:t>10</w:t>
        </w:r>
      </w:fldSimple>
      <w:bookmarkEnd w:id="3"/>
    </w:p>
    <w:p w:rsidR="00595F5A" w:rsidRDefault="00BF620D" w:rsidP="00595F5A">
      <w:r>
        <w:fldChar w:fldCharType="begin"/>
      </w:r>
      <w:r w:rsidR="00F445D0">
        <w:instrText xml:space="preserve"> REF _Ref304469427 \h </w:instrText>
      </w:r>
      <w:r>
        <w:fldChar w:fldCharType="separate"/>
      </w:r>
      <w:r w:rsidR="00F445D0">
        <w:t xml:space="preserve">Figure </w:t>
      </w:r>
      <w:r w:rsidR="00F445D0">
        <w:rPr>
          <w:noProof/>
        </w:rPr>
        <w:t>10</w:t>
      </w:r>
      <w:r>
        <w:fldChar w:fldCharType="end"/>
      </w:r>
      <w:r w:rsidR="00F445D0">
        <w:t xml:space="preserve"> dialog </w:t>
      </w:r>
      <w:r>
        <w:fldChar w:fldCharType="begin"/>
      </w:r>
      <w:r w:rsidR="00F445D0">
        <w:instrText xml:space="preserve"> REF _Ref304469427 \p \h </w:instrText>
      </w:r>
      <w:r>
        <w:fldChar w:fldCharType="separate"/>
      </w:r>
      <w:r w:rsidR="00F445D0">
        <w:t>above</w:t>
      </w:r>
      <w:r>
        <w:fldChar w:fldCharType="end"/>
      </w:r>
      <w:r w:rsidR="00595F5A">
        <w:t xml:space="preserve"> presents the user with </w:t>
      </w:r>
      <w:r>
        <w:fldChar w:fldCharType="begin"/>
      </w:r>
      <w:r w:rsidR="00815AB3">
        <w:instrText xml:space="preserve"> REF _Ref304470251 \h </w:instrText>
      </w:r>
      <w:r>
        <w:fldChar w:fldCharType="separate"/>
      </w:r>
      <w:r w:rsidR="00815AB3">
        <w:t xml:space="preserve">Figure </w:t>
      </w:r>
      <w:r w:rsidR="00815AB3">
        <w:rPr>
          <w:noProof/>
        </w:rPr>
        <w:t>11</w:t>
      </w:r>
      <w:r>
        <w:fldChar w:fldCharType="end"/>
      </w:r>
      <w:r w:rsidR="00815AB3">
        <w:t xml:space="preserve"> dialog </w:t>
      </w:r>
      <w:r>
        <w:fldChar w:fldCharType="begin"/>
      </w:r>
      <w:r w:rsidR="00815AB3">
        <w:instrText xml:space="preserve"> REF _Ref304470251 \p \h </w:instrText>
      </w:r>
      <w:r>
        <w:fldChar w:fldCharType="separate"/>
      </w:r>
      <w:r w:rsidR="00815AB3">
        <w:t>below</w:t>
      </w:r>
      <w:r>
        <w:fldChar w:fldCharType="end"/>
      </w:r>
      <w:r w:rsidR="00815AB3">
        <w:t xml:space="preserve"> </w:t>
      </w:r>
      <w:r w:rsidR="00595F5A">
        <w:t xml:space="preserve">for each node in the tree to collect data specific to the node. </w:t>
      </w:r>
      <w:r w:rsidR="00815AB3">
        <w:t xml:space="preserve">Further, </w:t>
      </w:r>
      <w:r>
        <w:fldChar w:fldCharType="begin"/>
      </w:r>
      <w:r w:rsidR="00815AB3">
        <w:instrText xml:space="preserve"> REF _Ref304470251 \h </w:instrText>
      </w:r>
      <w:r>
        <w:fldChar w:fldCharType="separate"/>
      </w:r>
      <w:r w:rsidR="00815AB3">
        <w:t xml:space="preserve">Figure </w:t>
      </w:r>
      <w:r w:rsidR="00815AB3">
        <w:rPr>
          <w:noProof/>
        </w:rPr>
        <w:t>11</w:t>
      </w:r>
      <w:r>
        <w:fldChar w:fldCharType="end"/>
      </w:r>
      <w:r w:rsidR="00815AB3">
        <w:t xml:space="preserve"> dialog </w:t>
      </w:r>
      <w:r>
        <w:fldChar w:fldCharType="begin"/>
      </w:r>
      <w:r w:rsidR="00815AB3">
        <w:instrText xml:space="preserve"> REF _Ref304470251 \p \h </w:instrText>
      </w:r>
      <w:r>
        <w:fldChar w:fldCharType="separate"/>
      </w:r>
      <w:r w:rsidR="00815AB3">
        <w:t>below</w:t>
      </w:r>
      <w:r>
        <w:fldChar w:fldCharType="end"/>
      </w:r>
      <w:r w:rsidR="00815AB3">
        <w:t xml:space="preserve"> can present the user with </w:t>
      </w:r>
      <w:r>
        <w:fldChar w:fldCharType="begin"/>
      </w:r>
      <w:r w:rsidR="00815AB3">
        <w:instrText xml:space="preserve"> REF _Ref304470303 \h </w:instrText>
      </w:r>
      <w:r>
        <w:fldChar w:fldCharType="separate"/>
      </w:r>
      <w:r w:rsidR="00815AB3">
        <w:t xml:space="preserve">Figure </w:t>
      </w:r>
      <w:r w:rsidR="00815AB3">
        <w:rPr>
          <w:noProof/>
        </w:rPr>
        <w:t>12</w:t>
      </w:r>
      <w:r>
        <w:fldChar w:fldCharType="end"/>
      </w:r>
      <w:r w:rsidR="00815AB3">
        <w:t xml:space="preserve"> </w:t>
      </w:r>
      <w:r>
        <w:fldChar w:fldCharType="begin"/>
      </w:r>
      <w:r w:rsidR="00815AB3">
        <w:instrText xml:space="preserve"> REF _Ref304470303 \p \h </w:instrText>
      </w:r>
      <w:r>
        <w:fldChar w:fldCharType="separate"/>
      </w:r>
      <w:r w:rsidR="00815AB3">
        <w:t>below</w:t>
      </w:r>
      <w:r>
        <w:fldChar w:fldCharType="end"/>
      </w:r>
      <w:r w:rsidR="00C018E6">
        <w:t xml:space="preserve"> when the dyadic (...) button is clicked.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21"/>
        <w:gridCol w:w="4621"/>
      </w:tblGrid>
      <w:tr w:rsidR="00595F5A" w:rsidTr="00C018E6">
        <w:trPr>
          <w:trHeight w:val="3030"/>
        </w:trPr>
        <w:tc>
          <w:tcPr>
            <w:tcW w:w="4621" w:type="dxa"/>
          </w:tcPr>
          <w:p w:rsidR="00595F5A" w:rsidRDefault="00595F5A" w:rsidP="00595F5A">
            <w:pPr>
              <w:keepNext/>
              <w:jc w:val="center"/>
            </w:pPr>
            <w:r w:rsidRPr="00315BD2">
              <w:rPr>
                <w:noProof/>
                <w:lang w:eastAsia="en-AU"/>
              </w:rPr>
              <w:lastRenderedPageBreak/>
              <w:drawing>
                <wp:inline distT="0" distB="0" distL="0" distR="0">
                  <wp:extent cx="1228439" cy="1873404"/>
                  <wp:effectExtent l="19050" t="0" r="0" b="0"/>
                  <wp:docPr id="21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6605" cy="188585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95F5A" w:rsidRDefault="00595F5A" w:rsidP="00595F5A">
            <w:pPr>
              <w:pStyle w:val="Caption"/>
              <w:jc w:val="center"/>
            </w:pPr>
            <w:bookmarkStart w:id="4" w:name="_Ref304470251"/>
            <w:r>
              <w:t xml:space="preserve">Figure </w:t>
            </w:r>
            <w:fldSimple w:instr=" SEQ Figure \* ARABIC ">
              <w:r w:rsidR="00F445D0">
                <w:rPr>
                  <w:noProof/>
                </w:rPr>
                <w:t>11</w:t>
              </w:r>
            </w:fldSimple>
            <w:bookmarkEnd w:id="4"/>
          </w:p>
        </w:tc>
        <w:tc>
          <w:tcPr>
            <w:tcW w:w="4621" w:type="dxa"/>
          </w:tcPr>
          <w:p w:rsidR="00595F5A" w:rsidRDefault="00595F5A" w:rsidP="00595F5A">
            <w:pPr>
              <w:keepNext/>
              <w:jc w:val="center"/>
            </w:pPr>
            <w:r>
              <w:rPr>
                <w:noProof/>
                <w:lang w:eastAsia="en-AU"/>
              </w:rPr>
              <w:drawing>
                <wp:inline distT="0" distB="0" distL="0" distR="0">
                  <wp:extent cx="1241607" cy="1873404"/>
                  <wp:effectExtent l="19050" t="0" r="0" b="0"/>
                  <wp:docPr id="22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7963" cy="18829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95F5A" w:rsidRDefault="00595F5A" w:rsidP="00595F5A">
            <w:pPr>
              <w:pStyle w:val="Caption"/>
              <w:jc w:val="center"/>
            </w:pPr>
            <w:bookmarkStart w:id="5" w:name="_Ref304470303"/>
            <w:r>
              <w:t xml:space="preserve">Figure </w:t>
            </w:r>
            <w:fldSimple w:instr=" SEQ Figure \* ARABIC ">
              <w:r w:rsidR="00F445D0">
                <w:rPr>
                  <w:noProof/>
                </w:rPr>
                <w:t>12</w:t>
              </w:r>
            </w:fldSimple>
            <w:bookmarkEnd w:id="5"/>
          </w:p>
        </w:tc>
      </w:tr>
    </w:tbl>
    <w:p w:rsidR="00595F5A" w:rsidRPr="00595F5A" w:rsidRDefault="00595F5A" w:rsidP="00595F5A"/>
    <w:p w:rsidR="009A5AFB" w:rsidRPr="009A5AFB" w:rsidRDefault="00E70894" w:rsidP="009A5AFB">
      <w:r>
        <w:t xml:space="preserve">See Chapter </w:t>
      </w:r>
      <w:r w:rsidR="009A5F97">
        <w:t>4</w:t>
      </w:r>
      <w:r>
        <w:t xml:space="preserve"> for more detail on this custom interface.</w:t>
      </w:r>
    </w:p>
    <w:p w:rsidR="00334854" w:rsidRDefault="00334854" w:rsidP="00334854">
      <w:pPr>
        <w:pStyle w:val="Heading3"/>
      </w:pPr>
      <w:r>
        <w:t>Update</w:t>
      </w:r>
    </w:p>
    <w:p w:rsidR="008E0F04" w:rsidRDefault="009A5AFB" w:rsidP="008E0F04">
      <w:r w:rsidRPr="008E0F04">
        <w:rPr>
          <w:b/>
        </w:rPr>
        <w:t>Column Headers</w:t>
      </w:r>
      <w:r w:rsidR="005831E9">
        <w:t xml:space="preserve">, </w:t>
      </w:r>
      <w:r w:rsidRPr="008E0F04">
        <w:rPr>
          <w:b/>
        </w:rPr>
        <w:t>Generate Person</w:t>
      </w:r>
      <w:r w:rsidR="005831E9">
        <w:t xml:space="preserve">, </w:t>
      </w:r>
      <w:r w:rsidRPr="008E0F04">
        <w:rPr>
          <w:b/>
        </w:rPr>
        <w:t>Clean Roles</w:t>
      </w:r>
      <w:r>
        <w:t xml:space="preserve"> </w:t>
      </w:r>
      <w:r w:rsidR="005831E9">
        <w:t xml:space="preserve">and </w:t>
      </w:r>
      <w:r w:rsidRPr="008E0F04">
        <w:rPr>
          <w:b/>
        </w:rPr>
        <w:t>New system</w:t>
      </w:r>
      <w:r>
        <w:t xml:space="preserve"> </w:t>
      </w:r>
      <w:r w:rsidR="008E0F04">
        <w:t>do not have a dialog or form for the user to interact with.</w:t>
      </w:r>
    </w:p>
    <w:p w:rsidR="00E733A5" w:rsidRDefault="009A5AFB" w:rsidP="008E0F04">
      <w:r w:rsidRPr="008E0F04">
        <w:rPr>
          <w:b/>
        </w:rPr>
        <w:t>Column Restructure</w:t>
      </w:r>
      <w:r w:rsidR="008E0F04" w:rsidRPr="008E0F04">
        <w:t xml:space="preserve"> initially copies data over to a temporary spreadsheet followed by </w:t>
      </w:r>
      <w:r w:rsidR="00BF620D">
        <w:fldChar w:fldCharType="begin"/>
      </w:r>
      <w:r w:rsidR="005831E9">
        <w:instrText xml:space="preserve"> REF _Ref304538302 \h </w:instrText>
      </w:r>
      <w:r w:rsidR="00BF620D">
        <w:fldChar w:fldCharType="separate"/>
      </w:r>
      <w:r w:rsidR="005831E9">
        <w:t xml:space="preserve">Figure </w:t>
      </w:r>
      <w:r w:rsidR="005831E9">
        <w:rPr>
          <w:noProof/>
        </w:rPr>
        <w:t>13</w:t>
      </w:r>
      <w:r w:rsidR="00BF620D">
        <w:fldChar w:fldCharType="end"/>
      </w:r>
      <w:r w:rsidR="005831E9">
        <w:t xml:space="preserve"> </w:t>
      </w:r>
      <w:r w:rsidR="00BF620D">
        <w:fldChar w:fldCharType="begin"/>
      </w:r>
      <w:r w:rsidR="005831E9">
        <w:instrText xml:space="preserve"> REF _Ref304538302 \p \h </w:instrText>
      </w:r>
      <w:r w:rsidR="00BF620D">
        <w:fldChar w:fldCharType="separate"/>
      </w:r>
      <w:r w:rsidR="005831E9">
        <w:t>below</w:t>
      </w:r>
      <w:r w:rsidR="00BF620D">
        <w:fldChar w:fldCharType="end"/>
      </w:r>
      <w:r w:rsidR="005831E9">
        <w:t>. The dialog allows the user to move, add and delete complete columns in the data sets.</w:t>
      </w:r>
    </w:p>
    <w:p w:rsidR="004F229A" w:rsidRDefault="00E733A5" w:rsidP="006D35C8">
      <w:pPr>
        <w:keepNext/>
        <w:jc w:val="center"/>
      </w:pPr>
      <w:r>
        <w:rPr>
          <w:noProof/>
          <w:lang w:eastAsia="en-AU"/>
        </w:rPr>
        <w:drawing>
          <wp:inline distT="0" distB="0" distL="0" distR="0">
            <wp:extent cx="1564449" cy="245513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8765" cy="24619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33A5" w:rsidRDefault="004F229A" w:rsidP="006D35C8">
      <w:pPr>
        <w:pStyle w:val="Caption"/>
        <w:jc w:val="center"/>
      </w:pPr>
      <w:bookmarkStart w:id="6" w:name="_Ref304538302"/>
      <w:r>
        <w:t xml:space="preserve">Figure </w:t>
      </w:r>
      <w:fldSimple w:instr=" SEQ Figure \* ARABIC ">
        <w:r w:rsidR="00F445D0">
          <w:rPr>
            <w:noProof/>
          </w:rPr>
          <w:t>13</w:t>
        </w:r>
      </w:fldSimple>
      <w:bookmarkEnd w:id="6"/>
    </w:p>
    <w:p w:rsidR="005831E9" w:rsidRPr="005831E9" w:rsidRDefault="005831E9" w:rsidP="005831E9">
      <w:r>
        <w:t xml:space="preserve">When a new column is added, the user can change the headers colour to assist with quick identification of the columns purpose, </w:t>
      </w:r>
      <w:proofErr w:type="spellStart"/>
      <w:r>
        <w:t>eg</w:t>
      </w:r>
      <w:proofErr w:type="spellEnd"/>
      <w:r>
        <w:t xml:space="preserve"> Value extracted from target system.</w:t>
      </w:r>
    </w:p>
    <w:p w:rsidR="006D35C8" w:rsidRDefault="006D35C8" w:rsidP="006D35C8">
      <w:pPr>
        <w:keepNext/>
        <w:jc w:val="center"/>
      </w:pPr>
      <w:r>
        <w:rPr>
          <w:noProof/>
          <w:lang w:eastAsia="en-AU"/>
        </w:rPr>
        <w:lastRenderedPageBreak/>
        <w:drawing>
          <wp:inline distT="0" distB="0" distL="0" distR="0">
            <wp:extent cx="1210940" cy="1054189"/>
            <wp:effectExtent l="19050" t="0" r="826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6409" cy="1058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0054" w:rsidRDefault="006D35C8" w:rsidP="006D35C8">
      <w:pPr>
        <w:jc w:val="center"/>
        <w:rPr>
          <w:b/>
          <w:color w:val="548DD4" w:themeColor="text2" w:themeTint="99"/>
          <w:sz w:val="18"/>
          <w:szCs w:val="18"/>
        </w:rPr>
      </w:pPr>
      <w:r w:rsidRPr="006D35C8">
        <w:rPr>
          <w:b/>
          <w:color w:val="548DD4" w:themeColor="text2" w:themeTint="99"/>
          <w:sz w:val="18"/>
          <w:szCs w:val="18"/>
        </w:rPr>
        <w:t xml:space="preserve">Figure </w:t>
      </w:r>
      <w:r w:rsidR="00BF620D" w:rsidRPr="006D35C8">
        <w:rPr>
          <w:b/>
          <w:color w:val="548DD4" w:themeColor="text2" w:themeTint="99"/>
          <w:sz w:val="18"/>
          <w:szCs w:val="18"/>
        </w:rPr>
        <w:fldChar w:fldCharType="begin"/>
      </w:r>
      <w:r w:rsidRPr="006D35C8">
        <w:rPr>
          <w:b/>
          <w:color w:val="548DD4" w:themeColor="text2" w:themeTint="99"/>
          <w:sz w:val="18"/>
          <w:szCs w:val="18"/>
        </w:rPr>
        <w:instrText xml:space="preserve"> SEQ Figure \* ARABIC </w:instrText>
      </w:r>
      <w:r w:rsidR="00BF620D" w:rsidRPr="006D35C8">
        <w:rPr>
          <w:b/>
          <w:color w:val="548DD4" w:themeColor="text2" w:themeTint="99"/>
          <w:sz w:val="18"/>
          <w:szCs w:val="18"/>
        </w:rPr>
        <w:fldChar w:fldCharType="separate"/>
      </w:r>
      <w:r w:rsidR="00F445D0">
        <w:rPr>
          <w:b/>
          <w:noProof/>
          <w:color w:val="548DD4" w:themeColor="text2" w:themeTint="99"/>
          <w:sz w:val="18"/>
          <w:szCs w:val="18"/>
        </w:rPr>
        <w:t>14</w:t>
      </w:r>
      <w:r w:rsidR="00BF620D" w:rsidRPr="006D35C8">
        <w:rPr>
          <w:b/>
          <w:color w:val="548DD4" w:themeColor="text2" w:themeTint="99"/>
          <w:sz w:val="18"/>
          <w:szCs w:val="18"/>
        </w:rPr>
        <w:fldChar w:fldCharType="end"/>
      </w:r>
    </w:p>
    <w:p w:rsidR="003933B1" w:rsidRPr="003933B1" w:rsidRDefault="003933B1" w:rsidP="003933B1">
      <w:r>
        <w:t xml:space="preserve">See Chapter 8 for more detail on </w:t>
      </w:r>
      <w:r w:rsidR="00D96825">
        <w:t>restructuring</w:t>
      </w:r>
      <w:r>
        <w:t xml:space="preserve"> data </w:t>
      </w:r>
      <w:r w:rsidR="00D96825">
        <w:t>columns</w:t>
      </w:r>
      <w:r>
        <w:t>.</w:t>
      </w:r>
    </w:p>
    <w:p w:rsidR="00D346D9" w:rsidRPr="00334854" w:rsidRDefault="00D346D9" w:rsidP="00D346D9">
      <w:pPr>
        <w:pStyle w:val="Heading3"/>
      </w:pPr>
      <w:r>
        <w:t>View</w:t>
      </w:r>
    </w:p>
    <w:p w:rsidR="00D346D9" w:rsidRDefault="005374D5" w:rsidP="005374D5">
      <w:r>
        <w:t>View provides the ability to filter the sheets in the master spreadsheet by payroll or by sheet name.</w:t>
      </w:r>
      <w:r w:rsidR="005831E9">
        <w:t xml:space="preserve"> The dialogs in </w:t>
      </w:r>
      <w:r w:rsidR="00BF620D">
        <w:fldChar w:fldCharType="begin"/>
      </w:r>
      <w:r w:rsidR="005831E9">
        <w:instrText xml:space="preserve"> REF _Ref304538437 \h </w:instrText>
      </w:r>
      <w:r w:rsidR="00BF620D">
        <w:fldChar w:fldCharType="separate"/>
      </w:r>
      <w:r w:rsidR="005831E9">
        <w:t xml:space="preserve">Figure </w:t>
      </w:r>
      <w:r w:rsidR="005831E9">
        <w:rPr>
          <w:noProof/>
        </w:rPr>
        <w:t>15</w:t>
      </w:r>
      <w:r w:rsidR="00BF620D">
        <w:fldChar w:fldCharType="end"/>
      </w:r>
      <w:r w:rsidR="005831E9">
        <w:t xml:space="preserve"> and </w:t>
      </w:r>
      <w:r w:rsidR="00BF620D">
        <w:fldChar w:fldCharType="begin"/>
      </w:r>
      <w:r w:rsidR="005831E9">
        <w:instrText xml:space="preserve"> REF _Ref304538446 \h </w:instrText>
      </w:r>
      <w:r w:rsidR="00BF620D">
        <w:fldChar w:fldCharType="separate"/>
      </w:r>
      <w:r w:rsidR="005831E9">
        <w:t xml:space="preserve">Figure </w:t>
      </w:r>
      <w:r w:rsidR="005831E9">
        <w:rPr>
          <w:noProof/>
        </w:rPr>
        <w:t>16</w:t>
      </w:r>
      <w:r w:rsidR="00BF620D">
        <w:fldChar w:fldCharType="end"/>
      </w:r>
      <w:r w:rsidR="005831E9">
        <w:t xml:space="preserve"> </w:t>
      </w:r>
      <w:r w:rsidR="00BF620D">
        <w:fldChar w:fldCharType="begin"/>
      </w:r>
      <w:r w:rsidR="005831E9">
        <w:instrText xml:space="preserve"> REF _Ref304538437 \h </w:instrText>
      </w:r>
      <w:r w:rsidR="00BF620D">
        <w:fldChar w:fldCharType="end"/>
      </w:r>
      <w:r w:rsidR="00BF620D">
        <w:fldChar w:fldCharType="begin"/>
      </w:r>
      <w:r w:rsidR="005831E9">
        <w:instrText xml:space="preserve"> REF _Ref304538437 \p \h </w:instrText>
      </w:r>
      <w:r w:rsidR="00BF620D">
        <w:fldChar w:fldCharType="separate"/>
      </w:r>
      <w:r w:rsidR="005831E9">
        <w:t>below</w:t>
      </w:r>
      <w:r w:rsidR="00BF620D">
        <w:fldChar w:fldCharType="end"/>
      </w:r>
      <w:r w:rsidR="005831E9">
        <w:t xml:space="preserve"> allow a user to focus on a specific payroll or a specific tab.</w:t>
      </w:r>
    </w:p>
    <w:p w:rsidR="004F229A" w:rsidRDefault="00E733A5" w:rsidP="006D35C8">
      <w:pPr>
        <w:keepNext/>
        <w:jc w:val="center"/>
      </w:pPr>
      <w:r>
        <w:rPr>
          <w:noProof/>
          <w:lang w:eastAsia="en-AU"/>
        </w:rPr>
        <w:drawing>
          <wp:inline distT="0" distB="0" distL="0" distR="0">
            <wp:extent cx="1347291" cy="1804524"/>
            <wp:effectExtent l="19050" t="0" r="5259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0179" cy="18083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33A5" w:rsidRDefault="004F229A" w:rsidP="006D35C8">
      <w:pPr>
        <w:pStyle w:val="Caption"/>
        <w:jc w:val="center"/>
      </w:pPr>
      <w:bookmarkStart w:id="7" w:name="_Ref304538437"/>
      <w:r>
        <w:t xml:space="preserve">Figure </w:t>
      </w:r>
      <w:fldSimple w:instr=" SEQ Figure \* ARABIC ">
        <w:r w:rsidR="00F445D0">
          <w:rPr>
            <w:noProof/>
          </w:rPr>
          <w:t>15</w:t>
        </w:r>
      </w:fldSimple>
      <w:bookmarkEnd w:id="7"/>
    </w:p>
    <w:p w:rsidR="00553E19" w:rsidRPr="00553E19" w:rsidRDefault="00553E19" w:rsidP="00553E19">
      <w:r>
        <w:t xml:space="preserve">Tab List in </w:t>
      </w:r>
      <w:r w:rsidR="00BF620D">
        <w:fldChar w:fldCharType="begin"/>
      </w:r>
      <w:r>
        <w:instrText xml:space="preserve"> REF _Ref304538446 \h </w:instrText>
      </w:r>
      <w:r w:rsidR="00BF620D">
        <w:fldChar w:fldCharType="separate"/>
      </w:r>
      <w:r>
        <w:t xml:space="preserve">Figure </w:t>
      </w:r>
      <w:r>
        <w:rPr>
          <w:noProof/>
        </w:rPr>
        <w:t>16</w:t>
      </w:r>
      <w:r w:rsidR="00BF620D">
        <w:fldChar w:fldCharType="end"/>
      </w:r>
      <w:r>
        <w:t xml:space="preserve"> </w:t>
      </w:r>
      <w:r w:rsidR="00BF620D">
        <w:fldChar w:fldCharType="begin"/>
      </w:r>
      <w:r>
        <w:instrText xml:space="preserve"> REF _Ref304538446 \p \h </w:instrText>
      </w:r>
      <w:r w:rsidR="00BF620D">
        <w:fldChar w:fldCharType="separate"/>
      </w:r>
      <w:r>
        <w:t>below</w:t>
      </w:r>
      <w:r w:rsidR="00BF620D">
        <w:fldChar w:fldCharType="end"/>
      </w:r>
      <w:r>
        <w:t xml:space="preserve"> is based on the names given by either the spreadsheet (</w:t>
      </w:r>
      <w:proofErr w:type="spellStart"/>
      <w:r>
        <w:t>eg</w:t>
      </w:r>
      <w:proofErr w:type="spellEnd"/>
      <w:r>
        <w:t xml:space="preserve"> Sheet 1) or by the user (</w:t>
      </w:r>
      <w:proofErr w:type="spellStart"/>
      <w:r>
        <w:t>eg</w:t>
      </w:r>
      <w:proofErr w:type="spellEnd"/>
      <w:r>
        <w:t xml:space="preserve"> </w:t>
      </w:r>
      <w:proofErr w:type="spellStart"/>
      <w:r>
        <w:t>ACHire</w:t>
      </w:r>
      <w:proofErr w:type="spellEnd"/>
      <w:r>
        <w:t>). The extra features of this dialog enhance its usage by including the ability to hide the rest and/or activate the sheet.</w:t>
      </w:r>
    </w:p>
    <w:p w:rsidR="00233C97" w:rsidRDefault="00315BD2" w:rsidP="00233C97">
      <w:pPr>
        <w:keepNext/>
        <w:jc w:val="center"/>
      </w:pPr>
      <w:r w:rsidRPr="00315BD2">
        <w:rPr>
          <w:noProof/>
          <w:lang w:eastAsia="en-AU"/>
        </w:rPr>
        <w:drawing>
          <wp:inline distT="0" distB="0" distL="0" distR="0">
            <wp:extent cx="1331521" cy="1747880"/>
            <wp:effectExtent l="19050" t="0" r="1979" b="0"/>
            <wp:docPr id="12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2899" cy="17628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220E" w:rsidRDefault="00233C97" w:rsidP="00AC1ADF">
      <w:pPr>
        <w:pStyle w:val="Caption"/>
        <w:jc w:val="center"/>
      </w:pPr>
      <w:bookmarkStart w:id="8" w:name="_Ref304538446"/>
      <w:r>
        <w:t xml:space="preserve">Figure </w:t>
      </w:r>
      <w:fldSimple w:instr=" SEQ Figure \* ARABIC ">
        <w:r w:rsidR="00F445D0">
          <w:rPr>
            <w:noProof/>
          </w:rPr>
          <w:t>16</w:t>
        </w:r>
      </w:fldSimple>
      <w:bookmarkEnd w:id="8"/>
    </w:p>
    <w:p w:rsidR="00D96825" w:rsidRPr="00BF4020" w:rsidRDefault="00D96825" w:rsidP="00D96825">
      <w:pPr>
        <w:jc w:val="center"/>
      </w:pPr>
      <w:proofErr w:type="gramStart"/>
      <w:r>
        <w:t>...</w:t>
      </w:r>
      <w:proofErr w:type="spellStart"/>
      <w:r>
        <w:t>oooOOOooo</w:t>
      </w:r>
      <w:proofErr w:type="spellEnd"/>
      <w:r>
        <w:t>...</w:t>
      </w:r>
      <w:proofErr w:type="gramEnd"/>
    </w:p>
    <w:p w:rsidR="00D96825" w:rsidRPr="00D96825" w:rsidRDefault="00D96825" w:rsidP="00D96825"/>
    <w:sectPr w:rsidR="00D96825" w:rsidRPr="00D96825" w:rsidSect="00C5220E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33523" w:rsidRDefault="00633523" w:rsidP="00597972">
      <w:pPr>
        <w:spacing w:after="0" w:line="240" w:lineRule="auto"/>
      </w:pPr>
      <w:r>
        <w:separator/>
      </w:r>
    </w:p>
  </w:endnote>
  <w:endnote w:type="continuationSeparator" w:id="0">
    <w:p w:rsidR="00633523" w:rsidRDefault="00633523" w:rsidP="005979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754D" w:rsidRDefault="00FC754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112768"/>
      <w:docPartObj>
        <w:docPartGallery w:val="Page Numbers (Bottom of Page)"/>
        <w:docPartUnique/>
      </w:docPartObj>
    </w:sdtPr>
    <w:sdtContent>
      <w:sdt>
        <w:sdtPr>
          <w:id w:val="565050477"/>
          <w:docPartObj>
            <w:docPartGallery w:val="Page Numbers (Top of Page)"/>
            <w:docPartUnique/>
          </w:docPartObj>
        </w:sdtPr>
        <w:sdtContent>
          <w:p w:rsidR="00FC754D" w:rsidRDefault="00FC754D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noProof/>
              </w:rPr>
              <w:t>1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noProof/>
              </w:rPr>
              <w:t>7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FC754D" w:rsidRDefault="00FC754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754D" w:rsidRDefault="00FC754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33523" w:rsidRDefault="00633523" w:rsidP="00597972">
      <w:pPr>
        <w:spacing w:after="0" w:line="240" w:lineRule="auto"/>
      </w:pPr>
      <w:r>
        <w:separator/>
      </w:r>
    </w:p>
  </w:footnote>
  <w:footnote w:type="continuationSeparator" w:id="0">
    <w:p w:rsidR="00633523" w:rsidRDefault="00633523" w:rsidP="005979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754D" w:rsidRDefault="00FC754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754D" w:rsidRDefault="00FC754D" w:rsidP="00FC754D">
    <w:pPr>
      <w:pStyle w:val="Title"/>
    </w:pPr>
    <w:r>
      <w:t>Excel Master Spreadsheet User Manual – 03 User Interface Overview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754D" w:rsidRDefault="00FC754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07DEB"/>
    <w:multiLevelType w:val="hybridMultilevel"/>
    <w:tmpl w:val="D918276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CC0765"/>
    <w:multiLevelType w:val="hybridMultilevel"/>
    <w:tmpl w:val="C90A3FD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AA724ED"/>
    <w:multiLevelType w:val="hybridMultilevel"/>
    <w:tmpl w:val="9B6C187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733A5"/>
    <w:rsid w:val="00015BED"/>
    <w:rsid w:val="00072D86"/>
    <w:rsid w:val="000A0BBA"/>
    <w:rsid w:val="000A6891"/>
    <w:rsid w:val="001673E9"/>
    <w:rsid w:val="00233C97"/>
    <w:rsid w:val="0029278B"/>
    <w:rsid w:val="002A3553"/>
    <w:rsid w:val="002D068F"/>
    <w:rsid w:val="002E24BA"/>
    <w:rsid w:val="00315BD2"/>
    <w:rsid w:val="003330F0"/>
    <w:rsid w:val="00334854"/>
    <w:rsid w:val="003933B1"/>
    <w:rsid w:val="003A4369"/>
    <w:rsid w:val="003C655B"/>
    <w:rsid w:val="004921D0"/>
    <w:rsid w:val="004A2BD4"/>
    <w:rsid w:val="004F229A"/>
    <w:rsid w:val="00536F78"/>
    <w:rsid w:val="005374D5"/>
    <w:rsid w:val="005377FF"/>
    <w:rsid w:val="00553E19"/>
    <w:rsid w:val="005574E9"/>
    <w:rsid w:val="005720F3"/>
    <w:rsid w:val="005831E9"/>
    <w:rsid w:val="00595F5A"/>
    <w:rsid w:val="00597972"/>
    <w:rsid w:val="005B4C14"/>
    <w:rsid w:val="00632868"/>
    <w:rsid w:val="00633523"/>
    <w:rsid w:val="006D35C8"/>
    <w:rsid w:val="00764BA2"/>
    <w:rsid w:val="007977F2"/>
    <w:rsid w:val="007D03B2"/>
    <w:rsid w:val="007F035D"/>
    <w:rsid w:val="007F50C9"/>
    <w:rsid w:val="008069F4"/>
    <w:rsid w:val="00815AB3"/>
    <w:rsid w:val="0083657C"/>
    <w:rsid w:val="00854176"/>
    <w:rsid w:val="008701E0"/>
    <w:rsid w:val="008A12D3"/>
    <w:rsid w:val="008B3D52"/>
    <w:rsid w:val="008D1248"/>
    <w:rsid w:val="008E0F04"/>
    <w:rsid w:val="00970C42"/>
    <w:rsid w:val="0098354C"/>
    <w:rsid w:val="009A5AFB"/>
    <w:rsid w:val="009A5F97"/>
    <w:rsid w:val="009B3BDA"/>
    <w:rsid w:val="009F1C7B"/>
    <w:rsid w:val="00A62EDD"/>
    <w:rsid w:val="00AC1ADF"/>
    <w:rsid w:val="00AE25B3"/>
    <w:rsid w:val="00AF7F3F"/>
    <w:rsid w:val="00B142A7"/>
    <w:rsid w:val="00B50054"/>
    <w:rsid w:val="00B8539E"/>
    <w:rsid w:val="00BF620D"/>
    <w:rsid w:val="00C018E6"/>
    <w:rsid w:val="00C44E9D"/>
    <w:rsid w:val="00C5220E"/>
    <w:rsid w:val="00C87D81"/>
    <w:rsid w:val="00CB4921"/>
    <w:rsid w:val="00D346D9"/>
    <w:rsid w:val="00D440E2"/>
    <w:rsid w:val="00D72248"/>
    <w:rsid w:val="00D73B9A"/>
    <w:rsid w:val="00D96825"/>
    <w:rsid w:val="00DF260F"/>
    <w:rsid w:val="00E11CAF"/>
    <w:rsid w:val="00E70894"/>
    <w:rsid w:val="00E733A5"/>
    <w:rsid w:val="00EE755A"/>
    <w:rsid w:val="00EF3F72"/>
    <w:rsid w:val="00F445D0"/>
    <w:rsid w:val="00F73A8C"/>
    <w:rsid w:val="00FA3A5E"/>
    <w:rsid w:val="00FC754D"/>
    <w:rsid w:val="00FE1088"/>
    <w:rsid w:val="00FF3B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33A5"/>
  </w:style>
  <w:style w:type="paragraph" w:styleId="Heading1">
    <w:name w:val="heading 1"/>
    <w:basedOn w:val="Normal"/>
    <w:next w:val="Normal"/>
    <w:link w:val="Heading1Char"/>
    <w:uiPriority w:val="9"/>
    <w:qFormat/>
    <w:rsid w:val="009B3BD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40E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33A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733A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33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33A5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4F229A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9B3BD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440E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9797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9797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97972"/>
    <w:rPr>
      <w:vertAlign w:val="superscript"/>
    </w:rPr>
  </w:style>
  <w:style w:type="paragraph" w:styleId="ListParagraph">
    <w:name w:val="List Paragraph"/>
    <w:basedOn w:val="Normal"/>
    <w:uiPriority w:val="34"/>
    <w:qFormat/>
    <w:rsid w:val="00CB4921"/>
    <w:pPr>
      <w:ind w:left="720"/>
      <w:contextualSpacing/>
    </w:pPr>
  </w:style>
  <w:style w:type="table" w:styleId="TableGrid">
    <w:name w:val="Table Grid"/>
    <w:basedOn w:val="TableNormal"/>
    <w:uiPriority w:val="59"/>
    <w:rsid w:val="00595F5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8701E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701E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semiHidden/>
    <w:unhideWhenUsed/>
    <w:rsid w:val="00FC75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C754D"/>
  </w:style>
  <w:style w:type="paragraph" w:styleId="Footer">
    <w:name w:val="footer"/>
    <w:basedOn w:val="Normal"/>
    <w:link w:val="FooterChar"/>
    <w:uiPriority w:val="99"/>
    <w:unhideWhenUsed/>
    <w:rsid w:val="00FC75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754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144BBB-CF53-4A5F-AC74-8C703A9036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603</TotalTime>
  <Pages>7</Pages>
  <Words>1010</Words>
  <Characters>5762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Centrelink</Company>
  <LinksUpToDate>false</LinksUpToDate>
  <CharactersWithSpaces>6759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Hicks</dc:creator>
  <cp:keywords/>
  <dc:description/>
  <cp:lastModifiedBy>SGH214</cp:lastModifiedBy>
  <cp:revision>39</cp:revision>
  <dcterms:created xsi:type="dcterms:W3CDTF">2011-09-08T22:11:00Z</dcterms:created>
  <dcterms:modified xsi:type="dcterms:W3CDTF">2012-11-22T03:09:00Z</dcterms:modified>
</cp:coreProperties>
</file>