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55BA" w14:textId="77777777" w:rsidR="001256A9" w:rsidRPr="001256A9" w:rsidRDefault="00AC7447" w:rsidP="00BA032A">
      <w:r w:rsidRPr="00AC7447">
        <w:rPr>
          <w:b/>
          <w:u w:val="single"/>
        </w:rPr>
        <w:t>Problem:</w:t>
      </w:r>
      <w:r>
        <w:t xml:space="preserve"> </w:t>
      </w:r>
      <w:r w:rsidR="002B2D2B">
        <w:rPr>
          <w:i/>
        </w:rPr>
        <w:t xml:space="preserve">Water </w:t>
      </w:r>
      <w:r w:rsidR="00484394">
        <w:rPr>
          <w:i/>
        </w:rPr>
        <w:t>Plans</w:t>
      </w:r>
    </w:p>
    <w:p w14:paraId="4A029CA8" w14:textId="77777777" w:rsidR="00AC7447" w:rsidRDefault="00AC7447" w:rsidP="00BA032A"/>
    <w:p w14:paraId="6140BBEF" w14:textId="77777777" w:rsidR="00EA4367" w:rsidRPr="00AC7447" w:rsidRDefault="00EA4367" w:rsidP="00EA4367">
      <w:pPr>
        <w:rPr>
          <w:b/>
          <w:u w:val="single"/>
        </w:rPr>
      </w:pPr>
      <w:r>
        <w:rPr>
          <w:b/>
          <w:u w:val="single"/>
        </w:rPr>
        <w:t>Statement</w:t>
      </w:r>
      <w:r w:rsidRPr="00AC7447">
        <w:rPr>
          <w:b/>
          <w:u w:val="single"/>
        </w:rPr>
        <w:t>:</w:t>
      </w:r>
    </w:p>
    <w:p w14:paraId="0B76B70A" w14:textId="77777777" w:rsidR="00EA4367" w:rsidRDefault="0078715D" w:rsidP="0078715D">
      <w:pPr>
        <w:tabs>
          <w:tab w:val="left" w:pos="5882"/>
        </w:tabs>
      </w:pPr>
      <w:r>
        <w:tab/>
      </w:r>
    </w:p>
    <w:p w14:paraId="6458ADBB" w14:textId="77777777" w:rsidR="00484394" w:rsidRDefault="002B2D2B" w:rsidP="002B2D2B">
      <w:pPr>
        <w:ind w:left="360"/>
      </w:pPr>
      <w:r>
        <w:t>The United Nations 1992 Earth Summit at Rio de Janeiro introduced Agenda-21; Chapter 18 has become an international guideline for</w:t>
      </w:r>
      <w:r w:rsidR="00484394">
        <w:t xml:space="preserve"> water resources planning and management.</w:t>
      </w:r>
    </w:p>
    <w:p w14:paraId="390DDA7E" w14:textId="77777777" w:rsidR="00484394" w:rsidRDefault="00484394" w:rsidP="002B2D2B">
      <w:pPr>
        <w:ind w:left="360"/>
      </w:pPr>
    </w:p>
    <w:p w14:paraId="6383DB67" w14:textId="77777777" w:rsidR="002B2D2B" w:rsidRDefault="00C10BB4" w:rsidP="006F5F90">
      <w:pPr>
        <w:ind w:left="360"/>
      </w:pPr>
      <w:r>
        <w:t>Since that time, t</w:t>
      </w:r>
      <w:r w:rsidR="002B2D2B">
        <w:t xml:space="preserve">here </w:t>
      </w:r>
      <w:r>
        <w:t>have been numerous</w:t>
      </w:r>
      <w:r w:rsidR="00986D26">
        <w:t xml:space="preserve"> </w:t>
      </w:r>
      <w:r w:rsidR="002B2D2B">
        <w:t xml:space="preserve">examples of water resources planning in the United States and internationally. </w:t>
      </w:r>
      <w:r w:rsidR="00986D26">
        <w:t>For</w:t>
      </w:r>
      <w:r w:rsidR="002B2D2B">
        <w:t xml:space="preserve"> this assignment, we will </w:t>
      </w:r>
      <w:r w:rsidR="00986D26">
        <w:t>examine the following</w:t>
      </w:r>
      <w:r w:rsidR="002B2D2B">
        <w:t xml:space="preserve"> </w:t>
      </w:r>
      <w:r w:rsidR="00986D26">
        <w:t>water plans</w:t>
      </w:r>
      <w:r w:rsidR="002B2D2B">
        <w:t>:</w:t>
      </w:r>
    </w:p>
    <w:p w14:paraId="5484F122" w14:textId="77777777" w:rsidR="002B2D2B" w:rsidRDefault="002B2D2B" w:rsidP="006F5F90">
      <w:pPr>
        <w:ind w:left="360"/>
      </w:pPr>
    </w:p>
    <w:p w14:paraId="0B2382B7" w14:textId="77777777" w:rsidR="00986D26" w:rsidRDefault="00986D26" w:rsidP="00986D26">
      <w:pPr>
        <w:pStyle w:val="ListParagraph"/>
        <w:numPr>
          <w:ilvl w:val="0"/>
          <w:numId w:val="24"/>
        </w:numPr>
      </w:pPr>
      <w:r>
        <w:t xml:space="preserve">Turkey River </w:t>
      </w:r>
      <w:r w:rsidR="00484394">
        <w:t xml:space="preserve">Watershed </w:t>
      </w:r>
      <w:r>
        <w:t>(Iowa)</w:t>
      </w:r>
    </w:p>
    <w:p w14:paraId="6C5A6664" w14:textId="77777777" w:rsidR="00986D26" w:rsidRDefault="00986D26" w:rsidP="00986D26">
      <w:pPr>
        <w:pStyle w:val="ListParagraph"/>
        <w:numPr>
          <w:ilvl w:val="0"/>
          <w:numId w:val="24"/>
        </w:numPr>
      </w:pPr>
      <w:r>
        <w:t>State of California (2013 Plan)</w:t>
      </w:r>
    </w:p>
    <w:p w14:paraId="63170835" w14:textId="77777777" w:rsidR="00986D26" w:rsidRDefault="00986D26" w:rsidP="00986D26">
      <w:pPr>
        <w:pStyle w:val="ListParagraph"/>
        <w:numPr>
          <w:ilvl w:val="0"/>
          <w:numId w:val="24"/>
        </w:numPr>
      </w:pPr>
      <w:r>
        <w:t>State of Texas (2017 Plan)</w:t>
      </w:r>
    </w:p>
    <w:p w14:paraId="05A2B917" w14:textId="77777777" w:rsidR="00986D26" w:rsidRDefault="00986D26" w:rsidP="00986D26">
      <w:pPr>
        <w:pStyle w:val="ListParagraph"/>
        <w:numPr>
          <w:ilvl w:val="0"/>
          <w:numId w:val="24"/>
        </w:numPr>
      </w:pPr>
      <w:r>
        <w:t>India (Twelfth Five-Year Plan)</w:t>
      </w:r>
    </w:p>
    <w:p w14:paraId="4EA3670B" w14:textId="77777777" w:rsidR="00986D26" w:rsidRDefault="00986D26" w:rsidP="00986D26"/>
    <w:p w14:paraId="6DB4F9F8" w14:textId="77777777" w:rsidR="00986D26" w:rsidRDefault="00986D26" w:rsidP="00986D26">
      <w:pPr>
        <w:ind w:left="360"/>
      </w:pPr>
      <w:r>
        <w:t>In class, you will pick one to review. After first reviewing portions of Agenda-21 Chapter 18 and your chosen water plan</w:t>
      </w:r>
      <w:r w:rsidR="00C10BB4">
        <w:t xml:space="preserve"> (see ICON Assignment page for details)</w:t>
      </w:r>
      <w:r>
        <w:t>, identify and briefly list (in bullet format):</w:t>
      </w:r>
    </w:p>
    <w:p w14:paraId="52E68B4A" w14:textId="77777777" w:rsidR="00986D26" w:rsidRDefault="00986D26" w:rsidP="00986D26">
      <w:pPr>
        <w:ind w:left="360"/>
      </w:pPr>
    </w:p>
    <w:p w14:paraId="717A7ACF" w14:textId="77777777" w:rsidR="005E10CA" w:rsidRDefault="005E10CA" w:rsidP="00986D26">
      <w:pPr>
        <w:pStyle w:val="ListParagraph"/>
        <w:numPr>
          <w:ilvl w:val="0"/>
          <w:numId w:val="23"/>
        </w:numPr>
      </w:pPr>
      <w:r>
        <w:t>List suggested processes and methodologies (in bullet format) for water planning from Agenda-21 Chapter 18.</w:t>
      </w:r>
    </w:p>
    <w:p w14:paraId="02C64ABE" w14:textId="77777777" w:rsidR="00986D26" w:rsidRDefault="005E10CA" w:rsidP="00986D26">
      <w:pPr>
        <w:pStyle w:val="ListParagraph"/>
        <w:numPr>
          <w:ilvl w:val="0"/>
          <w:numId w:val="23"/>
        </w:numPr>
      </w:pPr>
      <w:r>
        <w:t>List the c</w:t>
      </w:r>
      <w:r w:rsidR="00986D26">
        <w:t xml:space="preserve">ritical water issues/problems </w:t>
      </w:r>
      <w:r>
        <w:t xml:space="preserve">(in bullet-point format) </w:t>
      </w:r>
      <w:r w:rsidR="00986D26">
        <w:t xml:space="preserve">that </w:t>
      </w:r>
      <w:r>
        <w:t>your</w:t>
      </w:r>
      <w:r w:rsidR="00986D26">
        <w:t xml:space="preserve"> water plan addresses.</w:t>
      </w:r>
    </w:p>
    <w:p w14:paraId="0C2E1219" w14:textId="77777777" w:rsidR="00986D26" w:rsidRDefault="005E10CA" w:rsidP="00986D26">
      <w:pPr>
        <w:pStyle w:val="ListParagraph"/>
        <w:numPr>
          <w:ilvl w:val="0"/>
          <w:numId w:val="23"/>
        </w:numPr>
      </w:pPr>
      <w:r>
        <w:t>Comment on how</w:t>
      </w:r>
      <w:r w:rsidR="00986D26">
        <w:t xml:space="preserve"> planning</w:t>
      </w:r>
      <w:r>
        <w:t xml:space="preserve"> process for your water plan</w:t>
      </w:r>
      <w:r w:rsidR="00766083">
        <w:t xml:space="preserve"> compare</w:t>
      </w:r>
      <w:r>
        <w:t>s</w:t>
      </w:r>
      <w:r w:rsidR="00766083">
        <w:t xml:space="preserve"> with those described in Agenda-21 Chapter 18.</w:t>
      </w:r>
    </w:p>
    <w:p w14:paraId="5E790FF7" w14:textId="77777777" w:rsidR="00986D26" w:rsidRDefault="00986D26" w:rsidP="00986D26">
      <w:pPr>
        <w:ind w:left="360"/>
      </w:pPr>
    </w:p>
    <w:p w14:paraId="6566611E" w14:textId="77777777" w:rsidR="006F5F90" w:rsidRDefault="00766083" w:rsidP="00C10BB4">
      <w:pPr>
        <w:ind w:left="360"/>
      </w:pPr>
      <w:r>
        <w:t xml:space="preserve">Submit your </w:t>
      </w:r>
      <w:r w:rsidR="005E10CA">
        <w:t>answers</w:t>
      </w:r>
      <w:r>
        <w:t xml:space="preserve"> online in ICON</w:t>
      </w:r>
      <w:r w:rsidR="005E10CA">
        <w:t xml:space="preserve"> (please add to this Word document and upload your solution in PDF format)</w:t>
      </w:r>
      <w:r w:rsidR="00CE4274">
        <w:t xml:space="preserve">. On the assignment due date, </w:t>
      </w:r>
      <w:r>
        <w:t xml:space="preserve">bring a copy </w:t>
      </w:r>
      <w:r w:rsidR="00CE4274">
        <w:t xml:space="preserve">your </w:t>
      </w:r>
      <w:r w:rsidR="005E10CA">
        <w:t>answers</w:t>
      </w:r>
      <w:r w:rsidR="00CE4274">
        <w:t xml:space="preserve"> </w:t>
      </w:r>
      <w:r>
        <w:t>to class to discuss with others.</w:t>
      </w:r>
    </w:p>
    <w:p w14:paraId="23A8AA1F" w14:textId="77777777" w:rsidR="00EA4367" w:rsidRPr="00EA4367" w:rsidRDefault="00EA4367" w:rsidP="00BA032A"/>
    <w:p w14:paraId="18932228" w14:textId="77777777" w:rsidR="001256A9" w:rsidRPr="00BA032A" w:rsidRDefault="00BA032A" w:rsidP="00BA032A">
      <w:pPr>
        <w:rPr>
          <w:b/>
          <w:u w:val="single"/>
        </w:rPr>
      </w:pPr>
      <w:r w:rsidRPr="00BA032A">
        <w:rPr>
          <w:b/>
          <w:u w:val="single"/>
        </w:rPr>
        <w:t>Solution:</w:t>
      </w:r>
    </w:p>
    <w:p w14:paraId="5F922987" w14:textId="77777777" w:rsidR="00CE4274" w:rsidRDefault="00CE4274" w:rsidP="009C2EAD">
      <w:pPr>
        <w:tabs>
          <w:tab w:val="left" w:pos="2819"/>
          <w:tab w:val="left" w:pos="6120"/>
        </w:tabs>
      </w:pPr>
    </w:p>
    <w:p w14:paraId="3A661D11" w14:textId="5CB44AEE" w:rsidR="00FA7F91" w:rsidRDefault="00335BF7" w:rsidP="00FA7F91">
      <w:pPr>
        <w:pStyle w:val="ListParagraph"/>
        <w:numPr>
          <w:ilvl w:val="0"/>
          <w:numId w:val="25"/>
        </w:numPr>
        <w:tabs>
          <w:tab w:val="left" w:pos="2819"/>
          <w:tab w:val="left" w:pos="6120"/>
        </w:tabs>
      </w:pPr>
      <w:r>
        <w:t>Suggested processes and methodologies for water planning from Agenda-21 Chapter 18</w:t>
      </w:r>
    </w:p>
    <w:p w14:paraId="1C0E2DF6" w14:textId="532B6C47" w:rsidR="00FA7F91" w:rsidRDefault="00FA7F91" w:rsidP="00FA7F91">
      <w:pPr>
        <w:tabs>
          <w:tab w:val="left" w:pos="2819"/>
          <w:tab w:val="left" w:pos="6120"/>
        </w:tabs>
        <w:ind w:left="720"/>
      </w:pPr>
    </w:p>
    <w:p w14:paraId="43E5C3E6" w14:textId="06A93632" w:rsidR="00FA7F91" w:rsidRDefault="00FA7F91" w:rsidP="005155A6">
      <w:pPr>
        <w:tabs>
          <w:tab w:val="left" w:pos="2819"/>
          <w:tab w:val="left" w:pos="6120"/>
        </w:tabs>
        <w:ind w:left="720"/>
      </w:pPr>
      <w:r>
        <w:t>Processes</w:t>
      </w:r>
      <w:r w:rsidR="00CF0361">
        <w:t xml:space="preserve"> and Methodologies</w:t>
      </w:r>
      <w:r w:rsidR="005155A6">
        <w:t xml:space="preserve"> (within Integrated Water Resources Development and Management)</w:t>
      </w:r>
    </w:p>
    <w:p w14:paraId="70BA381B" w14:textId="3DE1ED9B" w:rsidR="00FA7F91" w:rsidRDefault="00FA7F91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Formulation of costed and targeted national action plans and investment programs</w:t>
      </w:r>
    </w:p>
    <w:p w14:paraId="1F65262E" w14:textId="623F6946" w:rsidR="009D118B" w:rsidRDefault="009D118B" w:rsidP="009D118B">
      <w:pPr>
        <w:pStyle w:val="ListParagraph"/>
        <w:numPr>
          <w:ilvl w:val="1"/>
          <w:numId w:val="26"/>
        </w:numPr>
        <w:tabs>
          <w:tab w:val="left" w:pos="2819"/>
          <w:tab w:val="left" w:pos="6120"/>
        </w:tabs>
      </w:pPr>
      <w:r>
        <w:t>Methods: Interactive databases, forecasting methods, economic planning models.</w:t>
      </w:r>
    </w:p>
    <w:p w14:paraId="52A75B84" w14:textId="2FB870D6" w:rsidR="009D118B" w:rsidRDefault="009D118B" w:rsidP="009D118B">
      <w:pPr>
        <w:pStyle w:val="ListParagraph"/>
        <w:numPr>
          <w:ilvl w:val="1"/>
          <w:numId w:val="26"/>
        </w:numPr>
        <w:tabs>
          <w:tab w:val="left" w:pos="2819"/>
          <w:tab w:val="left" w:pos="6120"/>
        </w:tabs>
      </w:pPr>
      <w:r>
        <w:t xml:space="preserve">Priorities for investment should </w:t>
      </w:r>
      <w:proofErr w:type="gramStart"/>
      <w:r>
        <w:t>take into account</w:t>
      </w:r>
      <w:proofErr w:type="gramEnd"/>
      <w:r>
        <w:t>: (a) maximum utilization of existing projects, (b) new or alternative clean technologies, and (c) environmentally and socially benign hydropower.</w:t>
      </w:r>
    </w:p>
    <w:p w14:paraId="06CB19A4" w14:textId="621F8D4E" w:rsidR="00FA7F91" w:rsidRDefault="00FA7F91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Integration of measures for the protection and conservation of potential sources of freshwater supply</w:t>
      </w:r>
    </w:p>
    <w:p w14:paraId="571C0F77" w14:textId="185D4F4D" w:rsidR="00FA7F91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 xml:space="preserve">Develop interactive databases, forecasting models, economic planning models and methods for water management and planning (include environmental impact assessment </w:t>
      </w:r>
    </w:p>
    <w:p w14:paraId="4EB80D38" w14:textId="7F37A9E2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Optimization of water resources allocation under physical and socio-economic constraints</w:t>
      </w:r>
    </w:p>
    <w:p w14:paraId="1F2BF7F3" w14:textId="0EEC30DE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lastRenderedPageBreak/>
        <w:t>Allocation through demand management, pricing mechanisms, and regulatory measures</w:t>
      </w:r>
    </w:p>
    <w:p w14:paraId="161B5E29" w14:textId="0121F10D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Risk analysis for flood and drought management</w:t>
      </w:r>
    </w:p>
    <w:p w14:paraId="67D21EAA" w14:textId="2BCC5866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Promote rational water use through public outreach and economic instruments</w:t>
      </w:r>
    </w:p>
    <w:p w14:paraId="5968017E" w14:textId="056B3746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Mobilize water resources</w:t>
      </w:r>
    </w:p>
    <w:p w14:paraId="7D3431BF" w14:textId="350F6795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Research on freshwater resources</w:t>
      </w:r>
    </w:p>
    <w:p w14:paraId="2B058DA8" w14:textId="2955EFC1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Develop new supplies</w:t>
      </w:r>
    </w:p>
    <w:p w14:paraId="60DB804D" w14:textId="3E864ED8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Integrate Water Quality and Quantity Management</w:t>
      </w:r>
    </w:p>
    <w:p w14:paraId="418B804C" w14:textId="1F0C6E55" w:rsidR="0068034C" w:rsidRDefault="0068034C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Water conservation</w:t>
      </w:r>
    </w:p>
    <w:p w14:paraId="3AF1751E" w14:textId="7B847DB5" w:rsidR="0068034C" w:rsidRDefault="005155A6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Support water-</w:t>
      </w:r>
      <w:proofErr w:type="gramStart"/>
      <w:r>
        <w:t>users</w:t>
      </w:r>
      <w:proofErr w:type="gramEnd"/>
      <w:r>
        <w:t xml:space="preserve"> groups to optimize local water resources management</w:t>
      </w:r>
    </w:p>
    <w:p w14:paraId="0B6D49A7" w14:textId="6CC57D89" w:rsidR="005155A6" w:rsidRDefault="005155A6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Public Participation in decision-making, Especially women</w:t>
      </w:r>
      <w:r w:rsidR="006D6731">
        <w:t>.</w:t>
      </w:r>
    </w:p>
    <w:p w14:paraId="5CF29386" w14:textId="18185264" w:rsidR="005155A6" w:rsidRDefault="005155A6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Capacity building from grassroots to global level.</w:t>
      </w:r>
    </w:p>
    <w:p w14:paraId="68C69D8C" w14:textId="674F3034" w:rsidR="0068034C" w:rsidRDefault="005155A6" w:rsidP="005155A6">
      <w:pPr>
        <w:pStyle w:val="ListParagraph"/>
        <w:numPr>
          <w:ilvl w:val="0"/>
          <w:numId w:val="26"/>
        </w:numPr>
        <w:tabs>
          <w:tab w:val="left" w:pos="2819"/>
          <w:tab w:val="left" w:pos="6120"/>
        </w:tabs>
      </w:pPr>
      <w:r>
        <w:t>Publicity</w:t>
      </w:r>
    </w:p>
    <w:p w14:paraId="5E827787" w14:textId="075619E0" w:rsidR="00335BF7" w:rsidRDefault="00335BF7" w:rsidP="00CF0361">
      <w:pPr>
        <w:tabs>
          <w:tab w:val="left" w:pos="2819"/>
          <w:tab w:val="left" w:pos="6120"/>
        </w:tabs>
      </w:pPr>
    </w:p>
    <w:p w14:paraId="312183FF" w14:textId="6FBFD07B" w:rsidR="00335BF7" w:rsidRDefault="00335BF7" w:rsidP="005155A6">
      <w:pPr>
        <w:pStyle w:val="ListParagraph"/>
        <w:numPr>
          <w:ilvl w:val="0"/>
          <w:numId w:val="25"/>
        </w:numPr>
        <w:tabs>
          <w:tab w:val="left" w:pos="2819"/>
          <w:tab w:val="left" w:pos="6120"/>
        </w:tabs>
      </w:pPr>
      <w:r>
        <w:t>Critical water issues/problems addressed in the chosen water plan</w:t>
      </w:r>
    </w:p>
    <w:p w14:paraId="5E93D360" w14:textId="09AA6400" w:rsidR="00F80B7C" w:rsidRDefault="009D118B" w:rsidP="009D118B">
      <w:pPr>
        <w:pStyle w:val="ListParagraph"/>
        <w:numPr>
          <w:ilvl w:val="0"/>
          <w:numId w:val="28"/>
        </w:numPr>
        <w:tabs>
          <w:tab w:val="left" w:pos="2819"/>
          <w:tab w:val="left" w:pos="6120"/>
        </w:tabs>
      </w:pPr>
      <w:r w:rsidRPr="009D118B">
        <w:rPr>
          <w:b/>
        </w:rPr>
        <w:t>Problem</w:t>
      </w:r>
      <w:r w:rsidR="00F80B7C">
        <w:rPr>
          <w:b/>
        </w:rPr>
        <w:t xml:space="preserve"> to Solve</w:t>
      </w:r>
      <w:r>
        <w:t xml:space="preserve">: Preparing for potential </w:t>
      </w:r>
      <w:r w:rsidR="00F80B7C">
        <w:t xml:space="preserve">statewide water demands during the “Drought of Record” occurring in the next 50 years. </w:t>
      </w:r>
    </w:p>
    <w:p w14:paraId="5251C951" w14:textId="77777777" w:rsidR="00F80B7C" w:rsidRDefault="00F80B7C" w:rsidP="009D118B">
      <w:pPr>
        <w:pStyle w:val="ListParagraph"/>
        <w:numPr>
          <w:ilvl w:val="0"/>
          <w:numId w:val="28"/>
        </w:numPr>
        <w:tabs>
          <w:tab w:val="left" w:pos="2819"/>
          <w:tab w:val="left" w:pos="6120"/>
        </w:tabs>
      </w:pPr>
      <w:r>
        <w:rPr>
          <w:b/>
        </w:rPr>
        <w:t>Background</w:t>
      </w:r>
      <w:r w:rsidRPr="00F80B7C">
        <w:t>:</w:t>
      </w:r>
      <w:r>
        <w:t xml:space="preserve"> </w:t>
      </w:r>
    </w:p>
    <w:p w14:paraId="53026C69" w14:textId="68CB1782" w:rsidR="009D118B" w:rsidRDefault="009D118B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>State of Texas faces a growing water shortage into the next half century</w:t>
      </w:r>
      <w:r w:rsidR="00F80B7C">
        <w:t xml:space="preserve"> given growth and infrastructure trends.</w:t>
      </w:r>
    </w:p>
    <w:p w14:paraId="702F6224" w14:textId="32CC9455" w:rsidR="005155A6" w:rsidRDefault="00F80B7C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 xml:space="preserve">In this plan, state considers preparedness for </w:t>
      </w:r>
      <w:r w:rsidR="005155A6">
        <w:t xml:space="preserve">water demands during </w:t>
      </w:r>
      <w:r>
        <w:t>a</w:t>
      </w:r>
      <w:r w:rsidR="005155A6">
        <w:t xml:space="preserve"> “drought of record,” or worse event to happen between</w:t>
      </w:r>
      <w:bookmarkStart w:id="0" w:name="_GoBack"/>
      <w:bookmarkEnd w:id="0"/>
      <w:r w:rsidR="005155A6">
        <w:t xml:space="preserve"> </w:t>
      </w:r>
      <w:r w:rsidR="006D6731">
        <w:t xml:space="preserve">years </w:t>
      </w:r>
      <w:r w:rsidR="005155A6">
        <w:t>2020 and 2070</w:t>
      </w:r>
      <w:r w:rsidR="006D6731">
        <w:t>.</w:t>
      </w:r>
    </w:p>
    <w:p w14:paraId="64CA972E" w14:textId="763273C4" w:rsidR="006D6731" w:rsidRDefault="00F80B7C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>Considers p</w:t>
      </w:r>
      <w:r w:rsidR="006D6731">
        <w:t>rojected demand given changes in state population, economy.</w:t>
      </w:r>
    </w:p>
    <w:p w14:paraId="470D916D" w14:textId="77777777" w:rsidR="00F80B7C" w:rsidRDefault="00F80B7C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>Considers p</w:t>
      </w:r>
      <w:r w:rsidR="006D6731">
        <w:t>rojected supply given changes in storages (groundwater, surface.)</w:t>
      </w:r>
    </w:p>
    <w:p w14:paraId="6D32080E" w14:textId="77777777" w:rsidR="00F80B7C" w:rsidRDefault="00F80B7C" w:rsidP="00F80B7C">
      <w:pPr>
        <w:pStyle w:val="ListParagraph"/>
        <w:numPr>
          <w:ilvl w:val="0"/>
          <w:numId w:val="28"/>
        </w:numPr>
        <w:tabs>
          <w:tab w:val="left" w:pos="2819"/>
          <w:tab w:val="left" w:pos="6120"/>
        </w:tabs>
      </w:pPr>
      <w:r w:rsidRPr="00F80B7C">
        <w:rPr>
          <w:b/>
        </w:rPr>
        <w:t>Solutions</w:t>
      </w:r>
      <w:r>
        <w:t>:</w:t>
      </w:r>
    </w:p>
    <w:p w14:paraId="0A5F5476" w14:textId="79A399D2" w:rsidR="00CF0361" w:rsidRDefault="00F80B7C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>P</w:t>
      </w:r>
      <w:r w:rsidR="006D6731">
        <w:t>resented solutions to decrease the gap between projected demand and projected supply.</w:t>
      </w:r>
    </w:p>
    <w:p w14:paraId="6C7BEDBB" w14:textId="557C06D8" w:rsidR="00CF0361" w:rsidRDefault="00F80B7C" w:rsidP="00F80B7C">
      <w:pPr>
        <w:pStyle w:val="ListParagraph"/>
        <w:numPr>
          <w:ilvl w:val="1"/>
          <w:numId w:val="28"/>
        </w:numPr>
        <w:tabs>
          <w:tab w:val="left" w:pos="2819"/>
          <w:tab w:val="left" w:pos="6120"/>
        </w:tabs>
      </w:pPr>
      <w:r>
        <w:t xml:space="preserve">Presented estimates for </w:t>
      </w:r>
      <w:r w:rsidR="00CF0361">
        <w:t xml:space="preserve">cost </w:t>
      </w:r>
      <w:r>
        <w:t>of</w:t>
      </w:r>
      <w:r w:rsidR="00CF0361">
        <w:t xml:space="preserve"> these solutions</w:t>
      </w:r>
    </w:p>
    <w:p w14:paraId="6DD1914B" w14:textId="77777777" w:rsidR="00335BF7" w:rsidRDefault="00335BF7" w:rsidP="00335BF7">
      <w:pPr>
        <w:tabs>
          <w:tab w:val="left" w:pos="2819"/>
          <w:tab w:val="left" w:pos="6120"/>
        </w:tabs>
      </w:pPr>
    </w:p>
    <w:p w14:paraId="00A854A2" w14:textId="77777777" w:rsidR="006D6731" w:rsidRDefault="00335BF7" w:rsidP="00335BF7">
      <w:pPr>
        <w:pStyle w:val="ListParagraph"/>
        <w:numPr>
          <w:ilvl w:val="0"/>
          <w:numId w:val="25"/>
        </w:numPr>
        <w:tabs>
          <w:tab w:val="left" w:pos="2819"/>
          <w:tab w:val="left" w:pos="6120"/>
        </w:tabs>
      </w:pPr>
      <w:r>
        <w:t>Comments on the planning process</w:t>
      </w:r>
    </w:p>
    <w:p w14:paraId="781258FA" w14:textId="77777777" w:rsidR="00F80B7C" w:rsidRDefault="00F80B7C" w:rsidP="006D6731">
      <w:pPr>
        <w:pStyle w:val="ListParagraph"/>
        <w:numPr>
          <w:ilvl w:val="0"/>
          <w:numId w:val="29"/>
        </w:numPr>
        <w:tabs>
          <w:tab w:val="left" w:pos="2819"/>
          <w:tab w:val="left" w:pos="6120"/>
        </w:tabs>
      </w:pPr>
      <w:r w:rsidRPr="00F80B7C">
        <w:rPr>
          <w:b/>
        </w:rPr>
        <w:t>Followed UN Directives</w:t>
      </w:r>
      <w:r>
        <w:t xml:space="preserve">: </w:t>
      </w:r>
    </w:p>
    <w:p w14:paraId="1BBFEB46" w14:textId="0F6385D8" w:rsidR="001256A9" w:rsidRDefault="006D6731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Texas followed the directive of the UN by having local/regional teams develop local plans</w:t>
      </w:r>
      <w:r w:rsidR="00F80B7C">
        <w:t xml:space="preserve">, which the state </w:t>
      </w:r>
      <w:r>
        <w:t>integrate</w:t>
      </w:r>
      <w:r w:rsidR="00F80B7C">
        <w:t>d</w:t>
      </w:r>
      <w:r>
        <w:t xml:space="preserve"> t</w:t>
      </w:r>
      <w:r w:rsidR="00F80B7C">
        <w:t>o form a holistic outlook</w:t>
      </w:r>
    </w:p>
    <w:p w14:paraId="475B0DCC" w14:textId="09B84D83" w:rsidR="006D6731" w:rsidRDefault="00CF0361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Use social and economic models to help drive planning</w:t>
      </w:r>
      <w:r w:rsidR="00F80B7C">
        <w:t xml:space="preserve"> process</w:t>
      </w:r>
    </w:p>
    <w:p w14:paraId="0ABD5670" w14:textId="6B27E294" w:rsidR="00CF0361" w:rsidRDefault="00F80B7C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Supported r</w:t>
      </w:r>
      <w:r w:rsidR="00CF0361">
        <w:t>esearch</w:t>
      </w:r>
      <w:r>
        <w:t xml:space="preserve"> </w:t>
      </w:r>
      <w:r w:rsidR="00487732">
        <w:t>on their freshwater resources</w:t>
      </w:r>
    </w:p>
    <w:p w14:paraId="742C366F" w14:textId="060DE48B" w:rsidR="00F80B7C" w:rsidRDefault="00F80B7C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Considered trends of all water sources in budgeting</w:t>
      </w:r>
    </w:p>
    <w:p w14:paraId="3FABFEC2" w14:textId="286094CE" w:rsidR="00F80B7C" w:rsidRDefault="009D00E3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 xml:space="preserve">Promotes water conservation during (“demand reduction”). 1/3 of Recommended Water Management Strategies (by type) are conservation-oriented </w:t>
      </w:r>
    </w:p>
    <w:p w14:paraId="1C397230" w14:textId="4AF11A89" w:rsidR="009D00E3" w:rsidRDefault="009D00E3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Promoted public awareness.</w:t>
      </w:r>
    </w:p>
    <w:p w14:paraId="1E93C680" w14:textId="03077FD9" w:rsidR="009D00E3" w:rsidRDefault="009D00E3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Considered “harmonization” of nation strategies (</w:t>
      </w:r>
      <w:proofErr w:type="spellStart"/>
      <w:r>
        <w:t>ie</w:t>
      </w:r>
      <w:proofErr w:type="spellEnd"/>
      <w:r>
        <w:t xml:space="preserve"> apply for federal funding).</w:t>
      </w:r>
    </w:p>
    <w:p w14:paraId="6CC6ADBA" w14:textId="2FB539A1" w:rsidR="00F80B7C" w:rsidRPr="00F80B7C" w:rsidRDefault="00F80B7C" w:rsidP="006D6731">
      <w:pPr>
        <w:pStyle w:val="ListParagraph"/>
        <w:numPr>
          <w:ilvl w:val="0"/>
          <w:numId w:val="29"/>
        </w:numPr>
        <w:tabs>
          <w:tab w:val="left" w:pos="2819"/>
          <w:tab w:val="left" w:pos="6120"/>
        </w:tabs>
      </w:pPr>
      <w:r>
        <w:rPr>
          <w:b/>
        </w:rPr>
        <w:t>Differed from UN Directives:</w:t>
      </w:r>
    </w:p>
    <w:p w14:paraId="676D3224" w14:textId="62DE5CA0" w:rsidR="00487732" w:rsidRDefault="000E69E1" w:rsidP="00F80B7C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 xml:space="preserve">No flooding considered </w:t>
      </w:r>
      <w:r w:rsidR="00F80B7C">
        <w:t>for the states over the same period</w:t>
      </w:r>
    </w:p>
    <w:p w14:paraId="35BC2162" w14:textId="6A4F9BA7" w:rsidR="009D00E3" w:rsidRPr="001256A9" w:rsidRDefault="009D00E3" w:rsidP="009D00E3">
      <w:pPr>
        <w:pStyle w:val="ListParagraph"/>
        <w:numPr>
          <w:ilvl w:val="1"/>
          <w:numId w:val="29"/>
        </w:numPr>
        <w:tabs>
          <w:tab w:val="left" w:pos="2819"/>
          <w:tab w:val="left" w:pos="6120"/>
        </w:tabs>
      </w:pPr>
      <w:r>
        <w:t>Risk analysis not provided in Executive Summary. (Not sure how similar the procedures were from planning district to planning district.)</w:t>
      </w:r>
    </w:p>
    <w:sectPr w:rsidR="009D00E3" w:rsidRPr="001256A9" w:rsidSect="00164E1D">
      <w:headerReference w:type="even" r:id="rId7"/>
      <w:headerReference w:type="default" r:id="rId8"/>
      <w:pgSz w:w="12240" w:h="15840" w:code="1"/>
      <w:pgMar w:top="1440" w:right="72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8FD7" w14:textId="77777777" w:rsidR="005C7E78" w:rsidRDefault="005C7E78">
      <w:r>
        <w:separator/>
      </w:r>
    </w:p>
  </w:endnote>
  <w:endnote w:type="continuationSeparator" w:id="0">
    <w:p w14:paraId="57D99A07" w14:textId="77777777" w:rsidR="005C7E78" w:rsidRDefault="005C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6C2C" w14:textId="77777777" w:rsidR="005C7E78" w:rsidRDefault="005C7E78">
      <w:r>
        <w:separator/>
      </w:r>
    </w:p>
  </w:footnote>
  <w:footnote w:type="continuationSeparator" w:id="0">
    <w:p w14:paraId="0A000C0F" w14:textId="77777777" w:rsidR="005C7E78" w:rsidRDefault="005C7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4ABA7" w14:textId="77777777" w:rsidR="00BF7C38" w:rsidRDefault="00BF7C38" w:rsidP="00BF7C38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1A0906" w14:textId="77777777" w:rsidR="00BF7C38" w:rsidRDefault="00BF7C38" w:rsidP="00BF7C3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36BCD" w14:textId="4FC96BB4" w:rsidR="00AA0F1F" w:rsidRPr="00382C09" w:rsidRDefault="00AA0F1F" w:rsidP="00EC44D2">
    <w:pPr>
      <w:pStyle w:val="Header"/>
      <w:tabs>
        <w:tab w:val="clear" w:pos="4320"/>
        <w:tab w:val="clear" w:pos="8640"/>
        <w:tab w:val="left" w:pos="540"/>
        <w:tab w:val="center" w:pos="4680"/>
        <w:tab w:val="left" w:pos="7560"/>
        <w:tab w:val="right" w:pos="10260"/>
      </w:tabs>
      <w:ind w:left="-720" w:right="360" w:firstLine="1080"/>
      <w:jc w:val="right"/>
      <w:rPr>
        <w:rFonts w:ascii="Garamond" w:hAnsi="Garamond"/>
        <w:sz w:val="36"/>
        <w:szCs w:val="36"/>
      </w:rPr>
    </w:pPr>
    <w:r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9DB8A9D" wp14:editId="36617F6E">
              <wp:simplePos x="0" y="0"/>
              <wp:positionH relativeFrom="column">
                <wp:posOffset>5638165</wp:posOffset>
              </wp:positionH>
              <wp:positionV relativeFrom="paragraph">
                <wp:posOffset>-140335</wp:posOffset>
              </wp:positionV>
              <wp:extent cx="8255" cy="701675"/>
              <wp:effectExtent l="0" t="0" r="0" b="0"/>
              <wp:wrapSquare wrapText="bothSides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5" cy="70167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A63F6" id="Line 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-11.05pt" to="444.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" strokeweight="3pt">
              <v:stroke linestyle="thinThin"/>
              <w10:wrap type="square"/>
            </v:line>
          </w:pict>
        </mc:Fallback>
      </mc:AlternateContent>
    </w:r>
    <w:r w:rsidR="001256A9"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56262FF" wp14:editId="3A7CA7C7">
              <wp:simplePos x="0" y="0"/>
              <wp:positionH relativeFrom="column">
                <wp:posOffset>0</wp:posOffset>
              </wp:positionH>
              <wp:positionV relativeFrom="paragraph">
                <wp:posOffset>-141605</wp:posOffset>
              </wp:positionV>
              <wp:extent cx="16510" cy="709930"/>
              <wp:effectExtent l="0" t="0" r="0" b="0"/>
              <wp:wrapSquare wrapText="bothSides"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" cy="70993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CB110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15pt" to="1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" strokeweight="3pt">
              <v:stroke linestyle="thinThin"/>
              <w10:wrap type="square"/>
            </v:line>
          </w:pict>
        </mc:Fallback>
      </mc:AlternateContent>
    </w:r>
    <w:r w:rsidR="00AC7447">
      <w:rPr>
        <w:rFonts w:ascii="Garamond" w:hAnsi="Garamond"/>
        <w:sz w:val="36"/>
        <w:szCs w:val="36"/>
      </w:rPr>
      <w:t>1</w:t>
    </w:r>
    <w:r w:rsidR="00043159" w:rsidRPr="00382C09">
      <w:rPr>
        <w:rFonts w:ascii="Garamond" w:hAnsi="Garamond"/>
        <w:sz w:val="36"/>
        <w:szCs w:val="36"/>
      </w:rPr>
      <w:t>/</w:t>
    </w:r>
    <w:r w:rsidR="006F5F90">
      <w:rPr>
        <w:rFonts w:ascii="Garamond" w:hAnsi="Garamond"/>
        <w:sz w:val="36"/>
        <w:szCs w:val="36"/>
      </w:rPr>
      <w:t>2</w:t>
    </w:r>
    <w:r w:rsidR="005E10CA">
      <w:rPr>
        <w:rFonts w:ascii="Garamond" w:hAnsi="Garamond"/>
        <w:sz w:val="36"/>
        <w:szCs w:val="36"/>
      </w:rPr>
      <w:t>3</w:t>
    </w:r>
    <w:r w:rsidR="00043159" w:rsidRPr="00382C09">
      <w:rPr>
        <w:rFonts w:ascii="Garamond" w:hAnsi="Garamond"/>
        <w:sz w:val="36"/>
        <w:szCs w:val="36"/>
      </w:rPr>
      <w:t>/</w:t>
    </w:r>
    <w:r w:rsidR="00751F4F">
      <w:rPr>
        <w:rFonts w:ascii="Garamond" w:hAnsi="Garamond"/>
        <w:sz w:val="36"/>
        <w:szCs w:val="36"/>
      </w:rPr>
      <w:t>20</w:t>
    </w:r>
    <w:r w:rsidR="00356368">
      <w:rPr>
        <w:rFonts w:ascii="Garamond" w:hAnsi="Garamond"/>
        <w:sz w:val="36"/>
        <w:szCs w:val="36"/>
      </w:rPr>
      <w:t>1</w:t>
    </w:r>
    <w:r w:rsidR="005E10CA">
      <w:rPr>
        <w:rFonts w:ascii="Garamond" w:hAnsi="Garamond"/>
        <w:sz w:val="36"/>
        <w:szCs w:val="36"/>
      </w:rPr>
      <w:t>9</w:t>
    </w:r>
    <w:r w:rsidR="00EC44D2">
      <w:rPr>
        <w:rFonts w:ascii="Garamond" w:hAnsi="Garamond"/>
        <w:sz w:val="36"/>
        <w:szCs w:val="36"/>
      </w:rPr>
      <w:tab/>
    </w:r>
    <w:r w:rsidR="005155A6">
      <w:rPr>
        <w:rFonts w:ascii="Garamond" w:hAnsi="Garamond"/>
        <w:sz w:val="36"/>
        <w:szCs w:val="36"/>
      </w:rPr>
      <w:t>Gregory Ewing</w:t>
    </w:r>
    <w:r w:rsidR="00EC44D2">
      <w:rPr>
        <w:rFonts w:ascii="Garamond" w:hAnsi="Garamond"/>
        <w:sz w:val="36"/>
        <w:szCs w:val="36"/>
      </w:rPr>
      <w:tab/>
    </w:r>
    <w:r w:rsidR="00AC7447">
      <w:rPr>
        <w:rFonts w:ascii="Garamond" w:hAnsi="Garamond"/>
        <w:sz w:val="28"/>
        <w:szCs w:val="36"/>
      </w:rPr>
      <w:t>CEE:</w:t>
    </w:r>
    <w:r w:rsidR="00EC44D2">
      <w:rPr>
        <w:rFonts w:ascii="Garamond" w:hAnsi="Garamond"/>
        <w:sz w:val="28"/>
        <w:szCs w:val="36"/>
      </w:rPr>
      <w:t xml:space="preserve">5350 </w:t>
    </w:r>
    <w:r>
      <w:rPr>
        <w:rFonts w:ascii="Garamond" w:hAnsi="Garamond"/>
        <w:sz w:val="28"/>
        <w:szCs w:val="36"/>
      </w:rPr>
      <w:t xml:space="preserve">     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PAGE </w:instrText>
    </w:r>
    <w:r w:rsidRPr="00AA0F1F">
      <w:rPr>
        <w:rStyle w:val="PageNumber"/>
        <w:sz w:val="22"/>
      </w:rPr>
      <w:fldChar w:fldCharType="separate"/>
    </w:r>
    <w:r w:rsidR="00335BF7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  <w:r w:rsidRPr="00AA0F1F">
      <w:rPr>
        <w:rStyle w:val="PageNumber"/>
        <w:sz w:val="22"/>
      </w:rPr>
      <w:t xml:space="preserve"> of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NUMPAGES </w:instrText>
    </w:r>
    <w:r w:rsidRPr="00AA0F1F">
      <w:rPr>
        <w:rStyle w:val="PageNumber"/>
        <w:sz w:val="22"/>
      </w:rPr>
      <w:fldChar w:fldCharType="separate"/>
    </w:r>
    <w:r w:rsidR="00335BF7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</w:p>
  <w:p w14:paraId="47DB66AC" w14:textId="77777777" w:rsidR="0014730B" w:rsidRPr="00382C09" w:rsidRDefault="00EC44D2" w:rsidP="00A0515A">
    <w:pPr>
      <w:pStyle w:val="Header"/>
      <w:tabs>
        <w:tab w:val="clear" w:pos="4320"/>
        <w:tab w:val="clear" w:pos="8640"/>
        <w:tab w:val="center" w:pos="4680"/>
        <w:tab w:val="right" w:pos="9990"/>
      </w:tabs>
      <w:ind w:right="360" w:firstLine="360"/>
      <w:rPr>
        <w:rFonts w:ascii="Garamond" w:hAnsi="Garamond"/>
        <w:sz w:val="36"/>
        <w:szCs w:val="36"/>
      </w:rPr>
    </w:pPr>
    <w:r>
      <w:rPr>
        <w:rFonts w:ascii="Garamond" w:hAnsi="Garamond"/>
        <w:sz w:val="28"/>
        <w:szCs w:val="28"/>
      </w:rPr>
      <w:tab/>
    </w:r>
    <w:r w:rsidR="00AC7447">
      <w:rPr>
        <w:rFonts w:ascii="Garamond" w:hAnsi="Garamond"/>
        <w:sz w:val="36"/>
        <w:szCs w:val="36"/>
      </w:rPr>
      <w:t>Problem #</w:t>
    </w:r>
    <w:r w:rsidR="006F5F90">
      <w:rPr>
        <w:rFonts w:ascii="Garamond" w:hAnsi="Garamond"/>
        <w:sz w:val="36"/>
        <w:szCs w:val="36"/>
      </w:rPr>
      <w:t>1</w:t>
    </w:r>
    <w:r w:rsidR="00D663D0" w:rsidRPr="00382C09">
      <w:rPr>
        <w:rFonts w:ascii="Garamond" w:hAnsi="Garamond"/>
        <w:sz w:val="36"/>
        <w:szCs w:val="36"/>
      </w:rPr>
      <w:tab/>
    </w:r>
  </w:p>
  <w:p w14:paraId="46FEAE19" w14:textId="77777777" w:rsidR="0014730B" w:rsidRPr="00D663D0" w:rsidRDefault="001256A9">
    <w:pPr>
      <w:pStyle w:val="Header"/>
      <w:jc w:val="center"/>
      <w:rPr>
        <w:rFonts w:ascii="Garamond" w:hAnsi="Garamond"/>
        <w:sz w:val="28"/>
        <w:szCs w:val="28"/>
      </w:rPr>
    </w:pPr>
    <w:r w:rsidRPr="00D663D0">
      <w:rPr>
        <w:rFonts w:ascii="Garamond" w:hAnsi="Garamon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B3D60A6" wp14:editId="5CB19499">
              <wp:simplePos x="0" y="0"/>
              <wp:positionH relativeFrom="column">
                <wp:posOffset>-586105</wp:posOffset>
              </wp:positionH>
              <wp:positionV relativeFrom="paragraph">
                <wp:posOffset>59055</wp:posOffset>
              </wp:positionV>
              <wp:extent cx="712851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285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F1CAF" id="Line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5pt,4.65pt" to="515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" strokeweight="3pt">
              <v:stroke linestyle="thinThin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451"/>
    <w:multiLevelType w:val="hybridMultilevel"/>
    <w:tmpl w:val="7D04A1FE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D5517C"/>
    <w:multiLevelType w:val="multilevel"/>
    <w:tmpl w:val="EE9685BC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5CD15F3"/>
    <w:multiLevelType w:val="hybridMultilevel"/>
    <w:tmpl w:val="92925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87D75"/>
    <w:multiLevelType w:val="hybridMultilevel"/>
    <w:tmpl w:val="715C408C"/>
    <w:lvl w:ilvl="0" w:tplc="3B14B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EE3EA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C42B5"/>
    <w:multiLevelType w:val="multilevel"/>
    <w:tmpl w:val="D9AC3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866FD"/>
    <w:multiLevelType w:val="hybridMultilevel"/>
    <w:tmpl w:val="9EE2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C002F"/>
    <w:multiLevelType w:val="hybridMultilevel"/>
    <w:tmpl w:val="6A70A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C2717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44F8B"/>
    <w:multiLevelType w:val="hybridMultilevel"/>
    <w:tmpl w:val="A4E44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7564E"/>
    <w:multiLevelType w:val="hybridMultilevel"/>
    <w:tmpl w:val="4C9EB9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D22E7A"/>
    <w:multiLevelType w:val="multilevel"/>
    <w:tmpl w:val="D818A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C455F"/>
    <w:multiLevelType w:val="hybridMultilevel"/>
    <w:tmpl w:val="3556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47C2"/>
    <w:multiLevelType w:val="hybridMultilevel"/>
    <w:tmpl w:val="61A8F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C22E6"/>
    <w:multiLevelType w:val="hybridMultilevel"/>
    <w:tmpl w:val="32A2D6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AA47566"/>
    <w:multiLevelType w:val="hybridMultilevel"/>
    <w:tmpl w:val="49F48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5C2244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656E"/>
    <w:multiLevelType w:val="hybridMultilevel"/>
    <w:tmpl w:val="EE9685BC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5A64112"/>
    <w:multiLevelType w:val="hybridMultilevel"/>
    <w:tmpl w:val="22CEC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F223BE"/>
    <w:multiLevelType w:val="hybridMultilevel"/>
    <w:tmpl w:val="B192A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502E1A"/>
    <w:multiLevelType w:val="hybridMultilevel"/>
    <w:tmpl w:val="CDC8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83C91"/>
    <w:multiLevelType w:val="hybridMultilevel"/>
    <w:tmpl w:val="47DC3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736EB"/>
    <w:multiLevelType w:val="hybridMultilevel"/>
    <w:tmpl w:val="292E3F0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5FCC5FCB"/>
    <w:multiLevelType w:val="multilevel"/>
    <w:tmpl w:val="3A5AE8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0272B6"/>
    <w:multiLevelType w:val="hybridMultilevel"/>
    <w:tmpl w:val="D818A7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363B68"/>
    <w:multiLevelType w:val="hybridMultilevel"/>
    <w:tmpl w:val="7D8C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95756"/>
    <w:multiLevelType w:val="hybridMultilevel"/>
    <w:tmpl w:val="C688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B401DC"/>
    <w:multiLevelType w:val="hybridMultilevel"/>
    <w:tmpl w:val="EDD47C66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7" w15:restartNumberingAfterBreak="0">
    <w:nsid w:val="74C33596"/>
    <w:multiLevelType w:val="hybridMultilevel"/>
    <w:tmpl w:val="0938F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971F1D"/>
    <w:multiLevelType w:val="multilevel"/>
    <w:tmpl w:val="96F6D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8"/>
  </w:num>
  <w:num w:numId="4">
    <w:abstractNumId w:val="23"/>
  </w:num>
  <w:num w:numId="5">
    <w:abstractNumId w:val="10"/>
  </w:num>
  <w:num w:numId="6">
    <w:abstractNumId w:val="18"/>
  </w:num>
  <w:num w:numId="7">
    <w:abstractNumId w:val="27"/>
  </w:num>
  <w:num w:numId="8">
    <w:abstractNumId w:val="24"/>
  </w:num>
  <w:num w:numId="9">
    <w:abstractNumId w:val="26"/>
  </w:num>
  <w:num w:numId="10">
    <w:abstractNumId w:val="21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0"/>
  </w:num>
  <w:num w:numId="16">
    <w:abstractNumId w:val="4"/>
  </w:num>
  <w:num w:numId="17">
    <w:abstractNumId w:val="25"/>
  </w:num>
  <w:num w:numId="18">
    <w:abstractNumId w:val="11"/>
  </w:num>
  <w:num w:numId="19">
    <w:abstractNumId w:val="19"/>
  </w:num>
  <w:num w:numId="20">
    <w:abstractNumId w:val="14"/>
  </w:num>
  <w:num w:numId="21">
    <w:abstractNumId w:val="7"/>
  </w:num>
  <w:num w:numId="22">
    <w:abstractNumId w:val="15"/>
  </w:num>
  <w:num w:numId="23">
    <w:abstractNumId w:val="17"/>
  </w:num>
  <w:num w:numId="24">
    <w:abstractNumId w:val="5"/>
  </w:num>
  <w:num w:numId="25">
    <w:abstractNumId w:val="20"/>
  </w:num>
  <w:num w:numId="26">
    <w:abstractNumId w:val="2"/>
  </w:num>
  <w:num w:numId="27">
    <w:abstractNumId w:val="8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14"/>
    <w:rsid w:val="000071FC"/>
    <w:rsid w:val="00010CB6"/>
    <w:rsid w:val="00043159"/>
    <w:rsid w:val="00050901"/>
    <w:rsid w:val="00051C01"/>
    <w:rsid w:val="00076A41"/>
    <w:rsid w:val="000B5A86"/>
    <w:rsid w:val="000B6B95"/>
    <w:rsid w:val="000E69E1"/>
    <w:rsid w:val="000F507C"/>
    <w:rsid w:val="001256A9"/>
    <w:rsid w:val="00133B29"/>
    <w:rsid w:val="00133F29"/>
    <w:rsid w:val="001374C0"/>
    <w:rsid w:val="0014730B"/>
    <w:rsid w:val="00154A7D"/>
    <w:rsid w:val="00164E1D"/>
    <w:rsid w:val="001B4E54"/>
    <w:rsid w:val="001D08F1"/>
    <w:rsid w:val="001D3356"/>
    <w:rsid w:val="001D73F3"/>
    <w:rsid w:val="00231A31"/>
    <w:rsid w:val="0027752F"/>
    <w:rsid w:val="002822A4"/>
    <w:rsid w:val="00287CED"/>
    <w:rsid w:val="002B2D2B"/>
    <w:rsid w:val="002E4473"/>
    <w:rsid w:val="002F5616"/>
    <w:rsid w:val="00312160"/>
    <w:rsid w:val="00313EF9"/>
    <w:rsid w:val="00334BBA"/>
    <w:rsid w:val="00335BF7"/>
    <w:rsid w:val="00356368"/>
    <w:rsid w:val="00357570"/>
    <w:rsid w:val="0036280D"/>
    <w:rsid w:val="00382C09"/>
    <w:rsid w:val="00394CC0"/>
    <w:rsid w:val="003C4811"/>
    <w:rsid w:val="003C6F7B"/>
    <w:rsid w:val="003F3E43"/>
    <w:rsid w:val="00461510"/>
    <w:rsid w:val="00484394"/>
    <w:rsid w:val="00487732"/>
    <w:rsid w:val="004F6FCE"/>
    <w:rsid w:val="005155A6"/>
    <w:rsid w:val="00516B2C"/>
    <w:rsid w:val="00556BC3"/>
    <w:rsid w:val="00567C22"/>
    <w:rsid w:val="00595985"/>
    <w:rsid w:val="005A0576"/>
    <w:rsid w:val="005C7E78"/>
    <w:rsid w:val="005D6F44"/>
    <w:rsid w:val="005E10CA"/>
    <w:rsid w:val="00607C6B"/>
    <w:rsid w:val="00613FC0"/>
    <w:rsid w:val="00620582"/>
    <w:rsid w:val="00644848"/>
    <w:rsid w:val="006640FC"/>
    <w:rsid w:val="00673939"/>
    <w:rsid w:val="0068034C"/>
    <w:rsid w:val="006D2790"/>
    <w:rsid w:val="006D6731"/>
    <w:rsid w:val="006F5F90"/>
    <w:rsid w:val="007379FB"/>
    <w:rsid w:val="00751F4F"/>
    <w:rsid w:val="00755FC1"/>
    <w:rsid w:val="00761635"/>
    <w:rsid w:val="00765042"/>
    <w:rsid w:val="00766083"/>
    <w:rsid w:val="007870D9"/>
    <w:rsid w:val="0078715D"/>
    <w:rsid w:val="0079302E"/>
    <w:rsid w:val="00793E5A"/>
    <w:rsid w:val="00796D36"/>
    <w:rsid w:val="007A7C37"/>
    <w:rsid w:val="007E2C39"/>
    <w:rsid w:val="00845C30"/>
    <w:rsid w:val="00860E26"/>
    <w:rsid w:val="00866BCD"/>
    <w:rsid w:val="00871AEF"/>
    <w:rsid w:val="0087767E"/>
    <w:rsid w:val="00877E68"/>
    <w:rsid w:val="00880CCB"/>
    <w:rsid w:val="00890D6A"/>
    <w:rsid w:val="008A0C01"/>
    <w:rsid w:val="008C1673"/>
    <w:rsid w:val="008D616D"/>
    <w:rsid w:val="00942281"/>
    <w:rsid w:val="00952694"/>
    <w:rsid w:val="00957C1F"/>
    <w:rsid w:val="00986D26"/>
    <w:rsid w:val="009A69A3"/>
    <w:rsid w:val="009C07FB"/>
    <w:rsid w:val="009C2EAD"/>
    <w:rsid w:val="009D00E3"/>
    <w:rsid w:val="009D118B"/>
    <w:rsid w:val="009E12C4"/>
    <w:rsid w:val="009E28DA"/>
    <w:rsid w:val="00A0515A"/>
    <w:rsid w:val="00A13C4F"/>
    <w:rsid w:val="00A75827"/>
    <w:rsid w:val="00A76F12"/>
    <w:rsid w:val="00A939A4"/>
    <w:rsid w:val="00AA0F1F"/>
    <w:rsid w:val="00AC7447"/>
    <w:rsid w:val="00AE4F41"/>
    <w:rsid w:val="00AF7615"/>
    <w:rsid w:val="00B21462"/>
    <w:rsid w:val="00B545FA"/>
    <w:rsid w:val="00B559CF"/>
    <w:rsid w:val="00B8291D"/>
    <w:rsid w:val="00BA032A"/>
    <w:rsid w:val="00BF7C38"/>
    <w:rsid w:val="00C10BB4"/>
    <w:rsid w:val="00C25B1A"/>
    <w:rsid w:val="00C33C68"/>
    <w:rsid w:val="00C725CD"/>
    <w:rsid w:val="00C90B48"/>
    <w:rsid w:val="00CE1E3A"/>
    <w:rsid w:val="00CE4274"/>
    <w:rsid w:val="00CE6DF5"/>
    <w:rsid w:val="00CF0361"/>
    <w:rsid w:val="00D4435A"/>
    <w:rsid w:val="00D663D0"/>
    <w:rsid w:val="00D67FE1"/>
    <w:rsid w:val="00DB004C"/>
    <w:rsid w:val="00DD742C"/>
    <w:rsid w:val="00DF0BE7"/>
    <w:rsid w:val="00DF772F"/>
    <w:rsid w:val="00E14392"/>
    <w:rsid w:val="00E5040D"/>
    <w:rsid w:val="00E64087"/>
    <w:rsid w:val="00E96DF1"/>
    <w:rsid w:val="00EA2B5D"/>
    <w:rsid w:val="00EA4367"/>
    <w:rsid w:val="00EC44D2"/>
    <w:rsid w:val="00EE15C2"/>
    <w:rsid w:val="00EE2CD8"/>
    <w:rsid w:val="00F301DD"/>
    <w:rsid w:val="00F40671"/>
    <w:rsid w:val="00F80B7C"/>
    <w:rsid w:val="00FA0FCC"/>
    <w:rsid w:val="00FA7F91"/>
    <w:rsid w:val="00FC1C14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44905"/>
  <w15:docId w15:val="{BAC55099-41A1-4B54-B8CF-99902799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6B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7C38"/>
  </w:style>
  <w:style w:type="paragraph" w:styleId="BalloonText">
    <w:name w:val="Balloon Text"/>
    <w:basedOn w:val="Normal"/>
    <w:semiHidden/>
    <w:rsid w:val="0035757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A0F1F"/>
    <w:rPr>
      <w:sz w:val="24"/>
    </w:rPr>
  </w:style>
  <w:style w:type="paragraph" w:styleId="NormalWeb">
    <w:name w:val="Normal (Web)"/>
    <w:basedOn w:val="Normal"/>
    <w:uiPriority w:val="99"/>
    <w:unhideWhenUsed/>
    <w:rsid w:val="00AC7447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BA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Iowa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Preventive Medicine</dc:creator>
  <cp:keywords/>
  <dc:description/>
  <cp:lastModifiedBy>Greg Ewing</cp:lastModifiedBy>
  <cp:revision>8</cp:revision>
  <cp:lastPrinted>2019-01-23T15:25:00Z</cp:lastPrinted>
  <dcterms:created xsi:type="dcterms:W3CDTF">2019-01-19T20:41:00Z</dcterms:created>
  <dcterms:modified xsi:type="dcterms:W3CDTF">2019-01-23T15:33:00Z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